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Исходные документы:</w:t>
      </w:r>
    </w:p>
    <w:p w:rsidR="00000000" w:rsidDel="00000000" w:rsidP="00000000" w:rsidRDefault="00000000" w:rsidRPr="00000000" w14:paraId="00000001">
      <w:pPr>
        <w:ind w:firstLine="709"/>
        <w:contextualSpacing w:val="0"/>
        <w:rPr/>
      </w:pPr>
      <w:hyperlink r:id="rId6">
        <w:r w:rsidDel="00000000" w:rsidR="00000000" w:rsidRPr="00000000">
          <w:rPr>
            <w:i w:val="1"/>
            <w:color w:val="0563c1"/>
            <w:sz w:val="24"/>
            <w:szCs w:val="24"/>
            <w:u w:val="single"/>
            <w:rtl w:val="0"/>
          </w:rPr>
          <w:t xml:space="preserve">[Спецификация][2] Дефекты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09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09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Описание функций расчёта вероятности дефектов валов и подшипников качения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документ частично описывает алгоритмы расчёта вероятностей дефектов валов и подшипников. Целью создания данного документа является описание констант, использующихся в алгоритмах, влияющих на итоговую вероятность определения дефектов. </w:t>
      </w:r>
    </w:p>
    <w:p w:rsidR="00000000" w:rsidDel="00000000" w:rsidP="00000000" w:rsidRDefault="00000000" w:rsidRPr="00000000" w14:paraId="00000006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Суть определения вероятности дефекта состоит в нахождении валидных (требуемых) отсчётов в структурах (массивах данных), поступающих на вход каждой функции определения дефекта элемента, и математических операциях с весовыми коэффициентами каждого такого отсчёта.</w:t>
      </w:r>
    </w:p>
    <w:p w:rsidR="00000000" w:rsidDel="00000000" w:rsidP="00000000" w:rsidRDefault="00000000" w:rsidRPr="00000000" w14:paraId="00000007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Каждая структура, основанная на своей частоте и указанная через тег дефекта, состоит из следующих векторов, для расчёта которых имеются специальные функции: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position – вектор, взятый из файла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informativeTags.xml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показывающий номера гармоник, участвующих в анализе дефекта.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magnitude – вектор, показывающий амплитуды каждой гармоники, частота которых получена поэлементным произведением вектора position с основной частотой структуры.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logProminence – вектор значений логарифмической выраженности амплитуды каждой гармоники над уровнем шума.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weights – вектор весовых коэффициентов (значимости каждой гармоники на дефект), взятый из файла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informativeTags.xml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 непосредственным описанием алгоритмов указываются теги частот и параметры, использующиеся в алгоритме.</w:t>
      </w:r>
    </w:p>
    <w:p w:rsidR="00000000" w:rsidDel="00000000" w:rsidP="00000000" w:rsidRDefault="00000000" w:rsidRPr="00000000" w14:paraId="0000000D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оценки вибрации в некоторых случаях используется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ГОСТ ИСО 10816-1-97</w:t>
        </w:r>
      </w:hyperlink>
      <w:r w:rsidDel="00000000" w:rsidR="00000000" w:rsidRPr="00000000">
        <w:rPr>
          <w:sz w:val="24"/>
          <w:szCs w:val="24"/>
          <w:rtl w:val="0"/>
        </w:rPr>
        <w:t xml:space="preserve"> и его переиздание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ГОСТ ИСО 20816-1-2016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firstLine="709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документе используются следующие сокращения и обозначения:</w:t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643"/>
        <w:gridCol w:w="336"/>
        <w:gridCol w:w="6649"/>
        <w:tblGridChange w:id="0">
          <w:tblGrid>
            <w:gridCol w:w="2643"/>
            <w:gridCol w:w="336"/>
            <w:gridCol w:w="6649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</w:t>
            </w:r>
          </w:p>
        </w:tc>
        <w:tc>
          <w:tcPr/>
          <w:p w:rsidR="00000000" w:rsidDel="00000000" w:rsidP="00000000" w:rsidRDefault="00000000" w:rsidRPr="00000000" w14:paraId="0000001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вращения вала;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BPFO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обкатывания тел качения по внешней обойме подшипника;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BPFI</w:t>
            </w:r>
          </w:p>
        </w:tc>
        <w:tc>
          <w:tcPr/>
          <w:p w:rsidR="00000000" w:rsidDel="00000000" w:rsidP="00000000" w:rsidRDefault="00000000" w:rsidRPr="00000000" w14:paraId="0000001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обкатывания тел качения по внутренней обойме;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BSF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вращения тел качения;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FTF</w:t>
            </w:r>
          </w:p>
        </w:tc>
        <w:tc>
          <w:tcPr/>
          <w:p w:rsidR="00000000" w:rsidDel="00000000" w:rsidP="00000000" w:rsidRDefault="00000000" w:rsidRPr="00000000" w14:paraId="0000001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частота работы сепаратора;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shaftFreqTag, BPFOTag, BPFITag, BSFTag, FTFTag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идентификаторы (теги) частот. Указывают, на основе какой частоты будут рассчитываться структуры для расчёта вероятности дефекта;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modTag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модуляции. В квадратных скобках указываются частоты, использующиеся для расчёта, например, [BPFI ± shaftFreq];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difTag</w:t>
            </w:r>
          </w:p>
        </w:tc>
        <w:tc>
          <w:tcPr/>
          <w:p w:rsidR="00000000" w:rsidDel="00000000" w:rsidP="00000000" w:rsidRDefault="00000000" w:rsidRPr="00000000" w14:paraId="0000002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идентификатор разностной частоты. В квадратных скобках указываются частоты, использующиеся для расчёта, например, [shaftFreq - FTF];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shaftFreqStucture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вращения вала;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BPFOStucture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обкатывания тел качения по внешней обойме подшипника;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BPFIStucture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обкатывания тел качения по внутренней обойме;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BSFStucture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вращения тел качения;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FTFStucture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частоте работы сепаратора;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modStucture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структура, основанная на модуляции частот;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logProminenceThreshold</w:t>
            </w:r>
          </w:p>
        </w:tc>
        <w:tc>
          <w:tcPr/>
          <w:p w:rsidR="00000000" w:rsidDel="00000000" w:rsidP="00000000" w:rsidRDefault="00000000" w:rsidRPr="00000000" w14:paraId="0000003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порог логарифмической выраженности. На сколько собственных уровень логарифмической выраженности отсчёта в структуре должен превышать уровень шума, чтобы отсчёт стал валидным;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displacement spectrum</w:t>
            </w:r>
          </w:p>
        </w:tc>
        <w:tc>
          <w:tcPr/>
          <w:p w:rsidR="00000000" w:rsidDel="00000000" w:rsidP="00000000" w:rsidRDefault="00000000" w:rsidRPr="00000000" w14:paraId="0000003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виброперемещения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velocity spectrum</w:t>
            </w:r>
          </w:p>
        </w:tc>
        <w:tc>
          <w:tcPr/>
          <w:p w:rsidR="00000000" w:rsidDel="00000000" w:rsidP="00000000" w:rsidRDefault="00000000" w:rsidRPr="00000000" w14:paraId="00000041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виброскорости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acceleration spectrum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виброускорения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acceleration envelope spectrum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спектр огибающей виброускорения сигнала (вектор);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modEstimations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–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оценка модуляции. Параметр, показывающий наличие либо отсутствие модуляционных компонент относительно основной частоты модуляции.</w:t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00"/>
          <w:sz w:val="24"/>
          <w:szCs w:val="24"/>
        </w:rPr>
        <w:sectPr>
          <w:headerReference r:id="rId9" w:type="default"/>
          <w:footerReference r:id="rId10" w:type="default"/>
          <w:pgSz w:h="16838" w:w="11906"/>
          <w:pgMar w:bottom="1134" w:top="1134" w:left="1134" w:right="1134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type w:val="continuous"/>
          <w:pgSz w:h="16838" w:w="11906"/>
          <w:pgMar w:bottom="1134" w:top="1134" w:left="1134" w:right="1134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SHAFT_RUN_OUT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shaft_SHAFT_RUN_OUT.m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5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 &gt; logProminenceThreshold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displacement spectrum: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амплитуде, не учитывая второго отсчёта.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валидными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</w:t>
      </w:r>
      <w:r w:rsidDel="00000000" w:rsidR="00000000" w:rsidRPr="00000000">
        <w:rPr>
          <w:sz w:val="24"/>
          <w:szCs w:val="24"/>
          <w:rtl w:val="0"/>
        </w:rPr>
        <w:t xml:space="preserve">лидного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velocity spectrum: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обнаруженные в displacement spectrum, оцениваются по ГОСТ 10816 по СКЗ.</w:t>
      </w:r>
    </w:p>
    <w:p w:rsidR="00000000" w:rsidDel="00000000" w:rsidP="00000000" w:rsidRDefault="00000000" w:rsidRPr="00000000" w14:paraId="0000006B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ROTOR_IMBALANCE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Неуравновешенность ротора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shaft_ROTOR_IMBALANCE.m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7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71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 &gt; logProminenceThreshold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displacement spectrum: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валидного отсчёта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after="0" w:before="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shaftFreqStructure</w:t>
      </w:r>
      <w:r w:rsidDel="00000000" w:rsidR="00000000" w:rsidRPr="00000000">
        <w:rPr>
          <w:sz w:val="24"/>
          <w:szCs w:val="24"/>
          <w:rtl w:val="0"/>
        </w:rPr>
        <w:t xml:space="preserve"> является валидным, если является единственным в структуре либо если следующий отсчёт меньше </w:t>
      </w:r>
      <w:r w:rsidDel="00000000" w:rsidR="00000000" w:rsidRPr="00000000">
        <w:rPr>
          <w:b w:val="1"/>
          <w:sz w:val="24"/>
          <w:szCs w:val="24"/>
          <w:rtl w:val="0"/>
        </w:rPr>
        <w:t xml:space="preserve">25%</w:t>
      </w:r>
      <w:r w:rsidDel="00000000" w:rsidR="00000000" w:rsidRPr="00000000">
        <w:rPr>
          <w:sz w:val="24"/>
          <w:szCs w:val="24"/>
          <w:rtl w:val="0"/>
        </w:rPr>
        <w:t xml:space="preserve"> уровня амплитуды первого отстчёта.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отсчёт не является валидным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первым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первого отсчёта.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Отфильтровываются валидные отсчёты, не прошедшие неравенство: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velocity spectrum: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обнаруженные в displacement spectrum, оцениваются по ГОСТ 10816 по СКЗ.</w:t>
      </w:r>
    </w:p>
    <w:p w:rsidR="00000000" w:rsidDel="00000000" w:rsidP="00000000" w:rsidRDefault="00000000" w:rsidRPr="00000000" w14:paraId="0000008B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SHAFT_MISALIGNMENT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Расцентровка вала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shaft_SHAFT_MISALIGNMENT.m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displacement spectrum: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обязательное наличие первого и второго валидного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и второй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являются валидными, если оба по амплитуде являются выше остальных, причём второй отсчёт является валидным, если он: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75%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первого.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Если первый и второй отсчёты не являются валидными – итоговая вероятность по данному спектру равна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[конец алгоритма]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предыдущего.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Отфильтровываются валидные отсчёты, не прошедшие неравенство: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</w:t>
      </w:r>
      <w:r w:rsidDel="00000000" w:rsidR="00000000" w:rsidRPr="00000000">
        <w:rPr>
          <w:sz w:val="24"/>
          <w:szCs w:val="24"/>
          <w:rtl w:val="0"/>
        </w:rPr>
        <w:t xml:space="preserve">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velocity spectrum: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обнаруженные в displacement spectrum, оцениваются по ГОСТ 10816 по СКЗ.</w:t>
      </w:r>
    </w:p>
    <w:p w:rsidR="00000000" w:rsidDel="00000000" w:rsidP="00000000" w:rsidRDefault="00000000" w:rsidRPr="00000000" w14:paraId="000000A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NON_UNIFORM_RADIAL_TENSION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Неоднородный радиальный натяг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09"/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rollingBearing_NON_UNIFORM_RADIAL_TENSION.m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B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чётных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уровень их амплитуд должен быть 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предыдущего нечётного.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отсутствии предыдущего, сравнивается с «0».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Отфильтровываются валидные отсчёты, не прошедшие неравенство: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</w:t>
      </w:r>
      <w:r w:rsidDel="00000000" w:rsidR="00000000" w:rsidRPr="00000000">
        <w:rPr>
          <w:sz w:val="24"/>
          <w:szCs w:val="24"/>
          <w:rtl w:val="0"/>
        </w:rPr>
        <w:t xml:space="preserve">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COCKED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_OUTER_RING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Перекос наружного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rollingBearing_COCKED_OUTER_RING.m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BPFOTag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чётных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уровень их амплитуд должен быть 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предыдущего нечётного.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отсутствии предыдущего, сравнивается с «0».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Отфильтровываются валидные отсчёты, не прошедшие неравенство: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</w:t>
      </w:r>
      <w:r w:rsidDel="00000000" w:rsidR="00000000" w:rsidRPr="00000000">
        <w:rPr>
          <w:sz w:val="24"/>
          <w:szCs w:val="24"/>
          <w:rtl w:val="0"/>
        </w:rPr>
        <w:t xml:space="preserve">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weights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WEAR_OUTER_RING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Износ наружного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rollingBearing_WEAR_OUTER_RING.m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BPFOTag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D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D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GROOVES_CRACKS_OUTER_RING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Раковины (трещины) на наружном кольце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b w:val="1"/>
          <w:sz w:val="24"/>
          <w:szCs w:val="24"/>
          <w:rtl w:val="0"/>
        </w:rPr>
        <w:t xml:space="preserve"> rollingBearing_GROOVES_CRACKS_OUTER_RING.m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BPFOTag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0F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В acceleration spectrum: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он составляет: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91%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амплитуды максимального отсчёта.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BPFOStructure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WEAR_INNER_RING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Износ внутреннего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rollingBearing_WEAR_INNER_RING.m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0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BPFITag, 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0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 &gt; logProminenceThreshold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суммы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21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суммы вероятностей по каждому признаку.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GROOVES_CRACKS_INNER_RING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Раковины (трещины) на внутреннем кольце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rollingBearing_GROOVES_CRACKS_INNER_RING.m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2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BPFITag, shaftFreqTag, modTag = [BPFI ± shaftFreq]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2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31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35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BPFI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[k1·BPFI ± k2·shaftFreq]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3C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[BPFI ± 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4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90%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[BPFI ± shaftFreq]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WEAR_ROLLING_ELEMENTS_AND_CAGE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Износ тел качения и сепаратора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rollingBearing_WEAR_ROLLING_ELEMENTS_AND_CAGE.m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4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FTFTag, difTag = [shaftFreq - FTF]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4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FTFTag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FTFTagStructure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50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difTag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[shaftFreq - FTF]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54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FTF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[shaftFreq - FTF]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GROOVES_CHIPPED_ROLLING_ELEMENTS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Раковины, сколы на телах качения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rollingBearing_GROOVES_CHIPPED_ROLLING_ELEMENTS.m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BSFTag, modTag = [BSF ± FTF]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6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BSFStructure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BSF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чётных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BSFStructure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64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BSF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модуляцией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[k1·BSF ± k2·FTF]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68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9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modEstimation = 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[BSF ± FTF]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BSF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[BSF ± FTF]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Весовые коэффициенты валидных отсчётов, взятые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умножаются на коэффициент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[modEstimations+1]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например, при modEstimations = 1 вес каждого отсчёта равен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исходного.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полученных весовых коэффициентов валидных отсчётов.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COCKED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_INNER_RING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Перекос внутреннего кольца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rollingBearing_COCKED_INNER_RING.m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7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difTag = [shaftFreq - FTF]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9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7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71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360" w:firstLine="36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Первый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является валидным, если является максимальным по амплитуде, не учитывая второго отсчёта.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Второй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Является максимальным по амплитуде,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первого.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Каждый последующий отсчёт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difStructure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сравнивается с предыдущими и будет являться валидным, если он: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всех предыдущих валидных.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Больше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25%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амплитуды хотя бы одного предыдущего валидного.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00000"/>
          <w:sz w:val="24"/>
          <w:szCs w:val="24"/>
          <w:rtl w:val="0"/>
        </w:rPr>
        <w:t xml:space="preserve">COCKED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_INNER_RING_DEFECT_ROLLING_ELEMENT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Перекос внутреннего кольца и дефекты тел качения (нарушение формы, неравномерный износ, сколы)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rollingBearing_COCKED_INNER_RING_DEFECT_ROLLING_ELEMENT.m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modTag = [BSF ± shaftFreq]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9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modEstimation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1"/>
        <w:jc w:val="both"/>
        <w:rPr>
          <w:rFonts w:ascii="Times New Roman" w:cs="Times New Roman" w:eastAsia="Times New Roman" w:hAnsi="Times New Roman"/>
          <w:b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ROTATING_LOOSENESS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Ослабление вращающихся элементов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709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rollingBearing_ROTATING_LOOSENESS.m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9F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Теги частот для валидации дефекта: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shaftFreqTag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A1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logProminenceThreshold = 3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определения общей вероятности дефекта требуется определить частные вероятности в следующих спектрах, для чего:</w:t>
      </w:r>
    </w:p>
    <w:p w:rsidR="00000000" w:rsidDel="00000000" w:rsidP="00000000" w:rsidRDefault="00000000" w:rsidRPr="00000000" w14:paraId="000001A4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spectrum: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Ряд нечётных валидных отсчётов сравнивается по амплитуде с чётным рядом отсчётов.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Ряд чётных валидных отсчётов сравнивается по амплитуде с нечётным рядом отсчётов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Определяется правило: какой ряд отсчётов преобладает по амплитуде над другим.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Выделяются валидные отсчёты, подходящие под это правило.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отсчётов, у которых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уровень их амплитуд должен быть меньше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50%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уровня отсчётов, полученных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При отсутствии отсчётов, полученных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сравнивается с «0».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Все валидные отсчёты, не прошедшие неравенство, отфильтровываются: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logProminenceThreshold.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 acceleration envelope spectrum: 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B9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Для структуры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с основной частотой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где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– значения вектора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Определить наличие валидных отсчётов в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shaftFreqStructure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, у которых</w:t>
      </w:r>
    </w:p>
    <w:p w:rsidR="00000000" w:rsidDel="00000000" w:rsidP="00000000" w:rsidRDefault="00000000" w:rsidRPr="00000000" w14:paraId="000001BD">
      <w:pPr>
        <w:ind w:firstLine="72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logProminence &gt; logProminenceThreshold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Вероятность дефекта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равна сумме весовых коэффициентов валидных отсчётов, взятых из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weights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Частная вероятность дефекта по данному спектру равна сумме 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100%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 k·shaftFreq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20%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 от вероятности по признаку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  <w:rtl w:val="0"/>
        </w:rPr>
        <w:t xml:space="preserve">(k-0.5)·shaftFreq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134" w:right="1134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nsola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tabs>
        <w:tab w:val="center" w:pos="4677"/>
        <w:tab w:val="right" w:pos="9355"/>
      </w:tabs>
      <w:spacing w:after="1723" w:lineRule="auto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0">
    <w:pPr>
      <w:contextualSpacing w:val="0"/>
      <w:rPr>
        <w:i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4829175</wp:posOffset>
          </wp:positionH>
          <wp:positionV relativeFrom="paragraph">
            <wp:posOffset>161925</wp:posOffset>
          </wp:positionV>
          <wp:extent cx="1554480" cy="487680"/>
          <wp:effectExtent b="0" l="0" r="0" t="0"/>
          <wp:wrapSquare wrapText="bothSides" distB="0" distT="0" distL="114300" distR="114300"/>
          <wp:docPr descr="https://lh3.googleusercontent.com/2YqKLq9YY0KrTuTmyyJ_2JeZ3ul0MpxIK4t9TZDCaZGyZK2KuCwOsECRJCRW5nubhcRIwxwctIIK1iwXF1rhKgYxDRS_tTScHlAyv3wgWj5whtgGepo2VeyLvsL8sL7DfoevVuY2" id="1" name="image2.png"/>
          <a:graphic>
            <a:graphicData uri="http://schemas.openxmlformats.org/drawingml/2006/picture">
              <pic:pic>
                <pic:nvPicPr>
                  <pic:cNvPr descr="https://lh3.googleusercontent.com/2YqKLq9YY0KrTuTmyyJ_2JeZ3ul0MpxIK4t9TZDCaZGyZK2KuCwOsECRJCRW5nubhcRIwxwctIIK1iwXF1rhKgYxDRS_tTScHlAyv3wgWj5whtgGepo2VeyLvsL8sL7DfoevVuY2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4480" cy="4876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1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Author: Rachkovsky Timofey</w:t>
    </w:r>
  </w:p>
  <w:p w:rsidR="00000000" w:rsidDel="00000000" w:rsidP="00000000" w:rsidRDefault="00000000" w:rsidRPr="00000000" w14:paraId="000001C2">
    <w:pPr>
      <w:contextualSpacing w:val="0"/>
      <w:rPr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Date: 10-05-2017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3">
    <w:pPr>
      <w:contextualSpacing w:val="0"/>
      <w:rPr>
        <w:i w:val="1"/>
        <w:sz w:val="22"/>
        <w:szCs w:val="22"/>
      </w:rPr>
    </w:pPr>
    <w:r w:rsidDel="00000000" w:rsidR="00000000" w:rsidRPr="00000000">
      <w:rPr>
        <w:i w:val="1"/>
        <w:sz w:val="22"/>
        <w:szCs w:val="22"/>
        <w:rtl w:val="0"/>
      </w:rPr>
      <w:t xml:space="preserve">Version: 3.4.1</w:t>
    </w:r>
  </w:p>
  <w:p w:rsidR="00000000" w:rsidDel="00000000" w:rsidP="00000000" w:rsidRDefault="00000000" w:rsidRPr="00000000" w14:paraId="000001C4">
    <w:pPr>
      <w:contextualSpacing w:val="0"/>
      <w:rPr>
        <w:i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429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" w:cs="Arial" w:eastAsia="Arial" w:hAnsi="Arial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decimal"/>
      <w:lvlText w:val="%1."/>
      <w:lvlJc w:val="left"/>
      <w:pPr>
        <w:ind w:left="1069" w:hanging="360"/>
      </w:pPr>
      <w:rPr>
        <w:i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8"/>
        <w:szCs w:val="28"/>
        <w:lang w:val="ru-RU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a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contextualSpacing w:val="0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a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4hIx7VFSZUQu5KH6Z4ucgwNGokVyTd5lvolmEH7-Ggw/edit" TargetMode="External"/><Relationship Id="rId7" Type="http://schemas.openxmlformats.org/officeDocument/2006/relationships/hyperlink" Target="https://drive.google.com/drive/u/0/folders/0Bz74U4EL4KwpSlUzUGRqMFRnTkU" TargetMode="External"/><Relationship Id="rId8" Type="http://schemas.openxmlformats.org/officeDocument/2006/relationships/hyperlink" Target="https://drive.google.com/drive/u/0/folders/0Bz74U4EL4KwpaWQwdm10N212SV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