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SimHei" w:hAnsi="SimHei" w:eastAsia="黑体"/>
          <w:b/>
          <w:sz w:val="32"/>
        </w:rPr>
        <w:t>薄名利以养德，敏于事以求真</w:t>
      </w:r>
    </w:p>
    <w:p>
      <w:pPr>
        <w:spacing w:before="0" w:after="240"/>
        <w:jc w:val="center"/>
      </w:pPr>
      <w:r>
        <w:rPr>
          <w:rFonts w:ascii="SimHei" w:hAnsi="SimHei" w:eastAsia="黑体"/>
          <w:b/>
          <w:sz w:val="28"/>
        </w:rPr>
        <w:t>——从老孔养生思想谈科研人员的道德自觉</w:t>
      </w:r>
    </w:p>
    <w:p>
      <w:pPr>
        <w:spacing w:after="240"/>
        <w:ind w:firstLine="420"/>
        <w:jc w:val="left"/>
      </w:pPr>
      <w:r>
        <w:rPr>
          <w:rFonts w:ascii="Times New Roman" w:hAnsi="Times New Roman" w:eastAsia="宋体"/>
          <w:b/>
          <w:sz w:val="24"/>
        </w:rPr>
        <w:t>关键词：</w:t>
      </w:r>
      <w:r>
        <w:rPr>
          <w:rFonts w:ascii="Times New Roman" w:hAnsi="Times New Roman" w:eastAsia="宋体"/>
          <w:b w:val="0"/>
          <w:sz w:val="24"/>
        </w:rPr>
        <w:t>自然辩证法；学术不端；道德自觉；老子养生观；孔子仁学</w:t>
      </w:r>
    </w:p>
    <w:p>
      <w:pPr>
        <w:spacing w:before="240" w:after="120"/>
        <w:jc w:val="left"/>
      </w:pPr>
      <w:r>
        <w:rPr>
          <w:rFonts w:ascii="SimHei" w:hAnsi="SimHei" w:eastAsia="黑体"/>
          <w:b/>
          <w:sz w:val="28"/>
        </w:rPr>
        <w:t>一、问题的提出</w:t>
      </w:r>
    </w:p>
    <w:p>
      <w:pPr>
        <w:spacing w:line="360" w:lineRule="auto" w:after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近年来，论文造假、数据篡改、抄袭剽窃等学术不端事件在全球范围内频繁发生。从韩国黄禹锡干细胞造假，到国内“汉芯一号”骗局，再到高校论文撤稿事件频发，科技界的诚信危机已不容忽视。Retraction Watch 数据库显示，全球撤稿数量逐年攀升，相当比例源于人为造假。这一现象的深层根源，在于科研人员在个人名利前途与道德养生之间发生了严重失衡。</w:t>
      </w:r>
    </w:p>
    <w:p>
      <w:pPr>
        <w:spacing w:line="360" w:lineRule="auto" w:after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自然辩证法作为科学技术的哲学反思，不仅关注科技发展的客观规律，更关注科研主体的精神世界与价值取向[5]。重读老子“善摄生者”与孔子“仁者寿”的养生思想，结合当代自然辩证法的自然观、科技观与科技方法论，对于反思科研人员的道德自觉、提升其生活品质，具有深刻的现实意义。</w:t>
      </w:r>
    </w:p>
    <w:p>
      <w:pPr>
        <w:spacing w:before="240" w:after="120"/>
        <w:jc w:val="left"/>
      </w:pPr>
      <w:r>
        <w:rPr>
          <w:rFonts w:ascii="SimHei" w:hAnsi="SimHei" w:eastAsia="黑体"/>
          <w:b/>
          <w:sz w:val="28"/>
        </w:rPr>
        <w:t>二、老孔养生思想的核心要义</w:t>
      </w:r>
    </w:p>
    <w:p>
      <w:pPr>
        <w:spacing w:line="360" w:lineRule="auto" w:after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道家养生思想以淡泊为本。老子《道德经》第五十章云：“盖闻善摄生者，陆行不遇兕虎，入军不被甲兵”[1]，奠定了道家“摄生”观的基调。后世道教承此思路，由唐代孙思邈托名所撰、收入《云笈七签》的《摄养枕中方》进一步提出“六害”之说：“且夫善摄生者，要当先除六害，然后可以保性命，延驻百年”；所谓六害，即“一者薄名利，二者禁声色，三者廉货财，四者损滋味，五者除佞妄，六者去妒忌”[2]。其中“薄名利”列居首位，足见名利之累乃养生之最大障碍。若名利不除，纵然“心希妙理，口念真经”，亦“不能补其短促”。这一思想揭示了朴素真理：养生之本在于养心，养心之要在于淡泊。</w:t>
      </w:r>
    </w:p>
    <w:p>
      <w:pPr>
        <w:spacing w:line="360" w:lineRule="auto" w:after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孔子的养生观则与“仁”紧密相连。《论语·雍也》曰：“知者乐水，仁者乐山；知者动，仁者静；知者乐，仁者寿。”[3] 仁者之所以寿，在于其内心宽厚平和，能够“恭、宽、信、敏、惠”五德兼备。《论语·述而》第十六章记孔子自况：“饭疏食饮水，曲肱而枕之，乐亦在其中矣”；同篇第十九章又云：“发愤忘食，乐以忘忧，不知老之将至云尔”[3]。这种安贫乐道、专注于学的精神状态，恰是当代部分科研人员所缺失的境界。</w:t>
      </w:r>
    </w:p>
    <w:p>
      <w:pPr>
        <w:spacing w:line="360" w:lineRule="auto" w:after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老孔养生思想虽分属道、儒两家，却殊途同归地指向同一核心命题：真正的健康长寿不在物质的丰盈，而在德性的涵养。过度追求外在奉养，往往“损于其本而妄求其末”；唯有养心、养德，方能延年益寿。</w:t>
      </w:r>
    </w:p>
    <w:p>
      <w:pPr>
        <w:spacing w:before="240" w:after="120"/>
        <w:jc w:val="left"/>
      </w:pPr>
      <w:r>
        <w:rPr>
          <w:rFonts w:ascii="SimHei" w:hAnsi="SimHei" w:eastAsia="黑体"/>
          <w:b/>
          <w:sz w:val="28"/>
        </w:rPr>
        <w:t>三、自然辩证法视域下的科技伦理审视</w:t>
      </w:r>
    </w:p>
    <w:p>
      <w:pPr>
        <w:spacing w:before="120" w:after="60"/>
        <w:ind w:firstLine="420"/>
        <w:jc w:val="left"/>
      </w:pPr>
      <w:r>
        <w:rPr>
          <w:rFonts w:ascii="SimHei" w:hAnsi="SimHei" w:eastAsia="黑体"/>
          <w:b/>
          <w:sz w:val="24"/>
        </w:rPr>
        <w:t>（一）自然观的启示：人与自然的和谐共生</w:t>
      </w:r>
    </w:p>
    <w:p>
      <w:pPr>
        <w:spacing w:line="360" w:lineRule="auto" w:after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马克思主义自然辩证法认为，自然界并非被动的客体，而是与人类相互作用、相互生成的有机整体。恩格斯在《自然辩证法》中警示道：“我们不要过分陶醉于我们对自然界的胜利。对于每一次这样的胜利，自然界都对我们进行报复。”[4] 这一警示与老子“道法自然”的思想遥相呼应。科研人员作为认识自然、改造自然的主体，其价值取向直接影响科技发展的方向。若科研活动被名利驱使，就会偏离“求真”的本性，导致数据造假、论文灌水，乃至研发出违背自然规律的伪成果。这种对客观规律的违背，本质上是对自然的背叛，最终也会反噬科研人员自身。</w:t>
      </w:r>
    </w:p>
    <w:p>
      <w:pPr>
        <w:spacing w:before="120" w:after="60"/>
        <w:ind w:firstLine="420"/>
        <w:jc w:val="left"/>
      </w:pPr>
      <w:r>
        <w:rPr>
          <w:rFonts w:ascii="SimHei" w:hAnsi="SimHei" w:eastAsia="黑体"/>
          <w:b/>
          <w:sz w:val="24"/>
        </w:rPr>
        <w:t>（二）科技观的反思：双刃剑下的价值抉择</w:t>
      </w:r>
    </w:p>
    <w:p>
      <w:pPr>
        <w:spacing w:line="360" w:lineRule="auto" w:after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科技是一把双刃剑，既可造福人类，亦可贻害无穷。自然辩证法的科技观强调，科技的善恶不取决于技术本身，而取决于使用技术的人[8]。爱因斯坦曾言：“关心人本身和人的命运，必须始终成为一切技术努力的主要目标。”[6] 当今学术不端问题的根源，正在于部分科研人员将科技异化为获取名利的工具，丧失了“为天地立心，为生民立命”的初心。老子所说的“损滋味”“廉货财”，并非要求科研人员清苦度日，而是警示其勿为物欲所役。当科研被简化为论文数量、影响因子、项目经费的单一角逐时，科技的人文价值便被消解殆尽。</w:t>
      </w:r>
    </w:p>
    <w:p>
      <w:pPr>
        <w:spacing w:before="120" w:after="60"/>
        <w:ind w:firstLine="420"/>
        <w:jc w:val="left"/>
      </w:pPr>
      <w:r>
        <w:rPr>
          <w:rFonts w:ascii="SimHei" w:hAnsi="SimHei" w:eastAsia="黑体"/>
          <w:b/>
          <w:sz w:val="24"/>
        </w:rPr>
        <w:t>（三）科技方法论的要求：求真务实的治学精神</w:t>
      </w:r>
    </w:p>
    <w:p>
      <w:pPr>
        <w:spacing w:line="360" w:lineRule="auto" w:after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自然辩证法的科技方法论强调归纳与演绎、分析与综合、历史与逻辑的辩证统一，其根本在于“实事求是”。然而，学术不端行为恰恰违背了这一基本原则。无论是数据捏造、图片篡改，还是同行评议舞弊，本质上都是用主观臆造取代客观规律，用短期利益置换长期真理。孔子曰：“食无求饱，居无求安，敏于事而慎于言。”[3] 这正是科研方法论的古典表达——在治学态度上敏锐严谨，在生活欲望上知足节制。“敏则有功”，专注与勤勉方能催生真知；“慎于言”则提醒科研人员对未经验证的结论保持审慎，不可为博眼球而妄下断言。</w:t>
      </w:r>
    </w:p>
    <w:p>
      <w:pPr>
        <w:spacing w:before="240" w:after="120"/>
        <w:jc w:val="left"/>
      </w:pPr>
      <w:r>
        <w:rPr>
          <w:rFonts w:ascii="SimHei" w:hAnsi="SimHei" w:eastAsia="黑体"/>
          <w:b/>
          <w:sz w:val="28"/>
        </w:rPr>
        <w:t>四、科研人员道德自觉的实现路径</w:t>
      </w:r>
    </w:p>
    <w:p>
      <w:pPr>
        <w:spacing w:before="120" w:after="60"/>
        <w:ind w:firstLine="420"/>
        <w:jc w:val="left"/>
      </w:pPr>
      <w:r>
        <w:rPr>
          <w:rFonts w:ascii="SimHei" w:hAnsi="SimHei" w:eastAsia="黑体"/>
          <w:b/>
          <w:sz w:val="24"/>
        </w:rPr>
        <w:t>（一）薄名利：树立淡泊明志的价值观</w:t>
      </w:r>
    </w:p>
    <w:p>
      <w:pPr>
        <w:spacing w:line="360" w:lineRule="auto" w:after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老子“薄名利”的智慧，对当代科研人员具有直接警醒意义。所谓“薄”，并非否定名利的存在，而是不为名利所累。诸葛亮“非淡泊无以明志，非宁静无以致远”，与老子之意一脉相承。科研人员当将名利视作研究的副产品，而非追求的目标。屠呦呦数十年潜心于青蒿素研究，钟扬十六载守望雪域采集种子，他们的事迹证明：唯有薄名利，才能成大器。</w:t>
      </w:r>
    </w:p>
    <w:p>
      <w:pPr>
        <w:spacing w:before="120" w:after="60"/>
        <w:ind w:firstLine="420"/>
        <w:jc w:val="left"/>
      </w:pPr>
      <w:r>
        <w:rPr>
          <w:rFonts w:ascii="SimHei" w:hAnsi="SimHei" w:eastAsia="黑体"/>
          <w:b/>
          <w:sz w:val="24"/>
        </w:rPr>
        <w:t>（二）去妒忌：构建合作共赢的科研生态</w:t>
      </w:r>
    </w:p>
    <w:p>
      <w:pPr>
        <w:spacing w:line="360" w:lineRule="auto" w:after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老子“六害”中的“除佞妄”“去妒忌”，揭示了科研团队内部的伦理要求。学术不端的另一土壤是同行之间的恶性竞争与相互倾倾轧。剽窃成果、阻挠同行发表、滥用评议权力等行为，皆源于妒忌之心[7]。孔子“宽则得众”“信则人任焉”的教诲，启示我们以宽厚之心对待同行，以信任之态合作创新，方能形成良性学术共同体。</w:t>
      </w:r>
    </w:p>
    <w:p>
      <w:pPr>
        <w:spacing w:before="120" w:after="60"/>
        <w:ind w:firstLine="420"/>
        <w:jc w:val="left"/>
      </w:pPr>
      <w:r>
        <w:rPr>
          <w:rFonts w:ascii="SimHei" w:hAnsi="SimHei" w:eastAsia="黑体"/>
          <w:b/>
          <w:sz w:val="24"/>
        </w:rPr>
        <w:t>（三）仁者寿：以德性涵养支撑科研生涯</w:t>
      </w:r>
    </w:p>
    <w:p>
      <w:pPr>
        <w:spacing w:line="360" w:lineRule="auto" w:after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科研是一项长跑而非短跑。许多科研人员英年早逝、心力交瘁，固然有工作强度因素，但更深层的原因在于心态失衡。孔子“仁者乐山，仁者静，仁者寿”的洞见，揭示了道德境界与身心健康的内在统一[3]。心怀仁爱、安于求道的科研人员，更能在漫长学术道路上保持身心平衡，实现可持续创造。可见，养德即养生，立德即立命。</w:t>
      </w:r>
    </w:p>
    <w:p>
      <w:pPr>
        <w:spacing w:before="120" w:after="60"/>
        <w:ind w:firstLine="420"/>
        <w:jc w:val="left"/>
      </w:pPr>
      <w:r>
        <w:rPr>
          <w:rFonts w:ascii="SimHei" w:hAnsi="SimHei" w:eastAsia="黑体"/>
          <w:b/>
          <w:sz w:val="24"/>
        </w:rPr>
        <w:t>（四）制度与自觉：他律与自律的双重保障</w:t>
      </w:r>
    </w:p>
    <w:p>
      <w:pPr>
        <w:spacing w:line="360" w:lineRule="auto" w:after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当然，仅靠道德自觉不足以根除学术不端，还需建立健全的科研诚信制度。一是完善学术评价体系，破除“唯论文”“唯帽子”的导向；二是强化学术伦理教育，将自然辩证法的科技伦理纳入研究生必修课程；三是建立学术不端的严厉惩戒机制，使违规者付出代价。制度是底线，自觉是高线，二者结合方能形成清朗的科研环境[8]。</w:t>
      </w:r>
    </w:p>
    <w:p>
      <w:pPr>
        <w:spacing w:before="240" w:after="120"/>
        <w:jc w:val="left"/>
      </w:pPr>
      <w:r>
        <w:rPr>
          <w:rFonts w:ascii="SimHei" w:hAnsi="SimHei" w:eastAsia="黑体"/>
          <w:b/>
          <w:sz w:val="28"/>
        </w:rPr>
        <w:t>五、结语</w:t>
      </w:r>
    </w:p>
    <w:p>
      <w:pPr>
        <w:spacing w:line="360" w:lineRule="auto" w:after="0"/>
        <w:ind w:firstLine="420"/>
        <w:jc w:val="both"/>
      </w:pPr>
      <w:r>
        <w:rPr>
          <w:rFonts w:ascii="Times New Roman" w:hAnsi="Times New Roman" w:eastAsia="宋体"/>
          <w:b w:val="0"/>
          <w:sz w:val="24"/>
        </w:rPr>
        <w:t>老子曰：“五色令人目盲，五音令人耳聋，五味令人口爽。”[1] 过度名利追逐，损害的是科研人员的道德生命与学术生命。孔子“发愤忘食，乐以忘忧，不知老之将至”的境界，则展示了以学问为乐、以道德为本的理想人格。在自然辩证法的视域下，科技进步与个人修养从来不是对立的两极，而是辩证统一的整体。科研人员唯有“薄名利”以养其德，“敏于事”以求其真，“乐山水”以养其心，方能在个人前途与道德养生之间实现真正的平衡。这不仅是个人生活品质的提升，更是科技事业行稳致远的根本保障。当每一位科研人员都能以淡泊之心做学问、以仁厚之心待同行、以敬畏之心对自然，中国科技强国之梦才能真正照进现实。</w:t>
      </w:r>
    </w:p>
    <w:p>
      <w:pPr>
        <w:spacing w:before="240" w:after="120"/>
        <w:jc w:val="left"/>
      </w:pPr>
      <w:r>
        <w:rPr>
          <w:rFonts w:ascii="SimHei" w:hAnsi="SimHei" w:eastAsia="黑体"/>
          <w:b/>
          <w:sz w:val="28"/>
        </w:rPr>
        <w:t>参考文献</w:t>
      </w:r>
    </w:p>
    <w:p>
      <w:pPr>
        <w:spacing w:line="360" w:lineRule="auto" w:after="0"/>
        <w:ind w:left="420" w:hanging="420"/>
        <w:jc w:val="left"/>
      </w:pPr>
      <w:r>
        <w:rPr>
          <w:rFonts w:ascii="Times New Roman" w:hAnsi="Times New Roman" w:eastAsia="宋体"/>
          <w:b w:val="0"/>
          <w:sz w:val="24"/>
        </w:rPr>
        <w:t>[1] 老子. 道德经[M]. 陈鼓应, 注译. 北京: 中华书局, 2009.</w:t>
      </w:r>
    </w:p>
    <w:p>
      <w:pPr>
        <w:spacing w:line="360" w:lineRule="auto" w:after="0"/>
        <w:ind w:left="420" w:hanging="420"/>
        <w:jc w:val="left"/>
      </w:pPr>
      <w:r>
        <w:rPr>
          <w:rFonts w:ascii="Times New Roman" w:hAnsi="Times New Roman" w:eastAsia="宋体"/>
          <w:b w:val="0"/>
          <w:sz w:val="24"/>
        </w:rPr>
        <w:t>[2] 张君房. 云笈七签[M]. 蒋力生, 等校注. 北京: 华夏出版社, 1996.</w:t>
      </w:r>
    </w:p>
    <w:p>
      <w:pPr>
        <w:spacing w:line="360" w:lineRule="auto" w:after="0"/>
        <w:ind w:left="420" w:hanging="420"/>
        <w:jc w:val="left"/>
      </w:pPr>
      <w:r>
        <w:rPr>
          <w:rFonts w:ascii="Times New Roman" w:hAnsi="Times New Roman" w:eastAsia="宋体"/>
          <w:b w:val="0"/>
          <w:sz w:val="24"/>
        </w:rPr>
        <w:t>[3] 杨伯峻. 论语译注[M]. 北京: 中华书局, 2017.</w:t>
      </w:r>
    </w:p>
    <w:p>
      <w:pPr>
        <w:spacing w:line="360" w:lineRule="auto" w:after="0"/>
        <w:ind w:left="420" w:hanging="420"/>
        <w:jc w:val="left"/>
      </w:pPr>
      <w:r>
        <w:rPr>
          <w:rFonts w:ascii="Times New Roman" w:hAnsi="Times New Roman" w:eastAsia="宋体"/>
          <w:b w:val="0"/>
          <w:sz w:val="24"/>
        </w:rPr>
        <w:t>[4] 恩格斯. 自然辩证法[M]. 中共中央马克思恩格斯列宁斯大林著作编译局, 译. 北京: 人民出版社, 2018.</w:t>
      </w:r>
    </w:p>
    <w:p>
      <w:pPr>
        <w:spacing w:line="360" w:lineRule="auto" w:after="0"/>
        <w:ind w:left="420" w:hanging="420"/>
        <w:jc w:val="left"/>
      </w:pPr>
      <w:r>
        <w:rPr>
          <w:rFonts w:ascii="Times New Roman" w:hAnsi="Times New Roman" w:eastAsia="宋体"/>
          <w:b w:val="0"/>
          <w:sz w:val="24"/>
        </w:rPr>
        <w:t>[5] 郭贵春. 自然辩证法概论[M]. 北京: 高等教育出版社, 2019.</w:t>
      </w:r>
    </w:p>
    <w:p>
      <w:pPr>
        <w:spacing w:line="360" w:lineRule="auto" w:after="0"/>
        <w:ind w:left="420" w:hanging="420"/>
        <w:jc w:val="left"/>
      </w:pPr>
      <w:r>
        <w:rPr>
          <w:rFonts w:ascii="Times New Roman" w:hAnsi="Times New Roman" w:eastAsia="宋体"/>
          <w:b w:val="0"/>
          <w:sz w:val="24"/>
        </w:rPr>
        <w:t>[6] 爱因斯坦. 爱因斯坦文集: 第三卷[M]. 许良英, 等编译. 北京: 商务印书馆, 2010.</w:t>
      </w:r>
    </w:p>
    <w:p>
      <w:pPr>
        <w:spacing w:line="360" w:lineRule="auto" w:after="0"/>
        <w:ind w:left="420" w:hanging="420"/>
        <w:jc w:val="left"/>
      </w:pPr>
      <w:r>
        <w:rPr>
          <w:rFonts w:ascii="Times New Roman" w:hAnsi="Times New Roman" w:eastAsia="宋体"/>
          <w:b w:val="0"/>
          <w:sz w:val="24"/>
        </w:rPr>
        <w:t>[7] 科技部, 中央宣传部, 最高人民法院, 等. 关于进一步加强科研诚信建设的若干意见[Z]. 国科发政〔2018〕198号. 2018-05-30.</w:t>
      </w:r>
    </w:p>
    <w:p>
      <w:pPr>
        <w:spacing w:line="360" w:lineRule="auto" w:after="0"/>
        <w:ind w:left="420" w:hanging="420"/>
        <w:jc w:val="left"/>
      </w:pPr>
      <w:r>
        <w:rPr>
          <w:rFonts w:ascii="Times New Roman" w:hAnsi="Times New Roman" w:eastAsia="宋体"/>
          <w:b w:val="0"/>
          <w:sz w:val="24"/>
        </w:rPr>
        <w:t>[8] 王前. 中国科技伦理史纲[M]. 北京: 人民出版社, 2006.</w:t>
      </w:r>
    </w:p>
    <w:sectPr w:rsidR="00FC693F" w:rsidRPr="0006063C" w:rsidSect="00034616">
      <w:mirrorMargins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