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000000">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000000">
      <w:pPr>
        <w:spacing w:before="120" w:after="120" w:line="360" w:lineRule="auto"/>
        <w:jc w:val="center"/>
      </w:pPr>
      <w:r>
        <w:rPr>
          <w:rFonts w:eastAsia="Times New Roman"/>
          <w:b/>
          <w:bCs/>
          <w:sz w:val="36"/>
          <w:szCs w:val="36"/>
        </w:rPr>
        <w:t>The Effectiveness of Unguided Self-Help</w:t>
      </w:r>
    </w:p>
    <w:p w14:paraId="13372ECF" w14:textId="77777777" w:rsidR="000C3784" w:rsidRDefault="00000000">
      <w:pPr>
        <w:spacing w:before="120" w:after="120" w:line="360" w:lineRule="auto"/>
        <w:jc w:val="center"/>
      </w:pPr>
      <w:r>
        <w:rPr>
          <w:rFonts w:eastAsia="Times New Roman"/>
          <w:b/>
          <w:bCs/>
          <w:sz w:val="36"/>
          <w:szCs w:val="36"/>
        </w:rPr>
        <w:t>Cognitive Behavioral Interventions</w:t>
      </w:r>
    </w:p>
    <w:p w14:paraId="470B818F" w14:textId="77777777" w:rsidR="000C3784" w:rsidRDefault="00000000">
      <w:pPr>
        <w:spacing w:before="120" w:after="120" w:line="360" w:lineRule="auto"/>
        <w:jc w:val="center"/>
      </w:pPr>
      <w:r>
        <w:rPr>
          <w:rFonts w:eastAsia="Times New Roman"/>
          <w:b/>
          <w:bCs/>
          <w:sz w:val="36"/>
          <w:szCs w:val="36"/>
        </w:rPr>
        <w:t>for Adolescents with Depressive Symptoms:</w:t>
      </w:r>
    </w:p>
    <w:p w14:paraId="1F7613EF" w14:textId="77777777" w:rsidR="000C3784" w:rsidRDefault="00000000">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000000">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000000">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000000">
      <w:pPr>
        <w:spacing w:before="120" w:after="120" w:line="360" w:lineRule="auto"/>
        <w:jc w:val="center"/>
      </w:pPr>
      <w:r>
        <w:rPr>
          <w:rFonts w:eastAsia="Times New Roman"/>
        </w:rPr>
        <w:t>Department of Child Psychotherapy</w:t>
      </w:r>
    </w:p>
    <w:p w14:paraId="3E1D0CF5" w14:textId="77777777" w:rsidR="000C3784" w:rsidRDefault="00000000">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000000">
      <w:pPr>
        <w:spacing w:before="120" w:after="120" w:line="360" w:lineRule="auto"/>
        <w:jc w:val="center"/>
      </w:pPr>
      <w:r>
        <w:rPr>
          <w:rFonts w:eastAsia="Times New Roman"/>
        </w:rPr>
        <w:t>April 2026</w:t>
      </w:r>
    </w:p>
    <w:p w14:paraId="4EAB3877" w14:textId="77777777" w:rsidR="000C3784" w:rsidRDefault="00000000">
      <w:pPr>
        <w:pageBreakBefore/>
        <w:spacing w:after="360"/>
        <w:jc w:val="center"/>
      </w:pPr>
      <w:r>
        <w:rPr>
          <w:rFonts w:eastAsia="Times New Roman"/>
          <w:b/>
          <w:bCs/>
          <w:sz w:val="32"/>
          <w:szCs w:val="32"/>
        </w:rPr>
        <w:lastRenderedPageBreak/>
        <w:t>Abstract</w:t>
      </w:r>
    </w:p>
    <w:p w14:paraId="19A2142E" w14:textId="77777777" w:rsidR="000C3784" w:rsidRDefault="00000000">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000000">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000000">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000000">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000000">
      <w:pPr>
        <w:spacing w:after="120" w:line="360" w:lineRule="auto"/>
        <w:jc w:val="both"/>
      </w:pPr>
      <w:r>
        <w:rPr>
          <w:rFonts w:eastAsia="Times New Roman"/>
          <w:b/>
          <w:bCs/>
        </w:rPr>
        <w:t xml:space="preserve">Keywords: </w:t>
      </w:r>
    </w:p>
    <w:p w14:paraId="01F29331" w14:textId="77777777" w:rsidR="000C3784" w:rsidRDefault="00000000">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000000">
      <w:pPr>
        <w:pStyle w:val="1"/>
        <w:pageBreakBefore/>
      </w:pPr>
      <w:bookmarkStart w:id="1" w:name="OLE_LINK2"/>
      <w:bookmarkStart w:id="2" w:name="OLE_LINK1"/>
      <w:r>
        <w:lastRenderedPageBreak/>
        <w:t>Chapter 1. Introduction</w:t>
      </w:r>
    </w:p>
    <w:p w14:paraId="08E97C55" w14:textId="6B5570FE" w:rsidR="0010131B" w:rsidRPr="0010131B" w:rsidRDefault="00000000"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000000">
      <w:pPr>
        <w:pStyle w:val="2"/>
      </w:pPr>
      <w:r>
        <w:t>1.2. Research Questions</w:t>
      </w:r>
    </w:p>
    <w:p w14:paraId="7D9F212E" w14:textId="77777777" w:rsidR="000C3784" w:rsidRPr="00310A5F" w:rsidRDefault="00000000">
      <w:pPr>
        <w:spacing w:after="120" w:line="360" w:lineRule="auto"/>
        <w:ind w:firstLine="360"/>
        <w:jc w:val="both"/>
      </w:pPr>
      <w:r>
        <w:rPr>
          <w:rFonts w:eastAsia="Times New Roman"/>
        </w:rPr>
        <w:t>This meta-analysis addresses the following research questions.</w:t>
      </w:r>
    </w:p>
    <w:p w14:paraId="5CC8CB22" w14:textId="77777777" w:rsidR="000C3784" w:rsidRDefault="00000000">
      <w:pPr>
        <w:pStyle w:val="3"/>
      </w:pPr>
      <w:r>
        <w:t>1.2.1. Primary Research Questions</w:t>
      </w:r>
    </w:p>
    <w:p w14:paraId="1E25C712" w14:textId="77777777" w:rsidR="000C3784" w:rsidRDefault="00000000">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000000">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000000">
      <w:pPr>
        <w:spacing w:after="80" w:line="360" w:lineRule="auto"/>
        <w:ind w:left="720" w:hanging="360"/>
        <w:jc w:val="both"/>
      </w:pPr>
      <w:r>
        <w:rPr>
          <w:rFonts w:eastAsia="Times New Roman"/>
        </w:rPr>
        <w:t>• To what extent are these effects maintained at follow-up?</w:t>
      </w:r>
    </w:p>
    <w:p w14:paraId="79C674C3" w14:textId="77777777" w:rsidR="000C3784" w:rsidRDefault="00000000">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000000">
      <w:pPr>
        <w:pStyle w:val="3"/>
      </w:pPr>
      <w:r>
        <w:t>1.2.3. Extended Research Question</w:t>
      </w:r>
    </w:p>
    <w:p w14:paraId="6DE1833A" w14:textId="77777777" w:rsidR="000C3784" w:rsidRDefault="00000000">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000000">
      <w:pPr>
        <w:pStyle w:val="1"/>
        <w:pageBreakBefore/>
      </w:pPr>
      <w:r>
        <w:lastRenderedPageBreak/>
        <w:t>Chapter 2. Theoretical Background</w:t>
      </w:r>
    </w:p>
    <w:p w14:paraId="554BC26E" w14:textId="3330FF9B" w:rsidR="002E446A" w:rsidRPr="002E446A" w:rsidRDefault="00000000"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000000">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000000">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000000">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000000">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2"/>
    <w:p w14:paraId="555A7ADF" w14:textId="77777777" w:rsidR="000C3784" w:rsidRDefault="00000000">
      <w:pPr>
        <w:pStyle w:val="1"/>
        <w:pageBreakBefore/>
      </w:pPr>
      <w:r>
        <w:lastRenderedPageBreak/>
        <w:t>Chapter 3. Methods</w:t>
      </w:r>
    </w:p>
    <w:p w14:paraId="0B28AA8F" w14:textId="77777777" w:rsidR="000C3784" w:rsidRDefault="00000000">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000000">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000000">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000000">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000000">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000000">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000000">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000000">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000000">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000000">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000000">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000000">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000000">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000000">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000000">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000000">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000000">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000000">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000000">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000000">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000000">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000000">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000000">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000000">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000000">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000000">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000000">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000000">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000000">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000000">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000000">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000000">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000000">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000000">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000000">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000000">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000000">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000000">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000000">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000000">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000000">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000000">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000000">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000000">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000000">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000000">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000000">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000000">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000000">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000000">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000000">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000000">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000000">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000000">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000000">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000000">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000000">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000000">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000000">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000000">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000000">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000000">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000000">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000000">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000000">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000000">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000000">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000000">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000000">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000000">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000000">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000000">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000000">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000000">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000000">
            <w:pPr>
              <w:spacing w:line="276" w:lineRule="auto"/>
              <w:jc w:val="center"/>
            </w:pPr>
            <w:r>
              <w:rPr>
                <w:rFonts w:eastAsia="Times New Roman"/>
                <w:sz w:val="20"/>
                <w:szCs w:val="20"/>
              </w:rPr>
              <w:t>≥22</w:t>
            </w:r>
          </w:p>
        </w:tc>
      </w:tr>
    </w:tbl>
    <w:p w14:paraId="7F407D34" w14:textId="77777777" w:rsidR="000C3784" w:rsidRDefault="00000000">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000000">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000000">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3"/>
    <w:p w14:paraId="73324A91" w14:textId="629A7547" w:rsidR="000C3784" w:rsidRDefault="00000000">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000000">
      <w:pPr>
        <w:pStyle w:val="2"/>
      </w:pPr>
      <w:r>
        <w:t>3.</w:t>
      </w:r>
      <w:r w:rsidR="00CB5677">
        <w:rPr>
          <w:rFonts w:eastAsiaTheme="minorEastAsia" w:hint="eastAsia"/>
        </w:rPr>
        <w:t>8</w:t>
      </w:r>
      <w:r>
        <w:t>. Data Synthesis and Statistical Analysis</w:t>
      </w:r>
    </w:p>
    <w:p w14:paraId="0051DDB9" w14:textId="3814833E" w:rsidR="000C3784" w:rsidRDefault="00000000">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000000">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000000">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77777777"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Non-therapeutic human contact included initial face-to-face orientation, human-delivered reminders or encouragement, and peer-moderated support, and excluded any therapist-delivered therapeutic content such as cognitive restructuring guidance, homework feedback, or treatment-related coaching. These component-level contrasts were pre-specified as exploratory rather than confirmatory. Cognitive restructuring was not examined as a single-component contrast because it was an inclusion 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w:t>
      </w:r>
      <w:r w:rsidRPr="00CB5677">
        <w:lastRenderedPageBreak/>
        <w:t>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000000">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t xml:space="preserve">Publication bias was evaluated graphically through inspection of a contour-enhanced funnel plot, and statistically through Egger's regression test for funnel-plot asymmetry (Egger et al., 1997). Where </w:t>
      </w:r>
      <w:r w:rsidRPr="00E74DAD">
        <w:rPr>
          <w:rFonts w:eastAsia="Times New Roman"/>
        </w:rPr>
        <w:lastRenderedPageBreak/>
        <w:t>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000000">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000000">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000000">
      <w:pPr>
        <w:pStyle w:val="1"/>
        <w:pageBreakBefore/>
      </w:pPr>
      <w:r>
        <w:lastRenderedPageBreak/>
        <w:t>Chapter 4. Results</w:t>
      </w:r>
    </w:p>
    <w:p w14:paraId="5E2D0C61" w14:textId="77777777" w:rsidR="000C3784" w:rsidRDefault="00000000">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000000">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000000">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000000">
      <w:pPr>
        <w:pStyle w:val="2"/>
        <w:rPr>
          <w:rFonts w:eastAsiaTheme="minorEastAsia"/>
        </w:rPr>
      </w:pPr>
      <w:bookmarkStart w:id="6" w:name="_Hlk229404376"/>
      <w:r>
        <w:lastRenderedPageBreak/>
        <w:t xml:space="preserve">4.3. </w:t>
      </w:r>
      <w:r w:rsidR="009A6668" w:rsidRPr="009A6668">
        <w:t>Risk of Bias of Included Studies</w:t>
      </w:r>
    </w:p>
    <w:p w14:paraId="5B4C51EF" w14:textId="77777777" w:rsidR="00130DC3" w:rsidRPr="00130DC3" w:rsidRDefault="00130DC3" w:rsidP="00130DC3">
      <w:pPr>
        <w:spacing w:after="120" w:line="360" w:lineRule="auto"/>
        <w:ind w:firstLine="360"/>
        <w:jc w:val="both"/>
      </w:pPr>
      <w:bookmarkStart w:id="7" w:name="OLE_LINK8"/>
      <w:bookmarkStart w:id="8" w:name="OLE_LINK4"/>
      <w:bookmarkEnd w:id="6"/>
      <w:r w:rsidRPr="00130DC3">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19F011AC" w14:textId="77777777" w:rsidR="00130DC3" w:rsidRPr="00130DC3" w:rsidRDefault="00130DC3" w:rsidP="00130DC3">
      <w:pPr>
        <w:spacing w:after="120" w:line="360" w:lineRule="auto"/>
        <w:ind w:firstLine="360"/>
        <w:jc w:val="both"/>
      </w:pPr>
      <w:bookmarkStart w:id="9" w:name="OLE_LINK11"/>
      <w:r w:rsidRPr="00130DC3">
        <w:t>Among the ten studies judged as having some concerns overall, six were driven by a single domain-level concern and four by concerns across multiple domains, corresponding to 60% and 40%, respectively. The most frequent source of some-concern judgements was Domain 2, bias due to deviations from intended interventions. T</w:t>
      </w:r>
      <w:bookmarkEnd w:id="9"/>
      <w:r w:rsidRPr="00130DC3">
        <w:t>his pattern largely reflected the open-label design of unguided self-help trials, particularly when interventions were compared with non-active or minimally active control conditions. The specific combinations of domains driving these judgements varied across studies. Domain 2 appeared most frequently, followed by concerns related to selection of the reported result (D5) and missing outcome data (D3), while concerns in randomization (D1) and outcome measurement (D4) were less frequent.</w:t>
      </w:r>
    </w:p>
    <w:p w14:paraId="29E2B0C7" w14:textId="77777777" w:rsidR="00130DC3" w:rsidRDefault="00130DC3" w:rsidP="00130DC3">
      <w:pPr>
        <w:spacing w:after="120" w:line="360" w:lineRule="auto"/>
        <w:ind w:firstLine="360"/>
        <w:jc w:val="both"/>
      </w:pPr>
      <w:r w:rsidRPr="00130DC3">
        <w:t xml:space="preserve">All studies judged as being at high overall risk of bias were driven by Domain 3, missing outcome data. These included Bohr et al. (2023), Wright et al. (2020), and Ackerson et al. (1998). Therefore, the pooled findings should be interpreted with caution, particularly in relation to attrition and incomplete outcome data. Of these three high-risk studies, Bohr et al. (2023) was retained only for the sensitivity analysis owing to the absence of an </w:t>
      </w:r>
      <w:proofErr w:type="spellStart"/>
      <w:r w:rsidRPr="00130DC3">
        <w:t>intracluster</w:t>
      </w:r>
      <w:proofErr w:type="spellEnd"/>
      <w:r w:rsidRPr="00130DC3">
        <w:t xml:space="preserve"> correlation coefficient. The main pooled estimate is therefore influenced by two high-risk studies, Wright et al. (2020) and Ackerson et al. (1998).</w:t>
      </w: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D71ED1B" w:rsidR="007B2BEC" w:rsidRPr="00C3148A" w:rsidRDefault="00857C58" w:rsidP="00523784">
      <w:pPr>
        <w:spacing w:after="120" w:line="360" w:lineRule="auto"/>
        <w:ind w:firstLine="360"/>
        <w:jc w:val="center"/>
      </w:pPr>
      <w:r>
        <w:rPr>
          <w:rFonts w:hint="eastAsia"/>
          <w:noProof/>
        </w:rPr>
        <w:drawing>
          <wp:inline distT="0" distB="0" distL="0" distR="0" wp14:anchorId="32300EC5" wp14:editId="035BE320">
            <wp:extent cx="5943600" cy="2797175"/>
            <wp:effectExtent l="0" t="0" r="0" b="3175"/>
            <wp:docPr id="356044980" name="图片 17"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44980" name="图片 17"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sidR="00B375B0">
        <w:rPr>
          <w:noProof/>
        </w:rPr>
        <w:lastRenderedPageBreak/>
        <w:drawing>
          <wp:inline distT="0" distB="0" distL="0" distR="0" wp14:anchorId="26A21581" wp14:editId="5A3728EF">
            <wp:extent cx="5943600" cy="7726680"/>
            <wp:effectExtent l="0" t="0" r="0" b="7620"/>
            <wp:docPr id="211092305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3058" name="图片 1"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000000">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0" w:name="OLE_LINK19"/>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77777777" w:rsidR="000332BE" w:rsidRPr="000332BE" w:rsidRDefault="000332BE" w:rsidP="000332BE">
      <w:pPr>
        <w:spacing w:after="120" w:line="360" w:lineRule="auto"/>
        <w:ind w:firstLine="360"/>
        <w:jc w:val="both"/>
      </w:pPr>
      <w:bookmarkStart w:id="11" w:name="OLE_LINK26"/>
      <w:bookmarkEnd w:id="10"/>
      <w:r w:rsidRPr="000332BE">
        <w:t xml:space="preserve">Fourteen studies contributed effect sizes at post-intervention. Under a random-effects model using the REML estimator and Hartung-Knapp adjustment, the pooled Hedges' g was 0.27, 95% CI [0.06, 0.47], </w:t>
      </w:r>
      <w:proofErr w:type="gramStart"/>
      <w:r w:rsidRPr="000332BE">
        <w:rPr>
          <w:i/>
          <w:iCs/>
        </w:rPr>
        <w:t>t</w:t>
      </w:r>
      <w:r w:rsidRPr="000332BE">
        <w:t>(</w:t>
      </w:r>
      <w:proofErr w:type="gramEnd"/>
      <w:r w:rsidRPr="000332BE">
        <w:t xml:space="preserve">13) = 2.80, </w:t>
      </w:r>
      <w:r w:rsidRPr="000332BE">
        <w:rPr>
          <w:i/>
          <w:iCs/>
        </w:rPr>
        <w:t>p</w:t>
      </w:r>
      <w:r w:rsidRPr="000332BE">
        <w:t xml:space="preserve"> = .015, indicating a benefit of unguided self-help CBT interventions over control conditions (Figure 3).</w:t>
      </w:r>
    </w:p>
    <w:p w14:paraId="3D18E282" w14:textId="2CFD58A3" w:rsidR="000C4420" w:rsidRDefault="000332BE" w:rsidP="000332BE">
      <w:pPr>
        <w:spacing w:after="120" w:line="360" w:lineRule="auto"/>
        <w:ind w:firstLine="360"/>
        <w:jc w:val="both"/>
      </w:pPr>
      <w:r w:rsidRPr="000332BE">
        <w:t>Inspection of the forest plot revealed substantial dispersion in individual study estimates, ranging from g = −0.17 (O'Dea et al., 2020) to g = 1.51 (Fleming et al., 2012). Of the 14 trials, 12 yielded point estimates favoring the intervention condition, whereas two (</w:t>
      </w:r>
      <w:r w:rsidRPr="00B60841">
        <w:t>O'Dea et al., 2020;</w:t>
      </w:r>
      <w:r>
        <w:rPr>
          <w:rFonts w:hint="eastAsia"/>
        </w:rPr>
        <w:t xml:space="preserve"> </w:t>
      </w:r>
      <w:proofErr w:type="spellStart"/>
      <w:r>
        <w:rPr>
          <w:rFonts w:hint="eastAsia"/>
        </w:rPr>
        <w:t>Poppelaars</w:t>
      </w:r>
      <w:proofErr w:type="spellEnd"/>
      <w:r>
        <w:rPr>
          <w:rFonts w:hint="eastAsia"/>
        </w:rPr>
        <w:t>, 2016</w:t>
      </w:r>
      <w:r w:rsidRPr="00B60841">
        <w:t>)</w:t>
      </w:r>
      <w:r w:rsidRPr="000332BE">
        <w:t xml:space="preserve"> produced estimates near zero. Five trials had confidence intervals that excluded zero (Ackerson et al., 1998; Fleming et al., 2012; </w:t>
      </w:r>
      <w:proofErr w:type="spellStart"/>
      <w:r w:rsidRPr="000332BE">
        <w:t>Makarushka</w:t>
      </w:r>
      <w:proofErr w:type="spellEnd"/>
      <w:r w:rsidRPr="000332BE">
        <w:t>, 2012;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534272D2" w14:textId="5AB0E959"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0F835E4" w:rsidR="005B656D" w:rsidRPr="005B656D" w:rsidRDefault="005B656D" w:rsidP="005B656D">
      <w:pPr>
        <w:spacing w:after="120" w:line="360" w:lineRule="auto"/>
        <w:jc w:val="center"/>
      </w:pPr>
      <w:r>
        <w:rPr>
          <w:rFonts w:hint="eastAsia"/>
          <w:noProof/>
        </w:rPr>
        <w:drawing>
          <wp:inline distT="0" distB="0" distL="0" distR="0" wp14:anchorId="2D38600B" wp14:editId="6C2DB028">
            <wp:extent cx="5023092" cy="3817764"/>
            <wp:effectExtent l="0" t="0" r="6350" b="0"/>
            <wp:docPr id="1891334130" name="图片 29"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4130" name="图片 29"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3666" cy="3833401"/>
                    </a:xfrm>
                    <a:prstGeom prst="rect">
                      <a:avLst/>
                    </a:prstGeom>
                  </pic:spPr>
                </pic:pic>
              </a:graphicData>
            </a:graphic>
          </wp:inline>
        </w:drawing>
      </w:r>
    </w:p>
    <w:p w14:paraId="55B35D59" w14:textId="0FC87208" w:rsidR="005B656D" w:rsidRDefault="005B656D" w:rsidP="005B656D">
      <w:pPr>
        <w:spacing w:after="120" w:line="276" w:lineRule="auto"/>
        <w:jc w:val="both"/>
      </w:pPr>
      <w:bookmarkStart w:id="12" w:name="OLE_LINK24"/>
      <w:r>
        <w:rPr>
          <w:rFonts w:hint="eastAsia"/>
          <w:i/>
          <w:iCs/>
        </w:rPr>
        <w:lastRenderedPageBreak/>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2"/>
    <w:p w14:paraId="3ADDB349" w14:textId="77777777" w:rsidR="005B656D" w:rsidRDefault="005B656D" w:rsidP="005B656D">
      <w:pPr>
        <w:spacing w:after="120" w:line="276" w:lineRule="auto"/>
        <w:jc w:val="both"/>
      </w:pPr>
    </w:p>
    <w:p w14:paraId="0DF7DDB0" w14:textId="77777777" w:rsidR="000332BE" w:rsidRPr="000332BE" w:rsidRDefault="000332BE" w:rsidP="000332BE">
      <w:pPr>
        <w:spacing w:after="120" w:line="360" w:lineRule="auto"/>
        <w:ind w:firstLine="360"/>
        <w:jc w:val="both"/>
      </w:pPr>
      <w:bookmarkStart w:id="13" w:name="OLE_LINK13"/>
      <w:r w:rsidRPr="000332BE">
        <w:t xml:space="preserve">Between-study heterogeneity was moderate to high, </w:t>
      </w:r>
      <w:proofErr w:type="gramStart"/>
      <w:r w:rsidRPr="000332BE">
        <w:t>Q(</w:t>
      </w:r>
      <w:proofErr w:type="gramEnd"/>
      <w:r w:rsidRPr="000332BE">
        <w:t>13) = 35.34, p &lt; .001, I² = 63.2%, 95% CI [34.6%, 79.3%], τ² = 0.055, 95% CI [0.020, 0.425].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3"/>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4" w:name="OLE_LINK20"/>
      <w:bookmarkStart w:id="15" w:name="OLE_LINK16"/>
      <w:r w:rsidRPr="008F4577">
        <w:rPr>
          <w:rFonts w:hint="eastAsia"/>
          <w:b/>
          <w:bCs/>
        </w:rPr>
        <w:t xml:space="preserve">Table 2. </w:t>
      </w:r>
      <w:r w:rsidRPr="008F4577">
        <w:rPr>
          <w:b/>
          <w:bCs/>
        </w:rPr>
        <w:t xml:space="preserve">Test of Heterogeneity: </w:t>
      </w:r>
      <w:bookmarkStart w:id="16" w:name="OLE_LINK18"/>
      <w:r w:rsidRPr="008F4577">
        <w:rPr>
          <w:b/>
          <w:bCs/>
        </w:rPr>
        <w:t>Post-Intervention</w:t>
      </w:r>
      <w:bookmarkEnd w:id="16"/>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573723">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7" w:name="OLE_LINK12"/>
            <w:r w:rsidRPr="00310732">
              <w:rPr>
                <w:b/>
                <w:bCs/>
                <w:i/>
                <w:iCs/>
              </w:rPr>
              <w:t>τ</w:t>
            </w:r>
            <w:r w:rsidRPr="00310732">
              <w:rPr>
                <w:rFonts w:hint="eastAsia"/>
                <w:b/>
                <w:bCs/>
                <w:vertAlign w:val="superscript"/>
              </w:rPr>
              <w:t>2</w:t>
            </w:r>
            <w:bookmarkEnd w:id="17"/>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573723">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DD8E6C" w:rsidR="00573723" w:rsidRPr="00573723" w:rsidRDefault="00573723" w:rsidP="00573723">
            <w:pPr>
              <w:spacing w:after="120" w:line="360" w:lineRule="auto"/>
              <w:jc w:val="center"/>
            </w:pPr>
            <w:r w:rsidRPr="00573723">
              <w:rPr>
                <w:rFonts w:hint="eastAsia"/>
              </w:rPr>
              <w:t>2.80(13)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4F4857DF" w:rsidR="00573723" w:rsidRPr="009E6CC9" w:rsidRDefault="00573723" w:rsidP="00573723">
            <w:pPr>
              <w:spacing w:after="120" w:line="360" w:lineRule="auto"/>
              <w:jc w:val="center"/>
            </w:pPr>
            <w:r w:rsidRPr="009E6CC9">
              <w:t>35.34</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7777777" w:rsidR="00573723" w:rsidRPr="00573723" w:rsidRDefault="00573723" w:rsidP="00573723">
            <w:pPr>
              <w:spacing w:after="120" w:line="360" w:lineRule="auto"/>
              <w:jc w:val="center"/>
            </w:pPr>
            <w:r w:rsidRPr="00573723">
              <w:t>63.2%</w:t>
            </w:r>
          </w:p>
          <w:p w14:paraId="42932AC4" w14:textId="4D812EF2" w:rsidR="00573723" w:rsidRPr="00573723" w:rsidRDefault="00573723" w:rsidP="00573723">
            <w:pPr>
              <w:spacing w:after="120" w:line="360" w:lineRule="auto"/>
              <w:jc w:val="center"/>
            </w:pPr>
            <w:r w:rsidRPr="00573723">
              <w:t>[34.6, 79.3]</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4"/>
    </w:p>
    <w:bookmarkEnd w:id="11"/>
    <w:bookmarkEnd w:id="15"/>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18" w:name="OLE_LINK27"/>
      <w:r w:rsidRPr="00307741">
        <w:rPr>
          <w:rFonts w:hint="eastAsia"/>
          <w:b/>
          <w:bCs/>
        </w:rPr>
        <w:lastRenderedPageBreak/>
        <w:t>Short-term follow-up</w:t>
      </w:r>
    </w:p>
    <w:bookmarkEnd w:id="18"/>
    <w:p w14:paraId="4F496608" w14:textId="3BCB6297" w:rsidR="00057441" w:rsidRDefault="00DB6FE5" w:rsidP="00057441">
      <w:pPr>
        <w:spacing w:after="120" w:line="360" w:lineRule="auto"/>
        <w:ind w:firstLine="360"/>
        <w:jc w:val="both"/>
      </w:pPr>
      <w:r>
        <w:rPr>
          <w:rFonts w:hint="eastAsia"/>
        </w:rPr>
        <w:t xml:space="preserve"> </w:t>
      </w:r>
      <w:bookmarkStart w:id="19"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 xml:space="preserve">Under a random-effects model with REML estimator and Hartung-Knapp adjustment, the pooled Hedges' g was 0.015 (95% CI [−0.34, 0.37], </w:t>
      </w:r>
      <w:proofErr w:type="gramStart"/>
      <w:r w:rsidR="00057441" w:rsidRPr="00057441">
        <w:t>t(</w:t>
      </w:r>
      <w:proofErr w:type="gramEnd"/>
      <w:r w:rsidR="00057441" w:rsidRPr="00057441">
        <w:t xml:space="preserve">2) = 0.18, p = .875), </w:t>
      </w:r>
      <w:r w:rsidR="00DD28C8" w:rsidRPr="00057441">
        <w:t>indicating no detectable benefit of unguided self-help CBTs over control conditions at this timepoint (Figure 4)</w:t>
      </w:r>
      <w:r w:rsidR="00057441" w:rsidRPr="00057441">
        <w:t>.</w:t>
      </w:r>
    </w:p>
    <w:p w14:paraId="5030C2EC" w14:textId="77777777"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0.85, p = .653;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19"/>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0"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 xml:space="preserve">-Term </w:t>
      </w:r>
      <w:proofErr w:type="spellStart"/>
      <w:r w:rsidR="00F351EB" w:rsidRPr="00F351EB">
        <w:rPr>
          <w:b/>
          <w:bCs/>
        </w:rPr>
        <w:t>Follow-UP</w:t>
      </w:r>
      <w:proofErr w:type="spellEnd"/>
    </w:p>
    <w:bookmarkEnd w:id="20"/>
    <w:p w14:paraId="5E7F687C" w14:textId="25F2F22F" w:rsidR="00A87283" w:rsidRDefault="004F0BDF" w:rsidP="00950BF3">
      <w:pPr>
        <w:spacing w:after="120" w:line="360" w:lineRule="auto"/>
        <w:jc w:val="both"/>
        <w:rPr>
          <w:b/>
          <w:bCs/>
          <w:sz w:val="24"/>
          <w:szCs w:val="24"/>
        </w:rPr>
      </w:pPr>
      <w:r>
        <w:rPr>
          <w:b/>
          <w:bCs/>
          <w:noProof/>
          <w:sz w:val="24"/>
          <w:szCs w:val="24"/>
        </w:rPr>
        <w:drawing>
          <wp:inline distT="0" distB="0" distL="0" distR="0" wp14:anchorId="7441B3C9" wp14:editId="6DBACB8B">
            <wp:extent cx="5943600" cy="2773680"/>
            <wp:effectExtent l="0" t="0" r="0" b="7620"/>
            <wp:docPr id="1140889400" name="图片 28"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89400" name="图片 28"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1" w:name="OLE_LINK21"/>
      <w:r>
        <w:rPr>
          <w:rFonts w:hint="eastAsia"/>
          <w:b/>
          <w:bCs/>
        </w:rPr>
        <w:t>Mid</w:t>
      </w:r>
      <w:r w:rsidR="00057441" w:rsidRPr="00307741">
        <w:rPr>
          <w:rFonts w:hint="eastAsia"/>
          <w:b/>
          <w:bCs/>
        </w:rPr>
        <w:t>-term follow-up</w:t>
      </w:r>
    </w:p>
    <w:p w14:paraId="17EEC9AD" w14:textId="7E5FFA38" w:rsidR="00DD28C8" w:rsidRDefault="00057441" w:rsidP="00DD28C8">
      <w:pPr>
        <w:spacing w:after="120" w:line="360" w:lineRule="auto"/>
        <w:ind w:firstLine="360"/>
        <w:jc w:val="both"/>
      </w:pPr>
      <w:bookmarkStart w:id="22" w:name="OLE_LINK28"/>
      <w:bookmarkStart w:id="23" w:name="OLE_LINK17"/>
      <w:bookmarkEnd w:id="21"/>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2012;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4" w:name="OLE_LINK14"/>
      <w:r w:rsidR="00AE1CB6">
        <w:rPr>
          <w:rFonts w:hint="eastAsia"/>
        </w:rPr>
        <w:t>(</w:t>
      </w:r>
      <w:r w:rsidR="00DD28C8" w:rsidRPr="00DD28C8">
        <w:t>&gt;3 to ≤6 months post-intervention</w:t>
      </w:r>
      <w:r w:rsidR="00AE1CB6">
        <w:rPr>
          <w:rFonts w:hint="eastAsia"/>
        </w:rPr>
        <w:t>)</w:t>
      </w:r>
      <w:bookmarkEnd w:id="24"/>
      <w:r w:rsidR="00DD28C8">
        <w:rPr>
          <w:rFonts w:hint="eastAsia"/>
        </w:rPr>
        <w:t xml:space="preserve">. </w:t>
      </w:r>
      <w:r w:rsidR="00DD28C8" w:rsidRPr="00057441">
        <w:t xml:space="preserve">Under a random-effects model with REML estimator and Hartung-Knapp adjustment, the pooled Hedges' g was </w:t>
      </w:r>
      <w:r w:rsidR="00DD28C8" w:rsidRPr="00DD28C8">
        <w:t xml:space="preserve">0.113 </w:t>
      </w:r>
      <w:proofErr w:type="gramStart"/>
      <w:r w:rsidR="00DD28C8">
        <w:rPr>
          <w:rFonts w:hint="eastAsia"/>
        </w:rPr>
        <w:t>( 95</w:t>
      </w:r>
      <w:proofErr w:type="gramEnd"/>
      <w:r w:rsidR="00DD28C8">
        <w:rPr>
          <w:rFonts w:hint="eastAsia"/>
        </w:rPr>
        <w:t xml:space="preserve">% CI </w:t>
      </w:r>
      <w:r w:rsidR="00DD28C8" w:rsidRPr="00DD28C8">
        <w:t>[0.004, 0.223]</w:t>
      </w:r>
      <w:r w:rsidR="00DD28C8" w:rsidRPr="00057441">
        <w:t>, t(</w:t>
      </w:r>
      <w:r w:rsidR="00DD28C8">
        <w:rPr>
          <w:rFonts w:hint="eastAsia"/>
        </w:rPr>
        <w:t>6</w:t>
      </w:r>
      <w:r w:rsidR="00DD28C8" w:rsidRPr="00057441">
        <w:t xml:space="preserve">) = </w:t>
      </w:r>
      <w:r w:rsidR="00DD28C8" w:rsidRPr="00DD28C8">
        <w:t>2.55</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5"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7B4D9B68"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2012). Five studies showed point estimates favoring the intervention, whereas two yielded negative point estimates. All individual confidence intervals crossed zero, indicating that none of the studies reached statistical significance on its own.</w:t>
      </w:r>
      <w:r w:rsidR="00875F40">
        <w:rPr>
          <w:rFonts w:hint="eastAsia"/>
        </w:rPr>
        <w:t xml:space="preserve"> </w:t>
      </w:r>
    </w:p>
    <w:p w14:paraId="28BF2C72" w14:textId="77777777"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 xml:space="preserve">6) = 3.48, </w:t>
      </w:r>
      <w:r w:rsidRPr="008F11F0">
        <w:rPr>
          <w:i/>
          <w:iCs/>
        </w:rPr>
        <w:t>p</w:t>
      </w:r>
      <w:r w:rsidRPr="008F11F0">
        <w:t xml:space="preserve"> = .747,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The 95% prediction interval ranged from −0.03 to 0.26, suggesting that the true effect in a comparable future trial would most likely fall within a small positive range, with little chance of a null or negative effect.</w:t>
      </w:r>
    </w:p>
    <w:bookmarkEnd w:id="22"/>
    <w:bookmarkEnd w:id="25"/>
    <w:p w14:paraId="64AC76E7" w14:textId="77777777" w:rsidR="00F351EB" w:rsidRDefault="00F351EB" w:rsidP="00F351EB">
      <w:pPr>
        <w:spacing w:after="120" w:line="360" w:lineRule="auto"/>
        <w:jc w:val="both"/>
        <w:rPr>
          <w:b/>
          <w:bCs/>
          <w:noProof/>
        </w:rPr>
      </w:pPr>
    </w:p>
    <w:bookmarkEnd w:id="23"/>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0C2022C5" w:rsidR="00A87283" w:rsidRPr="00F351EB" w:rsidRDefault="00F351EB" w:rsidP="00950BF3">
      <w:pPr>
        <w:spacing w:after="120" w:line="360" w:lineRule="auto"/>
        <w:jc w:val="both"/>
        <w:rPr>
          <w:b/>
          <w:bCs/>
          <w:sz w:val="24"/>
          <w:szCs w:val="24"/>
        </w:rPr>
      </w:pPr>
      <w:r>
        <w:rPr>
          <w:b/>
          <w:bCs/>
          <w:noProof/>
          <w:sz w:val="24"/>
          <w:szCs w:val="24"/>
        </w:rPr>
        <w:lastRenderedPageBreak/>
        <w:drawing>
          <wp:inline distT="0" distB="0" distL="0" distR="0" wp14:anchorId="47E2A83F" wp14:editId="13A020B7">
            <wp:extent cx="5943600" cy="4358640"/>
            <wp:effectExtent l="0" t="0" r="0" b="3810"/>
            <wp:docPr id="1949811313" name="图片 30"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11313" name="图片 30"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7777777"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0.148, 95% CI [−0.082, 0.379], </w:t>
      </w:r>
      <w:proofErr w:type="gramStart"/>
      <w:r w:rsidRPr="009258D8">
        <w:rPr>
          <w:i/>
          <w:iCs/>
        </w:rPr>
        <w:t>t</w:t>
      </w:r>
      <w:r w:rsidRPr="009258D8">
        <w:t>(</w:t>
      </w:r>
      <w:proofErr w:type="gramEnd"/>
      <w:r w:rsidRPr="009258D8">
        <w:t xml:space="preserve">4) = 1.78, </w:t>
      </w:r>
      <w:r w:rsidRPr="009258D8">
        <w:rPr>
          <w:i/>
          <w:iCs/>
        </w:rPr>
        <w:t>p</w:t>
      </w:r>
      <w:r w:rsidRPr="009258D8">
        <w:t xml:space="preserve"> = .149,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lastRenderedPageBreak/>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7DA3D8E2"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5.97, </w:t>
      </w:r>
      <w:r w:rsidRPr="00731952">
        <w:rPr>
          <w:i/>
          <w:iCs/>
        </w:rPr>
        <w:t>p</w:t>
      </w:r>
      <w:r w:rsidRPr="00731952">
        <w:t xml:space="preserve"> = .201, I² = 33.0%, 95% CI [0.0%, 74.6%],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 xml:space="preserve">-Term </w:t>
      </w:r>
      <w:proofErr w:type="spellStart"/>
      <w:r w:rsidRPr="00F351EB">
        <w:rPr>
          <w:b/>
          <w:bCs/>
        </w:rPr>
        <w:t>Follow-UP</w:t>
      </w:r>
      <w:proofErr w:type="spellEnd"/>
    </w:p>
    <w:p w14:paraId="21662ABD" w14:textId="5EF7064F" w:rsidR="00DB320F" w:rsidRPr="00F351EB" w:rsidRDefault="00F351EB" w:rsidP="00950BF3">
      <w:pPr>
        <w:spacing w:after="120" w:line="360" w:lineRule="auto"/>
        <w:jc w:val="both"/>
        <w:rPr>
          <w:b/>
          <w:bCs/>
          <w:sz w:val="24"/>
          <w:szCs w:val="24"/>
        </w:rPr>
      </w:pPr>
      <w:r>
        <w:rPr>
          <w:b/>
          <w:bCs/>
          <w:noProof/>
          <w:sz w:val="24"/>
          <w:szCs w:val="24"/>
        </w:rPr>
        <w:drawing>
          <wp:inline distT="0" distB="0" distL="0" distR="0" wp14:anchorId="45B9E967" wp14:editId="3A832402">
            <wp:extent cx="5943600" cy="3566160"/>
            <wp:effectExtent l="0" t="0" r="0" b="0"/>
            <wp:docPr id="1083054699" name="图片 31"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54699" name="图片 31"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xml:space="preserve">. Squares represent point estimates of individual studies, with size proportional to study weight in the random-effects model. Horizontal lines represent 95% confidence intervals; arrows indicate intervals extending beyond the </w:t>
      </w:r>
      <w:r w:rsidRPr="00F351EB">
        <w:lastRenderedPageBreak/>
        <w:t>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26"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27" w:name="OLE_LINK22"/>
      <w:r w:rsidR="007A3422">
        <w:rPr>
          <w:rFonts w:hint="eastAsia"/>
          <w:b/>
          <w:bCs/>
        </w:rPr>
        <w:t xml:space="preserve"> at</w:t>
      </w:r>
      <w:r w:rsidRPr="008F4577">
        <w:rPr>
          <w:b/>
          <w:bCs/>
        </w:rPr>
        <w:t xml:space="preserve"> </w:t>
      </w:r>
      <w:proofErr w:type="spellStart"/>
      <w:r>
        <w:rPr>
          <w:rFonts w:hint="eastAsia"/>
          <w:b/>
          <w:bCs/>
        </w:rPr>
        <w:t>Follow-UP</w:t>
      </w:r>
      <w:bookmarkEnd w:id="27"/>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533CFD">
        <w:tc>
          <w:tcPr>
            <w:tcW w:w="656" w:type="dxa"/>
            <w:tcBorders>
              <w:bottom w:val="single" w:sz="4" w:space="0" w:color="auto"/>
            </w:tcBorders>
          </w:tcPr>
          <w:p w14:paraId="75AE100D" w14:textId="1E7E0ED7" w:rsidR="00DB320F" w:rsidRPr="00533CFD" w:rsidRDefault="00DB320F" w:rsidP="000B72AE">
            <w:pPr>
              <w:spacing w:after="120" w:line="360" w:lineRule="auto"/>
              <w:jc w:val="center"/>
              <w:rPr>
                <w:b/>
                <w:bCs/>
              </w:rPr>
            </w:pPr>
            <w:r w:rsidRPr="00533CFD">
              <w:rPr>
                <w:rFonts w:hint="eastAsia"/>
                <w:b/>
                <w:bCs/>
              </w:rPr>
              <w:t>Timepoint</w:t>
            </w:r>
          </w:p>
        </w:tc>
        <w:tc>
          <w:tcPr>
            <w:tcW w:w="712" w:type="dxa"/>
            <w:tcBorders>
              <w:bottom w:val="single" w:sz="4" w:space="0" w:color="auto"/>
            </w:tcBorders>
          </w:tcPr>
          <w:p w14:paraId="3B8153CE" w14:textId="784E7A13" w:rsidR="00DB320F" w:rsidRPr="00533CFD" w:rsidRDefault="00DB320F" w:rsidP="000B72AE">
            <w:pPr>
              <w:spacing w:after="120" w:line="360" w:lineRule="auto"/>
              <w:jc w:val="center"/>
              <w:rPr>
                <w:b/>
                <w:bCs/>
                <w:i/>
                <w:iCs/>
              </w:rPr>
            </w:pPr>
            <w:r w:rsidRPr="00533CFD">
              <w:rPr>
                <w:rFonts w:hint="eastAsia"/>
                <w:b/>
                <w:bCs/>
                <w:i/>
                <w:iCs/>
              </w:rPr>
              <w:t>k</w:t>
            </w:r>
          </w:p>
        </w:tc>
        <w:tc>
          <w:tcPr>
            <w:tcW w:w="1163" w:type="dxa"/>
            <w:tcBorders>
              <w:bottom w:val="single" w:sz="4" w:space="0" w:color="auto"/>
            </w:tcBorders>
          </w:tcPr>
          <w:p w14:paraId="6B78DF13" w14:textId="77777777" w:rsidR="00DB320F" w:rsidRPr="00533CFD" w:rsidRDefault="00DB320F" w:rsidP="000B72AE">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bottom w:val="single" w:sz="4" w:space="0" w:color="auto"/>
            </w:tcBorders>
          </w:tcPr>
          <w:p w14:paraId="1712C28F" w14:textId="77777777" w:rsidR="00DB320F" w:rsidRPr="00533CFD" w:rsidRDefault="00DB320F" w:rsidP="000B72AE">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bottom w:val="single" w:sz="4" w:space="0" w:color="auto"/>
            </w:tcBorders>
          </w:tcPr>
          <w:p w14:paraId="45BE95BB" w14:textId="77777777" w:rsidR="00DB320F" w:rsidRPr="00533CFD" w:rsidRDefault="00DB320F" w:rsidP="000B72AE">
            <w:pPr>
              <w:spacing w:after="120" w:line="360" w:lineRule="auto"/>
              <w:jc w:val="center"/>
              <w:rPr>
                <w:b/>
                <w:bCs/>
                <w:i/>
                <w:iCs/>
              </w:rPr>
            </w:pPr>
            <w:r w:rsidRPr="00533CFD">
              <w:rPr>
                <w:rFonts w:hint="eastAsia"/>
                <w:b/>
                <w:bCs/>
                <w:i/>
                <w:iCs/>
              </w:rPr>
              <w:t>p</w:t>
            </w:r>
          </w:p>
        </w:tc>
        <w:tc>
          <w:tcPr>
            <w:tcW w:w="962" w:type="dxa"/>
            <w:tcBorders>
              <w:bottom w:val="single" w:sz="4" w:space="0" w:color="auto"/>
            </w:tcBorders>
          </w:tcPr>
          <w:p w14:paraId="3B830019" w14:textId="77777777" w:rsidR="00DB320F" w:rsidRPr="00533CFD" w:rsidRDefault="00DB320F" w:rsidP="000B72AE">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bottom w:val="single" w:sz="4" w:space="0" w:color="auto"/>
            </w:tcBorders>
          </w:tcPr>
          <w:p w14:paraId="2BA79EC4" w14:textId="77777777" w:rsidR="00DB320F" w:rsidRPr="00533CFD" w:rsidRDefault="00DB320F" w:rsidP="000B72AE">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bottom w:val="single" w:sz="4" w:space="0" w:color="auto"/>
            </w:tcBorders>
          </w:tcPr>
          <w:p w14:paraId="58829D51" w14:textId="77777777" w:rsidR="00DB320F" w:rsidRPr="00533CFD" w:rsidRDefault="00DB320F" w:rsidP="000B72AE">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bottom w:val="single" w:sz="4" w:space="0" w:color="auto"/>
            </w:tcBorders>
          </w:tcPr>
          <w:p w14:paraId="25DA1DA5" w14:textId="77777777" w:rsidR="00DB320F" w:rsidRPr="00533CFD" w:rsidRDefault="00DB320F" w:rsidP="000B72AE">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bottom w:val="single" w:sz="4" w:space="0" w:color="auto"/>
            </w:tcBorders>
          </w:tcPr>
          <w:p w14:paraId="3BB00807" w14:textId="77777777" w:rsidR="00DB320F" w:rsidRPr="00533CFD" w:rsidRDefault="00DB320F" w:rsidP="000B72AE">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0B72AE">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0B72AE">
            <w:pPr>
              <w:spacing w:after="120" w:line="360" w:lineRule="auto"/>
              <w:jc w:val="center"/>
            </w:pPr>
            <w:r>
              <w:rPr>
                <w:rFonts w:hint="eastAsia"/>
              </w:rPr>
              <w:t>3</w:t>
            </w:r>
          </w:p>
        </w:tc>
        <w:tc>
          <w:tcPr>
            <w:tcW w:w="1163" w:type="dxa"/>
            <w:tcBorders>
              <w:top w:val="single" w:sz="4" w:space="0" w:color="auto"/>
              <w:bottom w:val="nil"/>
            </w:tcBorders>
          </w:tcPr>
          <w:p w14:paraId="1E5F4358" w14:textId="0DA35919" w:rsidR="00DB320F" w:rsidRPr="00573723" w:rsidRDefault="00DB320F" w:rsidP="000B72AE">
            <w:pPr>
              <w:spacing w:after="120" w:line="360" w:lineRule="auto"/>
              <w:jc w:val="center"/>
            </w:pPr>
            <w:r w:rsidRPr="00573723">
              <w:rPr>
                <w:rFonts w:hint="eastAsia"/>
              </w:rPr>
              <w:t>0.</w:t>
            </w:r>
            <w:r w:rsidR="007A3422">
              <w:rPr>
                <w:rFonts w:hint="eastAsia"/>
              </w:rPr>
              <w:t>015</w:t>
            </w:r>
            <w:r w:rsidRPr="00573723">
              <w:rPr>
                <w:rFonts w:hint="eastAsia"/>
              </w:rPr>
              <w:t xml:space="preserve"> [</w:t>
            </w:r>
            <w:r w:rsidR="007A3422">
              <w:rPr>
                <w:rFonts w:hint="eastAsia"/>
              </w:rPr>
              <w:t>-</w:t>
            </w:r>
            <w:r w:rsidRPr="00573723">
              <w:t>0.</w:t>
            </w:r>
            <w:r w:rsidR="007A3422">
              <w:rPr>
                <w:rFonts w:hint="eastAsia"/>
              </w:rPr>
              <w:t>34</w:t>
            </w:r>
            <w:r w:rsidRPr="00573723">
              <w:rPr>
                <w:rFonts w:hint="eastAsia"/>
              </w:rPr>
              <w:t xml:space="preserve">, </w:t>
            </w:r>
            <w:r w:rsidRPr="00573723">
              <w:t>0.</w:t>
            </w:r>
            <w:r w:rsidR="007A3422">
              <w:rPr>
                <w:rFonts w:hint="eastAsia"/>
              </w:rPr>
              <w:t>37</w:t>
            </w:r>
            <w:r w:rsidRPr="00573723">
              <w:rPr>
                <w:rFonts w:hint="eastAsia"/>
              </w:rPr>
              <w:t>]</w:t>
            </w:r>
          </w:p>
        </w:tc>
        <w:tc>
          <w:tcPr>
            <w:tcW w:w="1137" w:type="dxa"/>
            <w:tcBorders>
              <w:top w:val="single" w:sz="4" w:space="0" w:color="auto"/>
              <w:bottom w:val="nil"/>
            </w:tcBorders>
          </w:tcPr>
          <w:p w14:paraId="47A73CC4" w14:textId="36871072" w:rsidR="00DB320F" w:rsidRPr="00573723" w:rsidRDefault="007A3422" w:rsidP="000B72AE">
            <w:pPr>
              <w:spacing w:after="120" w:line="360" w:lineRule="auto"/>
              <w:jc w:val="center"/>
            </w:pPr>
            <w:r>
              <w:rPr>
                <w:rFonts w:hint="eastAsia"/>
              </w:rPr>
              <w:t>0.18</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656CF86D" w:rsidR="00DB320F" w:rsidRPr="00573723" w:rsidRDefault="00DB320F" w:rsidP="000B72AE">
            <w:pPr>
              <w:spacing w:after="120" w:line="360" w:lineRule="auto"/>
              <w:jc w:val="center"/>
            </w:pPr>
            <w:r w:rsidRPr="00573723">
              <w:rPr>
                <w:rFonts w:hint="eastAsia"/>
              </w:rPr>
              <w:t>.</w:t>
            </w:r>
            <w:r w:rsidR="00B74865">
              <w:rPr>
                <w:rFonts w:hint="eastAsia"/>
              </w:rPr>
              <w:t>875</w:t>
            </w:r>
          </w:p>
        </w:tc>
        <w:tc>
          <w:tcPr>
            <w:tcW w:w="962" w:type="dxa"/>
            <w:tcBorders>
              <w:top w:val="single" w:sz="4" w:space="0" w:color="auto"/>
              <w:bottom w:val="nil"/>
            </w:tcBorders>
          </w:tcPr>
          <w:p w14:paraId="3DDC6CFE" w14:textId="770A2405" w:rsidR="00DB320F" w:rsidRPr="009E6CC9" w:rsidRDefault="00E33353" w:rsidP="000B72AE">
            <w:pPr>
              <w:spacing w:after="120" w:line="360" w:lineRule="auto"/>
              <w:jc w:val="center"/>
            </w:pPr>
            <w:r w:rsidRPr="00E33353">
              <w:t>0.85</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0B72AE">
            <w:pPr>
              <w:spacing w:after="120" w:line="360" w:lineRule="auto"/>
              <w:jc w:val="center"/>
            </w:pPr>
          </w:p>
        </w:tc>
        <w:tc>
          <w:tcPr>
            <w:tcW w:w="919" w:type="dxa"/>
            <w:tcBorders>
              <w:top w:val="single" w:sz="4" w:space="0" w:color="auto"/>
              <w:bottom w:val="nil"/>
            </w:tcBorders>
          </w:tcPr>
          <w:p w14:paraId="6D18F834" w14:textId="64E6C60B" w:rsidR="00DB320F" w:rsidRPr="00573723" w:rsidRDefault="00B74865" w:rsidP="000B72AE">
            <w:pPr>
              <w:spacing w:after="120" w:line="360" w:lineRule="auto"/>
              <w:jc w:val="center"/>
            </w:pPr>
            <w:r>
              <w:rPr>
                <w:rFonts w:hint="eastAsia"/>
              </w:rPr>
              <w:t>.653</w:t>
            </w:r>
          </w:p>
        </w:tc>
        <w:tc>
          <w:tcPr>
            <w:tcW w:w="1013" w:type="dxa"/>
            <w:tcBorders>
              <w:top w:val="single" w:sz="4" w:space="0" w:color="auto"/>
              <w:bottom w:val="nil"/>
            </w:tcBorders>
          </w:tcPr>
          <w:p w14:paraId="2761A23E" w14:textId="436DBF3F" w:rsidR="00DB320F" w:rsidRPr="00573723" w:rsidRDefault="00B74865" w:rsidP="000B72AE">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0B72AE">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0B72AE">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0B72AE">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0B72AE">
            <w:pPr>
              <w:spacing w:after="120" w:line="360" w:lineRule="auto"/>
              <w:jc w:val="center"/>
            </w:pPr>
            <w:r>
              <w:rPr>
                <w:rFonts w:hint="eastAsia"/>
              </w:rPr>
              <w:t>7</w:t>
            </w:r>
          </w:p>
        </w:tc>
        <w:tc>
          <w:tcPr>
            <w:tcW w:w="1163" w:type="dxa"/>
            <w:tcBorders>
              <w:top w:val="nil"/>
              <w:bottom w:val="nil"/>
            </w:tcBorders>
          </w:tcPr>
          <w:p w14:paraId="4E5B0591" w14:textId="63043A50" w:rsidR="00F351EB" w:rsidRPr="00573723" w:rsidRDefault="00E33353" w:rsidP="000B72AE">
            <w:pPr>
              <w:spacing w:after="120" w:line="360" w:lineRule="auto"/>
              <w:jc w:val="center"/>
            </w:pPr>
            <w:bookmarkStart w:id="28" w:name="OLE_LINK31"/>
            <w:r>
              <w:rPr>
                <w:rFonts w:hint="eastAsia"/>
              </w:rPr>
              <w:t>0.113 [0.00</w:t>
            </w:r>
            <w:r w:rsidR="004A6C38">
              <w:rPr>
                <w:rFonts w:hint="eastAsia"/>
              </w:rPr>
              <w:t>4</w:t>
            </w:r>
            <w:r>
              <w:rPr>
                <w:rFonts w:hint="eastAsia"/>
              </w:rPr>
              <w:t>, 0.22</w:t>
            </w:r>
            <w:r w:rsidR="000E09E1">
              <w:rPr>
                <w:rFonts w:hint="eastAsia"/>
              </w:rPr>
              <w:t>3</w:t>
            </w:r>
            <w:r>
              <w:rPr>
                <w:rFonts w:hint="eastAsia"/>
              </w:rPr>
              <w:t>]</w:t>
            </w:r>
            <w:bookmarkEnd w:id="28"/>
          </w:p>
        </w:tc>
        <w:tc>
          <w:tcPr>
            <w:tcW w:w="1137" w:type="dxa"/>
            <w:tcBorders>
              <w:top w:val="nil"/>
              <w:bottom w:val="nil"/>
            </w:tcBorders>
          </w:tcPr>
          <w:p w14:paraId="14F17002" w14:textId="09324B82" w:rsidR="00F351EB" w:rsidRPr="00573723" w:rsidRDefault="00E33353" w:rsidP="000B72AE">
            <w:pPr>
              <w:spacing w:after="120" w:line="360" w:lineRule="auto"/>
              <w:jc w:val="center"/>
            </w:pPr>
            <w:r>
              <w:rPr>
                <w:rFonts w:hint="eastAsia"/>
              </w:rPr>
              <w:t>2.55(6)</w:t>
            </w:r>
          </w:p>
        </w:tc>
        <w:tc>
          <w:tcPr>
            <w:tcW w:w="788" w:type="dxa"/>
            <w:tcBorders>
              <w:top w:val="nil"/>
              <w:bottom w:val="nil"/>
            </w:tcBorders>
          </w:tcPr>
          <w:p w14:paraId="0D62B886" w14:textId="16E74901" w:rsidR="00F351EB" w:rsidRPr="00573723" w:rsidRDefault="00E33353" w:rsidP="000B72AE">
            <w:pPr>
              <w:spacing w:after="120" w:line="360" w:lineRule="auto"/>
              <w:jc w:val="center"/>
            </w:pPr>
            <w:r>
              <w:rPr>
                <w:rFonts w:hint="eastAsia"/>
              </w:rPr>
              <w:t>.043</w:t>
            </w:r>
          </w:p>
        </w:tc>
        <w:tc>
          <w:tcPr>
            <w:tcW w:w="962" w:type="dxa"/>
            <w:tcBorders>
              <w:top w:val="nil"/>
              <w:bottom w:val="nil"/>
            </w:tcBorders>
          </w:tcPr>
          <w:p w14:paraId="1F4D9E36" w14:textId="061AD911" w:rsidR="00F351EB" w:rsidRPr="009E6CC9" w:rsidRDefault="00E33353" w:rsidP="000B72AE">
            <w:pPr>
              <w:spacing w:after="120" w:line="360" w:lineRule="auto"/>
              <w:jc w:val="center"/>
            </w:pPr>
            <w:r>
              <w:rPr>
                <w:rFonts w:hint="eastAsia"/>
              </w:rPr>
              <w:t>3.48(6)</w:t>
            </w:r>
          </w:p>
        </w:tc>
        <w:tc>
          <w:tcPr>
            <w:tcW w:w="919" w:type="dxa"/>
            <w:tcBorders>
              <w:top w:val="nil"/>
              <w:bottom w:val="nil"/>
            </w:tcBorders>
          </w:tcPr>
          <w:p w14:paraId="7FBB3390" w14:textId="53EC9FA8" w:rsidR="00F351EB" w:rsidRPr="00573723" w:rsidRDefault="00E33353" w:rsidP="000B72AE">
            <w:pPr>
              <w:spacing w:after="120" w:line="360" w:lineRule="auto"/>
              <w:jc w:val="center"/>
            </w:pPr>
            <w:r>
              <w:rPr>
                <w:rFonts w:hint="eastAsia"/>
              </w:rPr>
              <w:t>.747</w:t>
            </w:r>
          </w:p>
        </w:tc>
        <w:tc>
          <w:tcPr>
            <w:tcW w:w="1013" w:type="dxa"/>
            <w:tcBorders>
              <w:top w:val="nil"/>
              <w:bottom w:val="nil"/>
            </w:tcBorders>
          </w:tcPr>
          <w:p w14:paraId="4BB6131F" w14:textId="2A79E374" w:rsidR="00F351EB" w:rsidRPr="00573723" w:rsidRDefault="00E33353" w:rsidP="000B72AE">
            <w:pPr>
              <w:spacing w:after="120" w:line="360" w:lineRule="auto"/>
              <w:jc w:val="center"/>
            </w:pPr>
            <w:r>
              <w:rPr>
                <w:rFonts w:hint="eastAsia"/>
              </w:rPr>
              <w:t>0.0% [0.0, 70.8]</w:t>
            </w:r>
          </w:p>
        </w:tc>
        <w:tc>
          <w:tcPr>
            <w:tcW w:w="1052" w:type="dxa"/>
            <w:tcBorders>
              <w:top w:val="nil"/>
              <w:bottom w:val="nil"/>
            </w:tcBorders>
          </w:tcPr>
          <w:p w14:paraId="23087730" w14:textId="4AD596BE" w:rsidR="00F351EB" w:rsidRPr="00573723" w:rsidRDefault="00E33353" w:rsidP="000B72AE">
            <w:pPr>
              <w:spacing w:after="120" w:line="360" w:lineRule="auto"/>
              <w:jc w:val="center"/>
            </w:pPr>
            <w:r>
              <w:rPr>
                <w:rFonts w:hint="eastAsia"/>
              </w:rPr>
              <w:t>0.000</w:t>
            </w:r>
          </w:p>
        </w:tc>
        <w:tc>
          <w:tcPr>
            <w:tcW w:w="958" w:type="dxa"/>
            <w:tcBorders>
              <w:top w:val="nil"/>
              <w:bottom w:val="nil"/>
            </w:tcBorders>
          </w:tcPr>
          <w:p w14:paraId="16D127A2" w14:textId="0C2BA65E" w:rsidR="00F351EB" w:rsidRPr="00573723" w:rsidRDefault="00E33353" w:rsidP="000B72AE">
            <w:pPr>
              <w:spacing w:after="120" w:line="360" w:lineRule="auto"/>
              <w:jc w:val="center"/>
            </w:pPr>
            <w:r>
              <w:rPr>
                <w:rFonts w:hint="eastAsia"/>
              </w:rPr>
              <w:t>[-0.03, 0.26]</w:t>
            </w:r>
          </w:p>
        </w:tc>
      </w:tr>
      <w:tr w:rsidR="004A6C38" w:rsidRPr="00573723" w14:paraId="265B5DA9" w14:textId="77777777" w:rsidTr="00533CFD">
        <w:tc>
          <w:tcPr>
            <w:tcW w:w="656" w:type="dxa"/>
            <w:tcBorders>
              <w:top w:val="nil"/>
              <w:bottom w:val="single" w:sz="12" w:space="0" w:color="auto"/>
            </w:tcBorders>
          </w:tcPr>
          <w:p w14:paraId="1B15233C" w14:textId="02B6FEB1" w:rsidR="00F351EB" w:rsidRPr="00DB320F" w:rsidRDefault="004A6C38" w:rsidP="000B72AE">
            <w:pPr>
              <w:spacing w:after="120" w:line="360" w:lineRule="auto"/>
              <w:jc w:val="center"/>
            </w:pPr>
            <w:r>
              <w:rPr>
                <w:rFonts w:hint="eastAsia"/>
              </w:rPr>
              <w:t>Long</w:t>
            </w:r>
          </w:p>
        </w:tc>
        <w:tc>
          <w:tcPr>
            <w:tcW w:w="712" w:type="dxa"/>
            <w:tcBorders>
              <w:top w:val="nil"/>
              <w:bottom w:val="single" w:sz="12" w:space="0" w:color="auto"/>
            </w:tcBorders>
          </w:tcPr>
          <w:p w14:paraId="14F57696" w14:textId="41557822" w:rsidR="00F351EB" w:rsidRDefault="004A6C38" w:rsidP="000B72AE">
            <w:pPr>
              <w:spacing w:after="120" w:line="360" w:lineRule="auto"/>
              <w:jc w:val="center"/>
            </w:pPr>
            <w:r>
              <w:rPr>
                <w:rFonts w:hint="eastAsia"/>
              </w:rPr>
              <w:t>5</w:t>
            </w:r>
          </w:p>
        </w:tc>
        <w:tc>
          <w:tcPr>
            <w:tcW w:w="1163" w:type="dxa"/>
            <w:tcBorders>
              <w:top w:val="nil"/>
              <w:bottom w:val="single" w:sz="12" w:space="0" w:color="auto"/>
            </w:tcBorders>
          </w:tcPr>
          <w:p w14:paraId="27D31E67" w14:textId="7430E435" w:rsidR="00F351EB" w:rsidRPr="00573723" w:rsidRDefault="004A6C38" w:rsidP="000B72AE">
            <w:pPr>
              <w:spacing w:after="120" w:line="360" w:lineRule="auto"/>
              <w:jc w:val="center"/>
            </w:pPr>
            <w:r>
              <w:rPr>
                <w:rFonts w:hint="eastAsia"/>
              </w:rPr>
              <w:t>0.148 [-0.08, 0.38]</w:t>
            </w:r>
          </w:p>
        </w:tc>
        <w:tc>
          <w:tcPr>
            <w:tcW w:w="1137" w:type="dxa"/>
            <w:tcBorders>
              <w:top w:val="nil"/>
              <w:bottom w:val="single" w:sz="12" w:space="0" w:color="auto"/>
            </w:tcBorders>
          </w:tcPr>
          <w:p w14:paraId="69421AF3" w14:textId="0247C0A3" w:rsidR="00F351EB" w:rsidRPr="00573723" w:rsidRDefault="004A6C38" w:rsidP="000B72AE">
            <w:pPr>
              <w:spacing w:after="120" w:line="360" w:lineRule="auto"/>
              <w:jc w:val="center"/>
            </w:pPr>
            <w:r>
              <w:rPr>
                <w:rFonts w:hint="eastAsia"/>
              </w:rPr>
              <w:t>1.78(4)</w:t>
            </w:r>
          </w:p>
        </w:tc>
        <w:tc>
          <w:tcPr>
            <w:tcW w:w="788" w:type="dxa"/>
            <w:tcBorders>
              <w:top w:val="nil"/>
              <w:bottom w:val="single" w:sz="12" w:space="0" w:color="auto"/>
            </w:tcBorders>
          </w:tcPr>
          <w:p w14:paraId="2810CBB3" w14:textId="44942B90" w:rsidR="00F351EB" w:rsidRPr="00573723" w:rsidRDefault="004A6C38" w:rsidP="000B72AE">
            <w:pPr>
              <w:spacing w:after="120" w:line="360" w:lineRule="auto"/>
              <w:jc w:val="center"/>
            </w:pPr>
            <w:r>
              <w:rPr>
                <w:rFonts w:hint="eastAsia"/>
              </w:rPr>
              <w:t>.149</w:t>
            </w:r>
          </w:p>
        </w:tc>
        <w:tc>
          <w:tcPr>
            <w:tcW w:w="962" w:type="dxa"/>
            <w:tcBorders>
              <w:top w:val="nil"/>
              <w:bottom w:val="single" w:sz="12" w:space="0" w:color="auto"/>
            </w:tcBorders>
          </w:tcPr>
          <w:p w14:paraId="27634954" w14:textId="7941E50A" w:rsidR="00F351EB" w:rsidRPr="009E6CC9" w:rsidRDefault="004A6C38" w:rsidP="000B72AE">
            <w:pPr>
              <w:spacing w:after="120" w:line="360" w:lineRule="auto"/>
              <w:jc w:val="center"/>
            </w:pPr>
            <w:r>
              <w:rPr>
                <w:rFonts w:hint="eastAsia"/>
              </w:rPr>
              <w:t>5.97(4)</w:t>
            </w:r>
          </w:p>
        </w:tc>
        <w:tc>
          <w:tcPr>
            <w:tcW w:w="919" w:type="dxa"/>
            <w:tcBorders>
              <w:top w:val="nil"/>
              <w:bottom w:val="single" w:sz="12" w:space="0" w:color="auto"/>
            </w:tcBorders>
          </w:tcPr>
          <w:p w14:paraId="2700D0F1" w14:textId="1C6A0107" w:rsidR="00F351EB" w:rsidRPr="00573723" w:rsidRDefault="004A6C38" w:rsidP="000B72AE">
            <w:pPr>
              <w:spacing w:after="120" w:line="360" w:lineRule="auto"/>
              <w:jc w:val="center"/>
            </w:pPr>
            <w:r>
              <w:rPr>
                <w:rFonts w:hint="eastAsia"/>
              </w:rPr>
              <w:t>.201</w:t>
            </w:r>
          </w:p>
        </w:tc>
        <w:tc>
          <w:tcPr>
            <w:tcW w:w="1013" w:type="dxa"/>
            <w:tcBorders>
              <w:top w:val="nil"/>
              <w:bottom w:val="single" w:sz="12" w:space="0" w:color="auto"/>
            </w:tcBorders>
          </w:tcPr>
          <w:p w14:paraId="655C7495" w14:textId="3BE878C2" w:rsidR="00F351EB" w:rsidRPr="00573723" w:rsidRDefault="004A6C38" w:rsidP="000B72AE">
            <w:pPr>
              <w:spacing w:after="120" w:line="360" w:lineRule="auto"/>
              <w:jc w:val="center"/>
            </w:pPr>
            <w:r>
              <w:rPr>
                <w:rFonts w:hint="eastAsia"/>
              </w:rPr>
              <w:t>33.0% [0.0, 74.6]</w:t>
            </w:r>
          </w:p>
        </w:tc>
        <w:tc>
          <w:tcPr>
            <w:tcW w:w="1052" w:type="dxa"/>
            <w:tcBorders>
              <w:top w:val="nil"/>
              <w:bottom w:val="single" w:sz="12" w:space="0" w:color="auto"/>
            </w:tcBorders>
          </w:tcPr>
          <w:p w14:paraId="26F15976" w14:textId="0AE3519C" w:rsidR="00F351EB" w:rsidRPr="00573723" w:rsidRDefault="004A6C38" w:rsidP="000B72AE">
            <w:pPr>
              <w:spacing w:after="120" w:line="360" w:lineRule="auto"/>
              <w:jc w:val="center"/>
            </w:pPr>
            <w:r>
              <w:rPr>
                <w:rFonts w:hint="eastAsia"/>
              </w:rPr>
              <w:t xml:space="preserve">0.014 </w:t>
            </w:r>
          </w:p>
        </w:tc>
        <w:tc>
          <w:tcPr>
            <w:tcW w:w="958" w:type="dxa"/>
            <w:tcBorders>
              <w:top w:val="nil"/>
              <w:bottom w:val="single" w:sz="12" w:space="0" w:color="auto"/>
            </w:tcBorders>
          </w:tcPr>
          <w:p w14:paraId="1401DBD6" w14:textId="40143986" w:rsidR="00F351EB" w:rsidRPr="00573723" w:rsidRDefault="004A6C38" w:rsidP="000B72AE">
            <w:pPr>
              <w:spacing w:after="120" w:line="360" w:lineRule="auto"/>
              <w:jc w:val="center"/>
            </w:pPr>
            <w:r>
              <w:rPr>
                <w:rFonts w:hint="eastAsia"/>
              </w:rPr>
              <w:t>[-0.27,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26"/>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65AF075D" w14:textId="277A57F3" w:rsidR="000C3784" w:rsidRDefault="00000000">
      <w:pPr>
        <w:pStyle w:val="2"/>
      </w:pPr>
      <w:r>
        <w:t>4.</w:t>
      </w:r>
      <w:r w:rsidR="007C77E2">
        <w:rPr>
          <w:rFonts w:eastAsiaTheme="minorEastAsia" w:hint="eastAsia"/>
        </w:rPr>
        <w:t>5</w:t>
      </w:r>
      <w:r>
        <w:t xml:space="preserve">. Subgroup </w:t>
      </w:r>
      <w:r w:rsidR="002060A8" w:rsidRPr="002060A8">
        <w:t xml:space="preserve">Analyses </w:t>
      </w:r>
    </w:p>
    <w:p w14:paraId="39CB5B05" w14:textId="1DE6BF29" w:rsidR="00797CAC" w:rsidRPr="001F5182" w:rsidRDefault="001F5182" w:rsidP="00797CAC">
      <w:pPr>
        <w:spacing w:after="120" w:line="360" w:lineRule="auto"/>
        <w:ind w:firstLine="360"/>
        <w:jc w:val="both"/>
      </w:pPr>
      <w:r w:rsidRPr="001F5182">
        <w:t>[Placeholder for subgroup forest plots by control type, baseline severity, age group, and presence of human contact, together with meta-regression results for component count and total dose.]</w:t>
      </w:r>
    </w:p>
    <w:p w14:paraId="28A8738F" w14:textId="0538E082" w:rsidR="002060A8" w:rsidRDefault="00000000">
      <w:pPr>
        <w:pStyle w:val="2"/>
        <w:rPr>
          <w:rFonts w:eastAsiaTheme="minorEastAsia"/>
        </w:rPr>
      </w:pPr>
      <w:r>
        <w:t>4.</w:t>
      </w:r>
      <w:r w:rsidR="007C77E2">
        <w:rPr>
          <w:rFonts w:eastAsiaTheme="minorEastAsia" w:hint="eastAsia"/>
        </w:rPr>
        <w:t>6</w:t>
      </w:r>
      <w:r>
        <w:t>. Sensitivity</w:t>
      </w:r>
      <w:r w:rsidR="002060A8" w:rsidRPr="002060A8">
        <w:t xml:space="preserve"> and Robustness</w:t>
      </w:r>
      <w:r>
        <w:t xml:space="preserve"> Analyses</w:t>
      </w:r>
    </w:p>
    <w:p w14:paraId="1D20D980" w14:textId="0E827A52" w:rsidR="002060A8" w:rsidRPr="002060A8" w:rsidRDefault="002060A8" w:rsidP="002060A8">
      <w:pPr>
        <w:pStyle w:val="3"/>
        <w:rPr>
          <w:rFonts w:eastAsiaTheme="minorEastAsia"/>
        </w:rPr>
      </w:pPr>
      <w:bookmarkStart w:id="29" w:name="OLE_LINK10"/>
      <w:r w:rsidRPr="002060A8">
        <w:rPr>
          <w:rFonts w:eastAsiaTheme="minorEastAsia"/>
        </w:rPr>
        <w:lastRenderedPageBreak/>
        <w:t>4.</w:t>
      </w:r>
      <w:r w:rsidR="007C77E2">
        <w:rPr>
          <w:rFonts w:eastAsiaTheme="minorEastAsia" w:hint="eastAsia"/>
        </w:rPr>
        <w:t>6</w:t>
      </w:r>
      <w:r w:rsidRPr="002060A8">
        <w:rPr>
          <w:rFonts w:eastAsiaTheme="minorEastAsia"/>
        </w:rPr>
        <w:t>.1 Outlier detection</w:t>
      </w:r>
      <w:r w:rsidRPr="002060A8">
        <w:rPr>
          <w:rFonts w:eastAsiaTheme="minorEastAsia"/>
        </w:rPr>
        <w:br/>
        <w:t>4.</w:t>
      </w:r>
      <w:r w:rsidR="007C77E2">
        <w:rPr>
          <w:rFonts w:eastAsiaTheme="minorEastAsia" w:hint="eastAsia"/>
        </w:rPr>
        <w:t>6</w:t>
      </w:r>
      <w:r w:rsidRPr="002060A8">
        <w:rPr>
          <w:rFonts w:eastAsiaTheme="minorEastAsia"/>
        </w:rPr>
        <w:t>.2 Leave-one-out influence analysis</w:t>
      </w:r>
      <w:bookmarkEnd w:id="29"/>
      <w:r w:rsidRPr="002060A8">
        <w:rPr>
          <w:rFonts w:eastAsiaTheme="minorEastAsia"/>
        </w:rPr>
        <w:br/>
        <w:t>4.</w:t>
      </w:r>
      <w:r w:rsidR="007C77E2">
        <w:rPr>
          <w:rFonts w:eastAsiaTheme="minorEastAsia" w:hint="eastAsia"/>
        </w:rPr>
        <w:t>6</w:t>
      </w:r>
      <w:r w:rsidRPr="002060A8">
        <w:rPr>
          <w:rFonts w:eastAsiaTheme="minorEastAsia"/>
        </w:rPr>
        <w:t>.3 Planned sensitivity analyses</w:t>
      </w:r>
    </w:p>
    <w:p w14:paraId="06C7CE19" w14:textId="77777777" w:rsidR="000C3784" w:rsidRDefault="00000000">
      <w:pPr>
        <w:spacing w:after="120" w:line="360" w:lineRule="auto"/>
        <w:ind w:firstLine="360"/>
        <w:jc w:val="both"/>
      </w:pPr>
      <w:r>
        <w:rPr>
          <w:rFonts w:eastAsia="Times New Roman"/>
        </w:rPr>
        <w:t>[Placeholder for sensitivity analysis results.]</w:t>
      </w:r>
    </w:p>
    <w:p w14:paraId="72E848FF" w14:textId="693C5E5A" w:rsidR="000C3784" w:rsidRDefault="00000000">
      <w:pPr>
        <w:pStyle w:val="2"/>
      </w:pPr>
      <w:r>
        <w:t>4.</w:t>
      </w:r>
      <w:r w:rsidR="007C77E2">
        <w:rPr>
          <w:rFonts w:eastAsiaTheme="minorEastAsia" w:hint="eastAsia"/>
        </w:rPr>
        <w:t>7</w:t>
      </w:r>
      <w:r>
        <w:t xml:space="preserve">. </w:t>
      </w:r>
      <w:r w:rsidR="00C35D16" w:rsidRPr="00C35D16">
        <w:t>Acceptability (Differential Dropout)</w:t>
      </w:r>
    </w:p>
    <w:p w14:paraId="54455313" w14:textId="77777777" w:rsidR="000C3784" w:rsidRDefault="00000000">
      <w:pPr>
        <w:spacing w:after="120" w:line="360" w:lineRule="auto"/>
        <w:ind w:firstLine="360"/>
        <w:jc w:val="both"/>
      </w:pPr>
      <w:r>
        <w:rPr>
          <w:rFonts w:eastAsia="Times New Roman"/>
        </w:rPr>
        <w:t>[Placeholder for differential dropout analysis.]</w:t>
      </w:r>
    </w:p>
    <w:p w14:paraId="1CE82519" w14:textId="1471BCB4" w:rsidR="007C77E2" w:rsidRDefault="007C77E2" w:rsidP="007C77E2">
      <w:pPr>
        <w:pStyle w:val="2"/>
        <w:rPr>
          <w:rFonts w:eastAsiaTheme="minorEastAsia"/>
        </w:rPr>
      </w:pPr>
      <w:r>
        <w:t>4.</w:t>
      </w:r>
      <w:r w:rsidR="00F315C0">
        <w:rPr>
          <w:rFonts w:eastAsiaTheme="minorEastAsia" w:hint="eastAsia"/>
        </w:rPr>
        <w:t>8</w:t>
      </w:r>
      <w:r>
        <w:t>. Publication Bias</w:t>
      </w:r>
    </w:p>
    <w:p w14:paraId="6054C77F" w14:textId="5E38FFBE" w:rsidR="005D4317" w:rsidRDefault="005D4317" w:rsidP="005D4317">
      <w:pPr>
        <w:spacing w:after="120" w:line="360" w:lineRule="auto"/>
        <w:ind w:firstLine="360"/>
        <w:jc w:val="both"/>
        <w:rPr>
          <w:rFonts w:hint="eastAsia"/>
        </w:rPr>
      </w:pPr>
      <w:r>
        <w:t>A contour-enhanced funnel plot was constructed to assess potential small-study effects (Figure X). Visual inspection suggested some asymmetry: high-precision studies clustered around the pooled estimate, whereas the three least precise trials (Fleming, 2012; Ackerson, 1998; Stasiak, 2014) were located on the positive side of the plot, with no comparable small-sample trials on the negative side. The contour shading indicated that the corresponding mirror region on the left would fall mainly within the non-significant zone (p &gt; .10). If studies were missing from this region, such a pattern would be consistent with selective non-publication of small, non-significant trials, although other sources of asymmetry, such as heterogeneity or methodological differences between studies, could not be ruled out.</w:t>
      </w:r>
    </w:p>
    <w:p w14:paraId="67BBB58B" w14:textId="0DE32617" w:rsidR="005D4317" w:rsidRDefault="005D4317" w:rsidP="005D4317">
      <w:pPr>
        <w:spacing w:after="120" w:line="360" w:lineRule="auto"/>
        <w:ind w:firstLine="360"/>
        <w:jc w:val="both"/>
      </w:pPr>
      <w:r>
        <w:t xml:space="preserve">Egger’s regression test showed a non-significant trend toward funnel plot asymmetry, </w:t>
      </w:r>
      <w:proofErr w:type="gramStart"/>
      <w:r>
        <w:t>t(</w:t>
      </w:r>
      <w:proofErr w:type="gramEnd"/>
      <w:r>
        <w:t xml:space="preserve">12) = 1.85, p = .089. Because the effect size was a standardized mean difference (SMD), a modified test proposed by Pustejovsky and Rodgers (2019), which adjusts for the artifactual dependence between SMDs and their standard errors, was additionally conducted. This modified test was also not statistically significant, </w:t>
      </w:r>
      <w:proofErr w:type="gramStart"/>
      <w:r>
        <w:t>t(</w:t>
      </w:r>
      <w:proofErr w:type="gramEnd"/>
      <w:r>
        <w:t>12) = 1.69, p = .117.</w:t>
      </w:r>
    </w:p>
    <w:p w14:paraId="04F2AA90" w14:textId="77777777" w:rsidR="00533CFD" w:rsidRDefault="00533CFD" w:rsidP="005D4317">
      <w:pPr>
        <w:spacing w:after="120" w:line="360" w:lineRule="auto"/>
        <w:ind w:firstLine="360"/>
        <w:jc w:val="both"/>
      </w:pPr>
    </w:p>
    <w:p w14:paraId="6E2C70CD" w14:textId="77777777" w:rsidR="00533CFD" w:rsidRDefault="00533CFD" w:rsidP="005D4317">
      <w:pPr>
        <w:spacing w:after="120" w:line="360" w:lineRule="auto"/>
        <w:ind w:firstLine="360"/>
        <w:jc w:val="both"/>
      </w:pPr>
    </w:p>
    <w:p w14:paraId="54E15E21" w14:textId="77777777" w:rsidR="00533CFD" w:rsidRDefault="00533CFD" w:rsidP="005D4317">
      <w:pPr>
        <w:spacing w:after="120" w:line="360" w:lineRule="auto"/>
        <w:ind w:firstLine="360"/>
        <w:jc w:val="both"/>
      </w:pPr>
    </w:p>
    <w:p w14:paraId="4242D3F7" w14:textId="77777777" w:rsidR="00533CFD" w:rsidRDefault="00533CFD" w:rsidP="005D4317">
      <w:pPr>
        <w:spacing w:after="120" w:line="360" w:lineRule="auto"/>
        <w:ind w:firstLine="360"/>
        <w:jc w:val="both"/>
      </w:pPr>
    </w:p>
    <w:p w14:paraId="2E4F2F90" w14:textId="77777777" w:rsidR="00533CFD" w:rsidRDefault="00533CFD" w:rsidP="005D4317">
      <w:pPr>
        <w:spacing w:after="120" w:line="360" w:lineRule="auto"/>
        <w:ind w:firstLine="360"/>
        <w:jc w:val="both"/>
      </w:pPr>
    </w:p>
    <w:p w14:paraId="7465F6BE" w14:textId="77777777" w:rsidR="00533CFD" w:rsidRDefault="00533CFD" w:rsidP="005D4317">
      <w:pPr>
        <w:spacing w:after="120" w:line="360" w:lineRule="auto"/>
        <w:ind w:firstLine="360"/>
        <w:jc w:val="both"/>
      </w:pPr>
    </w:p>
    <w:p w14:paraId="56F0B092" w14:textId="77777777" w:rsidR="00533CFD" w:rsidRDefault="00533CFD" w:rsidP="005D4317">
      <w:pPr>
        <w:spacing w:after="120" w:line="360" w:lineRule="auto"/>
        <w:ind w:firstLine="360"/>
        <w:jc w:val="both"/>
        <w:rPr>
          <w:rFonts w:hint="eastAsia"/>
        </w:rPr>
      </w:pPr>
    </w:p>
    <w:p w14:paraId="05CBB10D" w14:textId="77777777" w:rsidR="00533CFD" w:rsidRPr="007C77E2" w:rsidRDefault="00533CFD" w:rsidP="00533CFD">
      <w:pPr>
        <w:spacing w:after="120" w:line="360" w:lineRule="auto"/>
        <w:jc w:val="both"/>
        <w:rPr>
          <w:rFonts w:hint="eastAsia"/>
          <w:b/>
          <w:bCs/>
          <w:noProof/>
        </w:rPr>
      </w:pPr>
      <w:r w:rsidRPr="007C77E2">
        <w:rPr>
          <w:rFonts w:hint="eastAsia"/>
          <w:b/>
          <w:bCs/>
          <w:noProof/>
        </w:rPr>
        <w:lastRenderedPageBreak/>
        <w:t>Figure X. Contour-Enhanced Funnel Plot</w:t>
      </w:r>
    </w:p>
    <w:p w14:paraId="7254034E" w14:textId="77777777" w:rsidR="00533CFD" w:rsidRDefault="00533CFD" w:rsidP="00533CFD">
      <w:pPr>
        <w:spacing w:after="120" w:line="360" w:lineRule="auto"/>
        <w:jc w:val="center"/>
        <w:rPr>
          <w:rFonts w:hint="eastAsia"/>
        </w:rPr>
      </w:pPr>
      <w:r>
        <w:rPr>
          <w:rFonts w:hint="eastAsia"/>
          <w:noProof/>
        </w:rPr>
        <w:drawing>
          <wp:inline distT="0" distB="0" distL="0" distR="0" wp14:anchorId="1C0FC166" wp14:editId="237B157D">
            <wp:extent cx="4902200" cy="4085167"/>
            <wp:effectExtent l="0" t="0" r="0" b="0"/>
            <wp:docPr id="121744578"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4578" name="图片 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05577" cy="4087981"/>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rPr>
          <w:rFonts w:hint="eastAsia"/>
        </w:rPr>
      </w:pPr>
    </w:p>
    <w:p w14:paraId="6E664753" w14:textId="2730957A" w:rsidR="00671AD3" w:rsidRPr="005645E2" w:rsidRDefault="005D4317" w:rsidP="005D4317">
      <w:pPr>
        <w:spacing w:after="120" w:line="360" w:lineRule="auto"/>
        <w:ind w:firstLine="360"/>
        <w:jc w:val="both"/>
        <w:rPr>
          <w:rFonts w:hint="eastAsia"/>
        </w:rPr>
      </w:pPr>
      <w:r>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also widened from [−0.27, 0.80] to [−0.50, 0.93], alongside an increase in between-study heterogeneity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1DAB6445" w14:textId="77777777" w:rsidR="003C3A12" w:rsidRDefault="003C3A12" w:rsidP="00FE5AF8">
      <w:pPr>
        <w:spacing w:after="120" w:line="360" w:lineRule="auto"/>
        <w:jc w:val="both"/>
        <w:rPr>
          <w:rFonts w:hint="eastAsia"/>
          <w:b/>
          <w:bCs/>
        </w:rPr>
      </w:pPr>
    </w:p>
    <w:p w14:paraId="16DE25CA" w14:textId="43518356" w:rsidR="00FE5AF8" w:rsidRPr="008A3660" w:rsidRDefault="00FE5AF8" w:rsidP="00FE5AF8">
      <w:pPr>
        <w:spacing w:after="120" w:line="360" w:lineRule="auto"/>
        <w:jc w:val="both"/>
        <w:rPr>
          <w:rFonts w:hint="eastAsia"/>
          <w:b/>
          <w:bCs/>
        </w:rPr>
      </w:pPr>
      <w:r w:rsidRPr="008F4577">
        <w:rPr>
          <w:rFonts w:hint="eastAsia"/>
          <w:b/>
          <w:bCs/>
        </w:rPr>
        <w:lastRenderedPageBreak/>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E701EB">
        <w:trPr>
          <w:trHeight w:val="867"/>
        </w:trPr>
        <w:tc>
          <w:tcPr>
            <w:tcW w:w="1355" w:type="dxa"/>
            <w:tcBorders>
              <w:top w:val="single" w:sz="12" w:space="0" w:color="auto"/>
              <w:bottom w:val="single" w:sz="4" w:space="0" w:color="auto"/>
            </w:tcBorders>
          </w:tcPr>
          <w:p w14:paraId="635C6CDB" w14:textId="293D58D5" w:rsidR="00E701EB" w:rsidRPr="00E701EB" w:rsidRDefault="00E701EB" w:rsidP="000232C7">
            <w:pPr>
              <w:spacing w:after="120" w:line="360" w:lineRule="auto"/>
              <w:jc w:val="center"/>
              <w:rPr>
                <w:b/>
                <w:bCs/>
              </w:rPr>
            </w:pPr>
            <w:r w:rsidRPr="00E701EB">
              <w:rPr>
                <w:rFonts w:hint="eastAsia"/>
                <w:b/>
                <w:bCs/>
              </w:rPr>
              <w:t>model</w:t>
            </w:r>
          </w:p>
        </w:tc>
        <w:tc>
          <w:tcPr>
            <w:tcW w:w="1837" w:type="dxa"/>
            <w:tcBorders>
              <w:top w:val="single" w:sz="12" w:space="0" w:color="auto"/>
              <w:bottom w:val="single" w:sz="4" w:space="0" w:color="auto"/>
            </w:tcBorders>
          </w:tcPr>
          <w:p w14:paraId="6BC8E96B" w14:textId="27729F28" w:rsidR="00E701EB" w:rsidRPr="00533CFD" w:rsidRDefault="00E701EB" w:rsidP="000232C7">
            <w:pPr>
              <w:spacing w:after="120" w:line="360" w:lineRule="auto"/>
              <w:jc w:val="center"/>
              <w:rPr>
                <w:rFonts w:hint="eastAsia"/>
                <w:b/>
                <w:bCs/>
                <w:i/>
                <w:iCs/>
              </w:rPr>
            </w:pPr>
            <w:r>
              <w:rPr>
                <w:b/>
                <w:bCs/>
              </w:rPr>
              <w:t>I</w:t>
            </w:r>
            <w:r>
              <w:rPr>
                <w:rFonts w:hint="eastAsia"/>
                <w:b/>
                <w:bCs/>
              </w:rPr>
              <w:t>mputed k</w:t>
            </w:r>
          </w:p>
        </w:tc>
        <w:tc>
          <w:tcPr>
            <w:tcW w:w="1768" w:type="dxa"/>
            <w:tcBorders>
              <w:top w:val="single" w:sz="12" w:space="0" w:color="auto"/>
              <w:bottom w:val="single" w:sz="4" w:space="0" w:color="auto"/>
            </w:tcBorders>
          </w:tcPr>
          <w:p w14:paraId="15AFA23D" w14:textId="16264741" w:rsidR="00E701EB" w:rsidRPr="00533CFD" w:rsidRDefault="00E701EB" w:rsidP="000232C7">
            <w:pPr>
              <w:spacing w:after="120" w:line="360" w:lineRule="auto"/>
              <w:jc w:val="center"/>
              <w:rPr>
                <w:rFonts w:hint="eastAsia"/>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12" w:space="0" w:color="auto"/>
              <w:bottom w:val="single" w:sz="4" w:space="0" w:color="auto"/>
            </w:tcBorders>
          </w:tcPr>
          <w:p w14:paraId="03B2751D" w14:textId="749F3826" w:rsidR="00E701EB" w:rsidRPr="00533CFD" w:rsidRDefault="00E701EB" w:rsidP="000232C7">
            <w:pPr>
              <w:spacing w:after="120" w:line="360" w:lineRule="auto"/>
              <w:jc w:val="center"/>
              <w:rPr>
                <w:b/>
                <w:bCs/>
              </w:rPr>
            </w:pPr>
            <w:r w:rsidRPr="00533CFD">
              <w:rPr>
                <w:b/>
                <w:bCs/>
              </w:rPr>
              <w:t>95% CI</w:t>
            </w:r>
          </w:p>
        </w:tc>
        <w:tc>
          <w:tcPr>
            <w:tcW w:w="1501" w:type="dxa"/>
            <w:tcBorders>
              <w:top w:val="single" w:sz="12" w:space="0" w:color="auto"/>
              <w:bottom w:val="single" w:sz="4" w:space="0" w:color="auto"/>
            </w:tcBorders>
          </w:tcPr>
          <w:p w14:paraId="6CE1229A" w14:textId="77777777" w:rsidR="00E701EB" w:rsidRPr="00533CFD" w:rsidRDefault="00E701EB" w:rsidP="000232C7">
            <w:pPr>
              <w:spacing w:after="120" w:line="360" w:lineRule="auto"/>
              <w:jc w:val="center"/>
              <w:rPr>
                <w:b/>
                <w:bCs/>
              </w:rPr>
            </w:pPr>
            <w:r w:rsidRPr="00533CFD">
              <w:rPr>
                <w:b/>
                <w:bCs/>
              </w:rPr>
              <w:t>95% PI</w:t>
            </w:r>
          </w:p>
        </w:tc>
        <w:tc>
          <w:tcPr>
            <w:tcW w:w="1341" w:type="dxa"/>
            <w:tcBorders>
              <w:top w:val="single" w:sz="12" w:space="0" w:color="auto"/>
              <w:bottom w:val="single" w:sz="4" w:space="0" w:color="auto"/>
            </w:tcBorders>
          </w:tcPr>
          <w:p w14:paraId="15C96063" w14:textId="4C769AA6" w:rsidR="00E701EB" w:rsidRPr="00533CFD" w:rsidRDefault="00E701EB" w:rsidP="000232C7">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0232C7">
            <w:pPr>
              <w:spacing w:after="120" w:line="360" w:lineRule="auto"/>
              <w:jc w:val="center"/>
              <w:rPr>
                <w:rFonts w:hint="eastAsia"/>
              </w:rP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0232C7">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0232C7">
            <w:pPr>
              <w:spacing w:after="120" w:line="360" w:lineRule="auto"/>
              <w:jc w:val="center"/>
              <w:rPr>
                <w:rFonts w:hint="eastAsia"/>
              </w:rPr>
            </w:pPr>
            <w:r>
              <w:rPr>
                <w:rFonts w:hint="eastAsia"/>
              </w:rPr>
              <w:t>0.27</w:t>
            </w:r>
          </w:p>
        </w:tc>
        <w:tc>
          <w:tcPr>
            <w:tcW w:w="1558" w:type="dxa"/>
            <w:tcBorders>
              <w:top w:val="single" w:sz="4" w:space="0" w:color="auto"/>
              <w:bottom w:val="nil"/>
            </w:tcBorders>
          </w:tcPr>
          <w:p w14:paraId="64A62C23" w14:textId="18FAF6CA" w:rsidR="00E701EB" w:rsidRPr="00573723" w:rsidRDefault="00E701EB" w:rsidP="000232C7">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0232C7">
            <w:pPr>
              <w:spacing w:after="120" w:line="360" w:lineRule="auto"/>
              <w:jc w:val="center"/>
            </w:pPr>
            <w:r w:rsidRPr="00573723">
              <w:t>[−0.27, 0.80]</w:t>
            </w:r>
          </w:p>
        </w:tc>
        <w:tc>
          <w:tcPr>
            <w:tcW w:w="1341" w:type="dxa"/>
            <w:tcBorders>
              <w:top w:val="single" w:sz="4" w:space="0" w:color="auto"/>
              <w:bottom w:val="nil"/>
            </w:tcBorders>
          </w:tcPr>
          <w:p w14:paraId="7592B621" w14:textId="4866E027" w:rsidR="00E701EB" w:rsidRPr="00573723" w:rsidRDefault="00E701EB" w:rsidP="000232C7">
            <w:pPr>
              <w:spacing w:after="120" w:line="360" w:lineRule="auto"/>
              <w:jc w:val="center"/>
            </w:pPr>
            <w:r w:rsidRPr="00E701EB">
              <w:t>35.34 (13)</w:t>
            </w:r>
          </w:p>
        </w:tc>
      </w:tr>
      <w:tr w:rsidR="00E701EB" w:rsidRPr="00573723" w14:paraId="1E926D02" w14:textId="1861FB5D" w:rsidTr="00E701EB">
        <w:trPr>
          <w:trHeight w:val="492"/>
        </w:trPr>
        <w:tc>
          <w:tcPr>
            <w:tcW w:w="1355" w:type="dxa"/>
            <w:tcBorders>
              <w:top w:val="nil"/>
            </w:tcBorders>
          </w:tcPr>
          <w:p w14:paraId="12AF1EF2" w14:textId="1463EFA3" w:rsidR="00E701EB" w:rsidRPr="00573723" w:rsidRDefault="00E701EB" w:rsidP="000232C7">
            <w:pPr>
              <w:spacing w:after="120" w:line="360" w:lineRule="auto"/>
              <w:jc w:val="center"/>
              <w:rPr>
                <w:rFonts w:hint="eastAsia"/>
              </w:rPr>
            </w:pPr>
            <w:r>
              <w:rPr>
                <w:rFonts w:hint="eastAsia"/>
              </w:rPr>
              <w:t>Adjusted</w:t>
            </w:r>
          </w:p>
        </w:tc>
        <w:tc>
          <w:tcPr>
            <w:tcW w:w="1837" w:type="dxa"/>
            <w:tcBorders>
              <w:top w:val="nil"/>
            </w:tcBorders>
          </w:tcPr>
          <w:p w14:paraId="6342EEEC" w14:textId="28030E56" w:rsidR="00E701EB" w:rsidRPr="00573723" w:rsidRDefault="00E701EB" w:rsidP="000232C7">
            <w:pPr>
              <w:spacing w:after="120" w:line="360" w:lineRule="auto"/>
              <w:jc w:val="center"/>
              <w:rPr>
                <w:rFonts w:hint="eastAsia"/>
              </w:rPr>
            </w:pPr>
            <w:r>
              <w:rPr>
                <w:rFonts w:hint="eastAsia"/>
              </w:rPr>
              <w:t>2</w:t>
            </w:r>
          </w:p>
        </w:tc>
        <w:tc>
          <w:tcPr>
            <w:tcW w:w="1768" w:type="dxa"/>
            <w:tcBorders>
              <w:top w:val="nil"/>
            </w:tcBorders>
          </w:tcPr>
          <w:p w14:paraId="19D4B8BE" w14:textId="7D3BE298" w:rsidR="00E701EB" w:rsidRPr="00573723" w:rsidRDefault="00E701EB" w:rsidP="000232C7">
            <w:pPr>
              <w:spacing w:after="120" w:line="360" w:lineRule="auto"/>
              <w:jc w:val="center"/>
              <w:rPr>
                <w:rFonts w:hint="eastAsia"/>
              </w:rPr>
            </w:pPr>
            <w:r>
              <w:rPr>
                <w:rFonts w:hint="eastAsia"/>
              </w:rPr>
              <w:t>0.21</w:t>
            </w:r>
          </w:p>
        </w:tc>
        <w:tc>
          <w:tcPr>
            <w:tcW w:w="1558" w:type="dxa"/>
            <w:tcBorders>
              <w:top w:val="nil"/>
            </w:tcBorders>
          </w:tcPr>
          <w:p w14:paraId="684982B0" w14:textId="19C38CA4" w:rsidR="00E701EB" w:rsidRPr="00573723" w:rsidRDefault="00E701EB" w:rsidP="000232C7">
            <w:pPr>
              <w:spacing w:after="120" w:line="360" w:lineRule="auto"/>
              <w:jc w:val="center"/>
            </w:pPr>
            <w:r w:rsidRPr="00E701EB">
              <w:t>[−0.04, 0.47]</w:t>
            </w:r>
          </w:p>
        </w:tc>
        <w:tc>
          <w:tcPr>
            <w:tcW w:w="1501" w:type="dxa"/>
            <w:tcBorders>
              <w:top w:val="nil"/>
            </w:tcBorders>
          </w:tcPr>
          <w:p w14:paraId="7312429D" w14:textId="3016D47E" w:rsidR="00E701EB" w:rsidRPr="00573723" w:rsidRDefault="00E701EB" w:rsidP="000232C7">
            <w:pPr>
              <w:spacing w:after="120" w:line="360" w:lineRule="auto"/>
              <w:jc w:val="center"/>
            </w:pPr>
            <w:r w:rsidRPr="00E701EB">
              <w:t>[−0.50, 0.93]</w:t>
            </w:r>
          </w:p>
        </w:tc>
        <w:tc>
          <w:tcPr>
            <w:tcW w:w="1341" w:type="dxa"/>
            <w:tcBorders>
              <w:top w:val="nil"/>
            </w:tcBorders>
          </w:tcPr>
          <w:p w14:paraId="01F4DD81" w14:textId="073B72DA" w:rsidR="00E701EB" w:rsidRPr="00E701EB" w:rsidRDefault="00E701EB" w:rsidP="000232C7">
            <w:pPr>
              <w:spacing w:after="120" w:line="360" w:lineRule="auto"/>
              <w:jc w:val="center"/>
            </w:pPr>
            <w:r w:rsidRPr="00E701EB">
              <w:t>48.14 (15)</w:t>
            </w:r>
          </w:p>
        </w:tc>
      </w:tr>
    </w:tbl>
    <w:p w14:paraId="5C4A9008" w14:textId="77777777" w:rsidR="00FE5AF8" w:rsidRDefault="00FE5AF8" w:rsidP="00FE5AF8">
      <w:pPr>
        <w:spacing w:after="120" w:line="360" w:lineRule="auto"/>
        <w:jc w:val="both"/>
        <w:rPr>
          <w:b/>
          <w:bCs/>
          <w:sz w:val="24"/>
          <w:szCs w:val="24"/>
        </w:rPr>
      </w:pPr>
    </w:p>
    <w:p w14:paraId="694C1B67" w14:textId="3DE9E067" w:rsidR="00671AD3" w:rsidRDefault="00E701EB" w:rsidP="007C77E2">
      <w:pPr>
        <w:spacing w:after="120" w:line="360" w:lineRule="auto"/>
        <w:jc w:val="both"/>
        <w:rPr>
          <w:rFonts w:hint="eastAsia"/>
          <w:b/>
          <w:bCs/>
          <w:noProof/>
        </w:rPr>
      </w:pPr>
      <w:r w:rsidRPr="00E701EB">
        <w:rPr>
          <w:i/>
          <w:iCs/>
        </w:rPr>
        <w:t xml:space="preserve">Note. </w:t>
      </w:r>
      <w:r w:rsidRPr="00E701EB">
        <w:t>Trim-and-fill (L₀ estimator) imputed two hypothetical studies on the negative tail (g = −0.61, mirror of Ackerson 1998; g = −1.10, mirror of Fleming 2012). Adjusted estimate based on k = 16 (14 observed + 2 imputed) using a random-effects model with Hartung–Knapp adjustment. PI = prediction interval.</w:t>
      </w:r>
    </w:p>
    <w:p w14:paraId="36C0E66A" w14:textId="77777777" w:rsidR="00E701EB" w:rsidRDefault="00E701EB" w:rsidP="007C77E2">
      <w:pPr>
        <w:spacing w:after="120" w:line="360" w:lineRule="auto"/>
        <w:jc w:val="both"/>
        <w:rPr>
          <w:b/>
          <w:bCs/>
          <w:noProof/>
        </w:rPr>
      </w:pPr>
    </w:p>
    <w:p w14:paraId="25E9AFE2" w14:textId="54360093" w:rsidR="007C77E2" w:rsidRPr="007C77E2" w:rsidRDefault="007C77E2" w:rsidP="007C77E2">
      <w:pPr>
        <w:spacing w:after="120" w:line="360" w:lineRule="auto"/>
        <w:jc w:val="both"/>
        <w:rPr>
          <w:rFonts w:hint="eastAsia"/>
          <w:b/>
          <w:bCs/>
          <w:noProof/>
        </w:rPr>
      </w:pPr>
      <w:r w:rsidRPr="007C77E2">
        <w:rPr>
          <w:rFonts w:hint="eastAsia"/>
          <w:b/>
          <w:bCs/>
          <w:noProof/>
        </w:rPr>
        <w:t xml:space="preserve">Figure X. </w:t>
      </w:r>
      <w:r>
        <w:rPr>
          <w:rFonts w:hint="eastAsia"/>
          <w:b/>
          <w:bCs/>
          <w:noProof/>
        </w:rPr>
        <w:t>Trim-and-Fill Funnel Plot</w:t>
      </w:r>
    </w:p>
    <w:p w14:paraId="4CAB6134" w14:textId="1863892C" w:rsidR="007C77E2" w:rsidRDefault="007C77E2" w:rsidP="00E701EB">
      <w:pPr>
        <w:spacing w:after="120" w:line="360" w:lineRule="auto"/>
        <w:jc w:val="center"/>
      </w:pPr>
      <w:r>
        <w:rPr>
          <w:rFonts w:hint="eastAsia"/>
          <w:noProof/>
        </w:rPr>
        <w:drawing>
          <wp:inline distT="0" distB="0" distL="0" distR="0" wp14:anchorId="3D921315" wp14:editId="2A82D29F">
            <wp:extent cx="4754880" cy="3962400"/>
            <wp:effectExtent l="0" t="0" r="7620" b="0"/>
            <wp:docPr id="1477968769" name="图片 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68769" name="图片 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55725" cy="3963104"/>
                    </a:xfrm>
                    <a:prstGeom prst="rect">
                      <a:avLst/>
                    </a:prstGeom>
                  </pic:spPr>
                </pic:pic>
              </a:graphicData>
            </a:graphic>
          </wp:inline>
        </w:drawing>
      </w:r>
    </w:p>
    <w:p w14:paraId="7B86E055" w14:textId="7E4FFACE" w:rsidR="00835B35" w:rsidRPr="007C77E2" w:rsidRDefault="00835B35" w:rsidP="00835B35">
      <w:pPr>
        <w:spacing w:after="120" w:line="360" w:lineRule="auto"/>
        <w:rPr>
          <w:rFonts w:hint="eastAsia"/>
        </w:rPr>
      </w:pPr>
      <w:r w:rsidRPr="00835B35">
        <w:rPr>
          <w:i/>
          <w:iCs/>
        </w:rPr>
        <w:t>Note</w:t>
      </w:r>
      <w:r w:rsidRPr="00835B35">
        <w:t xml:space="preserve">.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w:t>
      </w:r>
      <w:r w:rsidRPr="00835B35">
        <w:lastRenderedPageBreak/>
        <w:t>adjusted pooled estimate. Shaded contours indicate regions of statistical significance for a two-sided test against the null effect.</w:t>
      </w:r>
    </w:p>
    <w:p w14:paraId="0290E43C" w14:textId="77777777" w:rsidR="000C3784" w:rsidRDefault="00000000">
      <w:pPr>
        <w:pStyle w:val="1"/>
        <w:pageBreakBefore/>
      </w:pPr>
      <w:r>
        <w:lastRenderedPageBreak/>
        <w:t>Chapter 5. Discussion and Conclusion</w:t>
      </w:r>
    </w:p>
    <w:p w14:paraId="0B908D98" w14:textId="77777777" w:rsidR="000C3784" w:rsidRDefault="00000000">
      <w:pPr>
        <w:pStyle w:val="2"/>
      </w:pPr>
      <w:r>
        <w:t>5.1. Summary of Findings</w:t>
      </w:r>
    </w:p>
    <w:p w14:paraId="4394B1C0" w14:textId="77777777" w:rsidR="000C3784" w:rsidRDefault="00000000">
      <w:pPr>
        <w:spacing w:after="120" w:line="360" w:lineRule="auto"/>
        <w:ind w:firstLine="360"/>
        <w:jc w:val="both"/>
      </w:pPr>
      <w:r>
        <w:rPr>
          <w:rFonts w:eastAsia="Times New Roman"/>
        </w:rPr>
        <w:t>[Placeholder: principal findings mapped to research questions.]</w:t>
      </w:r>
    </w:p>
    <w:p w14:paraId="3A73DFB1" w14:textId="77777777" w:rsidR="000C3784" w:rsidRDefault="00000000">
      <w:pPr>
        <w:pStyle w:val="2"/>
      </w:pPr>
      <w:r>
        <w:t>5.2. Comparison with Prior Reviews</w:t>
      </w:r>
    </w:p>
    <w:p w14:paraId="0A5968C3" w14:textId="77777777" w:rsidR="000C3784" w:rsidRDefault="00000000">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000000">
      <w:pPr>
        <w:pStyle w:val="2"/>
      </w:pPr>
      <w:r>
        <w:t>5.4. Limitations</w:t>
      </w:r>
    </w:p>
    <w:p w14:paraId="51D0D3D6" w14:textId="77777777" w:rsidR="000C3784" w:rsidRDefault="00000000">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P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35BA730" w14:textId="77777777" w:rsidR="000C3784" w:rsidRDefault="00000000">
      <w:pPr>
        <w:pStyle w:val="2"/>
      </w:pPr>
      <w:r>
        <w:lastRenderedPageBreak/>
        <w:t>5.5. Implications and Future Directions</w:t>
      </w:r>
    </w:p>
    <w:p w14:paraId="7E29AC3C" w14:textId="77777777" w:rsidR="000C3784" w:rsidRDefault="00000000">
      <w:pPr>
        <w:spacing w:after="120" w:line="360" w:lineRule="auto"/>
        <w:ind w:firstLine="360"/>
        <w:jc w:val="both"/>
      </w:pPr>
      <w:r>
        <w:rPr>
          <w:rFonts w:eastAsia="Times New Roman"/>
        </w:rPr>
        <w:t>[Placeholder for clinical and research implications.]</w:t>
      </w:r>
    </w:p>
    <w:p w14:paraId="1FC164CC" w14:textId="77777777" w:rsidR="000C3784" w:rsidRDefault="00000000">
      <w:pPr>
        <w:pStyle w:val="2"/>
      </w:pPr>
      <w:r>
        <w:t>5.6. Conclusion</w:t>
      </w:r>
    </w:p>
    <w:p w14:paraId="5944A845" w14:textId="77777777" w:rsidR="000C3784" w:rsidRDefault="00000000">
      <w:pPr>
        <w:spacing w:after="120" w:line="360" w:lineRule="auto"/>
        <w:ind w:firstLine="360"/>
        <w:jc w:val="both"/>
      </w:pPr>
      <w:r>
        <w:rPr>
          <w:rFonts w:eastAsia="Times New Roman"/>
        </w:rPr>
        <w:t>[Placeholder for summary conclusion.]</w:t>
      </w:r>
    </w:p>
    <w:p w14:paraId="39F847D1" w14:textId="77777777" w:rsidR="000C3784" w:rsidRDefault="00000000">
      <w:pPr>
        <w:pStyle w:val="1"/>
        <w:pageBreakBefore/>
      </w:pPr>
      <w:r>
        <w:lastRenderedPageBreak/>
        <w:t>References</w:t>
      </w:r>
    </w:p>
    <w:p w14:paraId="5190D345" w14:textId="77777777" w:rsidR="000C3784" w:rsidRPr="00C720D1" w:rsidRDefault="00000000">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000000">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000000">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000000">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000000">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000000">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000000">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000000">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6" w:tgtFrame="_new" w:history="1">
        <w:r w:rsidRPr="00225D00">
          <w:rPr>
            <w:rStyle w:val="a5"/>
          </w:rPr>
          <w:t>https://doi.org/10.1186/1471-244X-10-113</w:t>
        </w:r>
      </w:hyperlink>
    </w:p>
    <w:p w14:paraId="7A91BB04" w14:textId="77777777" w:rsidR="000C3784" w:rsidRDefault="00000000">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000000">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000000">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000000">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000000">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000000">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000000">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000000">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000000">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000000">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000000">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000000">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000000">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000000">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000000">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000000">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000000">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000000">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000000">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000000">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000000">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000000">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000000">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000000">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000000">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000000">
      <w:pPr>
        <w:pStyle w:val="1"/>
        <w:pageBreakBefore/>
      </w:pPr>
      <w:r>
        <w:lastRenderedPageBreak/>
        <w:t>Appendix A. Search Terms</w:t>
      </w:r>
    </w:p>
    <w:p w14:paraId="356B177D" w14:textId="77777777" w:rsidR="000C3784" w:rsidRDefault="00000000">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000000">
      <w:pPr>
        <w:pStyle w:val="3"/>
      </w:pPr>
      <w:r>
        <w:t>Block #1. Adolescent</w:t>
      </w:r>
    </w:p>
    <w:p w14:paraId="4C0BE378" w14:textId="77777777" w:rsidR="000C3784" w:rsidRDefault="00000000">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000000">
      <w:pPr>
        <w:pStyle w:val="3"/>
      </w:pPr>
      <w:r>
        <w:t>Block #2. Depression</w:t>
      </w:r>
    </w:p>
    <w:p w14:paraId="63C0DA23" w14:textId="77777777" w:rsidR="000C3784" w:rsidRDefault="00000000">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000000">
      <w:pPr>
        <w:pStyle w:val="3"/>
      </w:pPr>
      <w:r>
        <w:t>Block #3. Cognitive Behavioral Therapy</w:t>
      </w:r>
    </w:p>
    <w:p w14:paraId="7E7043E7" w14:textId="77777777" w:rsidR="000C3784" w:rsidRDefault="00000000">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000000">
      <w:pPr>
        <w:pStyle w:val="3"/>
      </w:pPr>
      <w:r>
        <w:t>Block #4. Unguided Self-Help / Delivery Modality</w:t>
      </w:r>
    </w:p>
    <w:p w14:paraId="318476FA" w14:textId="77777777" w:rsidR="000C3784" w:rsidRDefault="00000000">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000000">
      <w:pPr>
        <w:pStyle w:val="3"/>
      </w:pPr>
      <w:r>
        <w:t>Combined Strategy</w:t>
      </w:r>
    </w:p>
    <w:p w14:paraId="267528B8" w14:textId="77777777" w:rsidR="000C3784" w:rsidRDefault="00000000">
      <w:pPr>
        <w:spacing w:after="120" w:line="360" w:lineRule="auto"/>
        <w:ind w:firstLine="360"/>
        <w:jc w:val="both"/>
      </w:pPr>
      <w:r>
        <w:rPr>
          <w:rFonts w:eastAsia="Times New Roman"/>
        </w:rPr>
        <w:t>#1 AND #2 AND #3 AND #4</w:t>
      </w:r>
    </w:p>
    <w:p w14:paraId="77A7F128" w14:textId="77777777" w:rsidR="000C3784" w:rsidRDefault="00000000">
      <w:pPr>
        <w:pStyle w:val="1"/>
        <w:pageBreakBefore/>
      </w:pPr>
      <w:r>
        <w:lastRenderedPageBreak/>
        <w:t>Appendix B. CBT Component Abbreviations</w:t>
      </w:r>
    </w:p>
    <w:p w14:paraId="00DB9554" w14:textId="77777777" w:rsidR="000C3784" w:rsidRDefault="00000000">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000000">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000000">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000000">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000000">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000000">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000000">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000000">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000000">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000000">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000000">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000000">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000000">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000000">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000000">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000000">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000000">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000000">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000000">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000000">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000000">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000000">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000000">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000000">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000000">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000000">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000000">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000000">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000000">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000000">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000000">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000000">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000000">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000000">
      <w:pPr>
        <w:pStyle w:val="1"/>
        <w:pageBreakBefore/>
      </w:pPr>
      <w:r>
        <w:lastRenderedPageBreak/>
        <w:t>Appendix C. Exclusion Reason Codes</w:t>
      </w:r>
    </w:p>
    <w:p w14:paraId="7896BAE4" w14:textId="77777777" w:rsidR="000C3784" w:rsidRDefault="00000000">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000000">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000000">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000000">
            <w:pPr>
              <w:spacing w:line="276" w:lineRule="auto"/>
              <w:jc w:val="center"/>
            </w:pPr>
            <w:bookmarkStart w:id="30"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000000">
            <w:pPr>
              <w:spacing w:line="276" w:lineRule="auto"/>
            </w:pPr>
            <w:r>
              <w:rPr>
                <w:rFonts w:eastAsia="Times New Roman"/>
                <w:sz w:val="20"/>
                <w:szCs w:val="20"/>
              </w:rPr>
              <w:t>Not a randomized controlled trial</w:t>
            </w:r>
          </w:p>
        </w:tc>
      </w:tr>
      <w:bookmarkEnd w:id="30"/>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000000">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000000">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000000">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31" w:name="OLE_LINK5"/>
            <w:r w:rsidRPr="00AC639D">
              <w:t>Intervention is not CBT-based or lacks required CBT components (cognitive restructuring and at least one behavioral component)</w:t>
            </w:r>
            <w:bookmarkEnd w:id="31"/>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000000">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000000">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000000">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000000">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000000">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000000">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000000">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000000">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000000">
            <w:pPr>
              <w:spacing w:line="276" w:lineRule="auto"/>
            </w:pPr>
            <w:bookmarkStart w:id="32" w:name="OLE_LINK6"/>
            <w:r>
              <w:rPr>
                <w:rFonts w:eastAsia="Times New Roman"/>
                <w:sz w:val="20"/>
                <w:szCs w:val="20"/>
              </w:rPr>
              <w:t>Conference abstract or protocol-only publication</w:t>
            </w:r>
            <w:bookmarkEnd w:id="32"/>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000000">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000000">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000000">
            <w:pPr>
              <w:spacing w:line="276" w:lineRule="auto"/>
              <w:jc w:val="center"/>
            </w:pPr>
            <w:bookmarkStart w:id="33"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000000">
            <w:pPr>
              <w:spacing w:line="276" w:lineRule="auto"/>
            </w:pPr>
            <w:r>
              <w:rPr>
                <w:rFonts w:eastAsia="Times New Roman"/>
                <w:sz w:val="20"/>
                <w:szCs w:val="20"/>
              </w:rPr>
              <w:t>Sample population substantially limits generalizability (e.g., pregnant adolescents)</w:t>
            </w:r>
          </w:p>
        </w:tc>
      </w:tr>
      <w:bookmarkEnd w:id="33"/>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000000">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000000">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000000">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000000">
            <w:pPr>
              <w:spacing w:line="276" w:lineRule="auto"/>
            </w:pPr>
            <w:r>
              <w:rPr>
                <w:rFonts w:eastAsia="Times New Roman"/>
                <w:sz w:val="20"/>
                <w:szCs w:val="20"/>
              </w:rPr>
              <w:t>Full text unavailable after author contact</w:t>
            </w:r>
          </w:p>
        </w:tc>
      </w:tr>
    </w:tbl>
    <w:p w14:paraId="7D3852BE" w14:textId="77777777" w:rsidR="000C3784" w:rsidRDefault="00000000">
      <w:pPr>
        <w:pStyle w:val="1"/>
        <w:pageBreakBefore/>
      </w:pPr>
      <w:r>
        <w:lastRenderedPageBreak/>
        <w:t>Appendix D. Characteristics of Included Interventions</w:t>
      </w:r>
    </w:p>
    <w:p w14:paraId="74CB4B51" w14:textId="77777777" w:rsidR="000C3784" w:rsidRDefault="00000000">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000000">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000000">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000000">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000000">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000000">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000000">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000000">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000000">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000000">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000000">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000000">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000000">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000000">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000000">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000000">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000000">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000000">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000000">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000000">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000000">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000000">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000000">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000000">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000000">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000000">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000000">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000000">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000000">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000000">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000000">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000000">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000000">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000000">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000000">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000000">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000000">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000000">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000000">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000000">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000000">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000000">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000000">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000000">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000000">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000000">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000000">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000000">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000000">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000000">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000000">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000000">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000000">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000000">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000000">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000000">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000000">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000000">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000000">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000000">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000000">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000000">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000000">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000000">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000000">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000000">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000000">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000000">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000000">
            <w:pPr>
              <w:spacing w:line="276" w:lineRule="auto"/>
            </w:pPr>
            <w:r>
              <w:rPr>
                <w:rFonts w:eastAsia="Times New Roman"/>
                <w:sz w:val="20"/>
                <w:szCs w:val="20"/>
              </w:rPr>
              <w:t>Mobile app</w:t>
            </w:r>
          </w:p>
        </w:tc>
      </w:tr>
    </w:tbl>
    <w:p w14:paraId="157A8140" w14:textId="77777777" w:rsidR="000C3784" w:rsidRDefault="00000000">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000000">
      <w:pPr>
        <w:pStyle w:val="2"/>
      </w:pPr>
      <w:r>
        <w:t>D.2. Detailed Description of Each Program</w:t>
      </w:r>
    </w:p>
    <w:p w14:paraId="4D84A96F" w14:textId="77777777" w:rsidR="000C3784" w:rsidRDefault="00000000">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000000">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000000">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000000">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000000">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000000">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000000">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000000">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000000">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000000">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000000">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000000">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000000">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000000">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000000">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000000">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000000">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000000">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000000">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000000">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000000">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000000">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000000">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000000">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000000">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000000">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000000">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000000">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000000">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000000">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000000">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000000">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000000">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000000">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 xml:space="preserve">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000000">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000000">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000000">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000000">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000000">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 xml:space="preserve">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000000">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000000">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000000">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000000">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000000">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000000">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000000">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000000">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000000">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000000">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000000">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000000">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000000">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000000">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 xml:space="preserve">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000000">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000000">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17"/>
      <w:footerReference w:type="default" r:id="rId1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BE99" w14:textId="77777777" w:rsidR="000817C9" w:rsidRDefault="000817C9">
      <w:r>
        <w:separator/>
      </w:r>
    </w:p>
  </w:endnote>
  <w:endnote w:type="continuationSeparator" w:id="0">
    <w:p w14:paraId="2A7CF85B" w14:textId="77777777" w:rsidR="000817C9" w:rsidRDefault="00081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000000">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F761B" w14:textId="77777777" w:rsidR="000817C9" w:rsidRDefault="000817C9">
      <w:r>
        <w:separator/>
      </w:r>
    </w:p>
  </w:footnote>
  <w:footnote w:type="continuationSeparator" w:id="0">
    <w:p w14:paraId="7F9AC71B" w14:textId="77777777" w:rsidR="000817C9" w:rsidRDefault="000817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6290"/>
    <w:rsid w:val="000332BE"/>
    <w:rsid w:val="00035DA2"/>
    <w:rsid w:val="00051379"/>
    <w:rsid w:val="000546D9"/>
    <w:rsid w:val="00057441"/>
    <w:rsid w:val="00060371"/>
    <w:rsid w:val="00066278"/>
    <w:rsid w:val="00066B68"/>
    <w:rsid w:val="00071638"/>
    <w:rsid w:val="00073A8D"/>
    <w:rsid w:val="0008002C"/>
    <w:rsid w:val="000817C9"/>
    <w:rsid w:val="000916D0"/>
    <w:rsid w:val="000A0168"/>
    <w:rsid w:val="000A069E"/>
    <w:rsid w:val="000B16A2"/>
    <w:rsid w:val="000C3784"/>
    <w:rsid w:val="000C4420"/>
    <w:rsid w:val="000E09E1"/>
    <w:rsid w:val="000E1D84"/>
    <w:rsid w:val="000E2BB3"/>
    <w:rsid w:val="000E4D7B"/>
    <w:rsid w:val="000F7299"/>
    <w:rsid w:val="000F7427"/>
    <w:rsid w:val="0010131B"/>
    <w:rsid w:val="001029E1"/>
    <w:rsid w:val="0011724F"/>
    <w:rsid w:val="00117B7D"/>
    <w:rsid w:val="00130DC3"/>
    <w:rsid w:val="001378D1"/>
    <w:rsid w:val="00151AE7"/>
    <w:rsid w:val="00153638"/>
    <w:rsid w:val="001728AF"/>
    <w:rsid w:val="0019010B"/>
    <w:rsid w:val="001D221E"/>
    <w:rsid w:val="001D4FDD"/>
    <w:rsid w:val="001F50C5"/>
    <w:rsid w:val="001F5182"/>
    <w:rsid w:val="0020172E"/>
    <w:rsid w:val="00205390"/>
    <w:rsid w:val="002060A8"/>
    <w:rsid w:val="00223940"/>
    <w:rsid w:val="00225D00"/>
    <w:rsid w:val="00225D40"/>
    <w:rsid w:val="00240DA3"/>
    <w:rsid w:val="00242A1D"/>
    <w:rsid w:val="00244CB5"/>
    <w:rsid w:val="00270222"/>
    <w:rsid w:val="00272C81"/>
    <w:rsid w:val="00283A20"/>
    <w:rsid w:val="00284CA0"/>
    <w:rsid w:val="002863D9"/>
    <w:rsid w:val="002A0F8C"/>
    <w:rsid w:val="002A153B"/>
    <w:rsid w:val="002A3A02"/>
    <w:rsid w:val="002E444E"/>
    <w:rsid w:val="002E446A"/>
    <w:rsid w:val="00305721"/>
    <w:rsid w:val="00307741"/>
    <w:rsid w:val="00310732"/>
    <w:rsid w:val="00310A5F"/>
    <w:rsid w:val="003142FA"/>
    <w:rsid w:val="003150F6"/>
    <w:rsid w:val="003223DF"/>
    <w:rsid w:val="003327AA"/>
    <w:rsid w:val="003528C8"/>
    <w:rsid w:val="003673F1"/>
    <w:rsid w:val="00385DB8"/>
    <w:rsid w:val="00387F0E"/>
    <w:rsid w:val="00396FAE"/>
    <w:rsid w:val="003A387B"/>
    <w:rsid w:val="003B1210"/>
    <w:rsid w:val="003B395C"/>
    <w:rsid w:val="003C3A12"/>
    <w:rsid w:val="003C6B1C"/>
    <w:rsid w:val="003D33B8"/>
    <w:rsid w:val="003E2BDB"/>
    <w:rsid w:val="003F159A"/>
    <w:rsid w:val="003F3EEB"/>
    <w:rsid w:val="004357BA"/>
    <w:rsid w:val="00456798"/>
    <w:rsid w:val="004646A8"/>
    <w:rsid w:val="004878D7"/>
    <w:rsid w:val="00487DEF"/>
    <w:rsid w:val="004946BA"/>
    <w:rsid w:val="00496F0E"/>
    <w:rsid w:val="004A6C38"/>
    <w:rsid w:val="004F0BDF"/>
    <w:rsid w:val="004F32A4"/>
    <w:rsid w:val="004F4ABE"/>
    <w:rsid w:val="005174C4"/>
    <w:rsid w:val="00523784"/>
    <w:rsid w:val="00533CFD"/>
    <w:rsid w:val="005645E2"/>
    <w:rsid w:val="00573723"/>
    <w:rsid w:val="0057674E"/>
    <w:rsid w:val="00583702"/>
    <w:rsid w:val="00585F11"/>
    <w:rsid w:val="0059234D"/>
    <w:rsid w:val="005A4D5C"/>
    <w:rsid w:val="005B467D"/>
    <w:rsid w:val="005B656D"/>
    <w:rsid w:val="005C5AEE"/>
    <w:rsid w:val="005D09E5"/>
    <w:rsid w:val="005D4317"/>
    <w:rsid w:val="005F269D"/>
    <w:rsid w:val="00614ECE"/>
    <w:rsid w:val="006266FF"/>
    <w:rsid w:val="00643A0F"/>
    <w:rsid w:val="00671AD3"/>
    <w:rsid w:val="00674D8B"/>
    <w:rsid w:val="0068195D"/>
    <w:rsid w:val="00683D29"/>
    <w:rsid w:val="00692269"/>
    <w:rsid w:val="006951C9"/>
    <w:rsid w:val="006A6F53"/>
    <w:rsid w:val="006C4B6F"/>
    <w:rsid w:val="006F1C52"/>
    <w:rsid w:val="006F464F"/>
    <w:rsid w:val="0070511E"/>
    <w:rsid w:val="00711976"/>
    <w:rsid w:val="00731952"/>
    <w:rsid w:val="00736295"/>
    <w:rsid w:val="007529CD"/>
    <w:rsid w:val="00756560"/>
    <w:rsid w:val="00765683"/>
    <w:rsid w:val="007700E8"/>
    <w:rsid w:val="00774AAF"/>
    <w:rsid w:val="00783E93"/>
    <w:rsid w:val="00784371"/>
    <w:rsid w:val="0079602E"/>
    <w:rsid w:val="00797CAC"/>
    <w:rsid w:val="007A3422"/>
    <w:rsid w:val="007A71B9"/>
    <w:rsid w:val="007B1EAF"/>
    <w:rsid w:val="007B2BEC"/>
    <w:rsid w:val="007C3AA9"/>
    <w:rsid w:val="007C4875"/>
    <w:rsid w:val="007C77E2"/>
    <w:rsid w:val="007D2A3C"/>
    <w:rsid w:val="007D6CC9"/>
    <w:rsid w:val="007F1C01"/>
    <w:rsid w:val="00813E19"/>
    <w:rsid w:val="008148C7"/>
    <w:rsid w:val="00815475"/>
    <w:rsid w:val="00821548"/>
    <w:rsid w:val="008250B8"/>
    <w:rsid w:val="00832FE4"/>
    <w:rsid w:val="008335D9"/>
    <w:rsid w:val="00835B35"/>
    <w:rsid w:val="00843F05"/>
    <w:rsid w:val="00850064"/>
    <w:rsid w:val="00851D4F"/>
    <w:rsid w:val="00857140"/>
    <w:rsid w:val="00857C58"/>
    <w:rsid w:val="00874C70"/>
    <w:rsid w:val="00875F40"/>
    <w:rsid w:val="00892008"/>
    <w:rsid w:val="00893A0D"/>
    <w:rsid w:val="008961AC"/>
    <w:rsid w:val="008A181F"/>
    <w:rsid w:val="008A3660"/>
    <w:rsid w:val="008B15D8"/>
    <w:rsid w:val="008B3D19"/>
    <w:rsid w:val="008C2A71"/>
    <w:rsid w:val="008F11F0"/>
    <w:rsid w:val="008F4577"/>
    <w:rsid w:val="00901B43"/>
    <w:rsid w:val="0091591B"/>
    <w:rsid w:val="009258D8"/>
    <w:rsid w:val="00931D62"/>
    <w:rsid w:val="00932FA3"/>
    <w:rsid w:val="009340D9"/>
    <w:rsid w:val="00950BF3"/>
    <w:rsid w:val="009555E2"/>
    <w:rsid w:val="00967876"/>
    <w:rsid w:val="00967ABB"/>
    <w:rsid w:val="00971672"/>
    <w:rsid w:val="009741C3"/>
    <w:rsid w:val="009823E2"/>
    <w:rsid w:val="009875A7"/>
    <w:rsid w:val="009934F0"/>
    <w:rsid w:val="00996ED6"/>
    <w:rsid w:val="009A0AC1"/>
    <w:rsid w:val="009A6668"/>
    <w:rsid w:val="009A6FC4"/>
    <w:rsid w:val="009B22C2"/>
    <w:rsid w:val="009D604D"/>
    <w:rsid w:val="009D708F"/>
    <w:rsid w:val="009E6CC9"/>
    <w:rsid w:val="009F2CBF"/>
    <w:rsid w:val="00A255EA"/>
    <w:rsid w:val="00A2615C"/>
    <w:rsid w:val="00A42618"/>
    <w:rsid w:val="00A46D96"/>
    <w:rsid w:val="00A55E6F"/>
    <w:rsid w:val="00A60663"/>
    <w:rsid w:val="00A73037"/>
    <w:rsid w:val="00A76A90"/>
    <w:rsid w:val="00A87283"/>
    <w:rsid w:val="00A9197F"/>
    <w:rsid w:val="00AB0335"/>
    <w:rsid w:val="00AC639D"/>
    <w:rsid w:val="00AC741C"/>
    <w:rsid w:val="00AD0671"/>
    <w:rsid w:val="00AE1CB6"/>
    <w:rsid w:val="00AF2254"/>
    <w:rsid w:val="00B03DCC"/>
    <w:rsid w:val="00B10996"/>
    <w:rsid w:val="00B17FDF"/>
    <w:rsid w:val="00B23178"/>
    <w:rsid w:val="00B23B0F"/>
    <w:rsid w:val="00B375B0"/>
    <w:rsid w:val="00B53092"/>
    <w:rsid w:val="00B553F7"/>
    <w:rsid w:val="00B60841"/>
    <w:rsid w:val="00B707DF"/>
    <w:rsid w:val="00B74865"/>
    <w:rsid w:val="00BA0CF6"/>
    <w:rsid w:val="00BC1E98"/>
    <w:rsid w:val="00BE1056"/>
    <w:rsid w:val="00BE2734"/>
    <w:rsid w:val="00BE576F"/>
    <w:rsid w:val="00BE6D28"/>
    <w:rsid w:val="00C13949"/>
    <w:rsid w:val="00C16B32"/>
    <w:rsid w:val="00C3148A"/>
    <w:rsid w:val="00C35D16"/>
    <w:rsid w:val="00C37FC3"/>
    <w:rsid w:val="00C51A70"/>
    <w:rsid w:val="00C57BB1"/>
    <w:rsid w:val="00C720D1"/>
    <w:rsid w:val="00CA1296"/>
    <w:rsid w:val="00CB5677"/>
    <w:rsid w:val="00CE79CE"/>
    <w:rsid w:val="00CF54A4"/>
    <w:rsid w:val="00CF5535"/>
    <w:rsid w:val="00D2102F"/>
    <w:rsid w:val="00D2288C"/>
    <w:rsid w:val="00D40967"/>
    <w:rsid w:val="00D4385A"/>
    <w:rsid w:val="00D50755"/>
    <w:rsid w:val="00DA4BC6"/>
    <w:rsid w:val="00DB0C1E"/>
    <w:rsid w:val="00DB320F"/>
    <w:rsid w:val="00DB3638"/>
    <w:rsid w:val="00DB6FE5"/>
    <w:rsid w:val="00DD28C8"/>
    <w:rsid w:val="00DE47E0"/>
    <w:rsid w:val="00DE4D8D"/>
    <w:rsid w:val="00DF243B"/>
    <w:rsid w:val="00DF75CD"/>
    <w:rsid w:val="00E14780"/>
    <w:rsid w:val="00E305EF"/>
    <w:rsid w:val="00E33353"/>
    <w:rsid w:val="00E33EF0"/>
    <w:rsid w:val="00E367A3"/>
    <w:rsid w:val="00E47340"/>
    <w:rsid w:val="00E550E4"/>
    <w:rsid w:val="00E56A17"/>
    <w:rsid w:val="00E701EB"/>
    <w:rsid w:val="00E74DAD"/>
    <w:rsid w:val="00E83A81"/>
    <w:rsid w:val="00E933EA"/>
    <w:rsid w:val="00E95321"/>
    <w:rsid w:val="00EA120F"/>
    <w:rsid w:val="00EA2F02"/>
    <w:rsid w:val="00EC6694"/>
    <w:rsid w:val="00EE1AD5"/>
    <w:rsid w:val="00F22CAA"/>
    <w:rsid w:val="00F315C0"/>
    <w:rsid w:val="00F351EB"/>
    <w:rsid w:val="00F509E8"/>
    <w:rsid w:val="00F50BC6"/>
    <w:rsid w:val="00F5732B"/>
    <w:rsid w:val="00FE5AF8"/>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D7A319CC-E755-4D2C-B9EA-AE8F2978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186/1471-244X-10-11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5954</TotalTime>
  <Pages>58</Pages>
  <Words>17258</Words>
  <Characters>98373</Characters>
  <Application>Microsoft Office Word</Application>
  <DocSecurity>0</DocSecurity>
  <Lines>819</Lines>
  <Paragraphs>230</Paragraphs>
  <ScaleCrop>false</ScaleCrop>
  <Company/>
  <LinksUpToDate>false</LinksUpToDate>
  <CharactersWithSpaces>115401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creator>Milyeong Lee</dc:creator>
  <dc:description>Master's thesis, Hanyang University, 2026</dc:description>
  <cp:lastModifiedBy>MEILING LI</cp:lastModifiedBy>
  <cp:revision>95</cp:revision>
  <dcterms:created xsi:type="dcterms:W3CDTF">2026-04-24T10:43:00Z</dcterms:created>
  <dcterms:modified xsi:type="dcterms:W3CDTF">2026-05-15T12:06:00Z</dcterms:modified>
</cp:coreProperties>
</file>