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736BC" w14:textId="77777777" w:rsidR="000C3784" w:rsidRDefault="000C3784">
      <w:pPr>
        <w:spacing w:line="360" w:lineRule="auto"/>
      </w:pPr>
      <w:bookmarkStart w:id="0" w:name="OLE_LINK33"/>
      <w:bookmarkStart w:id="1" w:name="OLE_LINK42"/>
    </w:p>
    <w:p w14:paraId="3A8B8B43" w14:textId="77777777" w:rsidR="000C3784" w:rsidRDefault="000C3784">
      <w:pPr>
        <w:spacing w:line="360" w:lineRule="auto"/>
      </w:pPr>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r>
        <w:rPr>
          <w:rFonts w:eastAsia="Times New Roman"/>
          <w:b/>
          <w:bCs/>
          <w:sz w:val="28"/>
          <w:szCs w:val="28"/>
          <w:lang w:eastAsia="ko-KR"/>
        </w:rPr>
        <w:t>청소년 우울 증상에 대한 비지도적 자가 도움</w:t>
      </w:r>
    </w:p>
    <w:p w14:paraId="6A2B8E10" w14:textId="77777777" w:rsidR="000C3784" w:rsidRDefault="00D450DC">
      <w:pPr>
        <w:spacing w:before="120" w:after="120" w:line="360" w:lineRule="auto"/>
        <w:jc w:val="center"/>
        <w:rPr>
          <w:lang w:eastAsia="ko-KR"/>
        </w:rPr>
      </w:pPr>
      <w:r>
        <w:rPr>
          <w:rFonts w:eastAsia="Times New Roman"/>
          <w:b/>
          <w:bCs/>
          <w:sz w:val="28"/>
          <w:szCs w:val="28"/>
          <w:lang w:eastAsia="ko-KR"/>
        </w:rPr>
        <w:t>인지행동치료 개입의 효과성에 관한 메타분석</w:t>
      </w:r>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Advisor: Professor Hyunsoo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4EAB3877" w14:textId="77777777" w:rsidR="000C3784" w:rsidRDefault="00D450DC">
      <w:pPr>
        <w:pageBreakBefore/>
        <w:spacing w:after="360"/>
        <w:jc w:val="center"/>
      </w:pPr>
      <w:r>
        <w:rPr>
          <w:rFonts w:eastAsia="Times New Roman"/>
          <w:b/>
          <w:bCs/>
          <w:sz w:val="32"/>
          <w:szCs w:val="32"/>
        </w:rPr>
        <w:lastRenderedPageBreak/>
        <w:t>Abstract</w:t>
      </w:r>
    </w:p>
    <w:p w14:paraId="19A2142E" w14:textId="77777777" w:rsidR="000C3784" w:rsidRDefault="00D450DC">
      <w:pPr>
        <w:spacing w:after="120" w:line="360" w:lineRule="auto"/>
        <w:ind w:firstLine="360"/>
        <w:jc w:val="both"/>
      </w:pPr>
      <w:r>
        <w:rPr>
          <w:rFonts w:eastAsia="Times New Roman"/>
        </w:rPr>
        <w:t>Major depressive disorder (MDD) is a growing public health concern among adolescents, with prevalence surging dramatically since the COVID-19 pandemic. Yet mental health services for adolescents remain severely constrained worldwide by shortages of specialized workforce, unaffordable treatment costs, and deep-rooted stigma. Unguided self-help interventions (USHIs), which equip individuals with basic tools and strategies without requiring direct therapist involvement, offer a potentially scalable and low-cost complement to conventional care. Cognitive Behavioral Therapy (CBT), as a well-established evidence-based treatment for adolescent depression, is the most extensively studied therapeutic framework delivered through self-help formats. However, the literature on unguided self-help CBT in adolescents remains fragmented, with relatively few syntheses focusing on this population and relatively little attention to how specific design features of the intervention shape outcomes.</w:t>
      </w:r>
    </w:p>
    <w:p w14:paraId="79ECE1F4" w14:textId="77777777" w:rsidR="000C3784" w:rsidRDefault="00D450DC">
      <w:pPr>
        <w:spacing w:after="120" w:line="360" w:lineRule="auto"/>
        <w:ind w:firstLine="360"/>
        <w:jc w:val="both"/>
      </w:pPr>
      <w:r>
        <w:rPr>
          <w:rFonts w:eastAsia="Times New Roman"/>
        </w:rPr>
        <w:t>This study aimed to (1) describe the research trends of unguided self-help CBT interventions for adolescents with depressive symptoms, (2) estimate the overall effectiveness of these interventions at post-intervention and follow-up, (3) examine whether effect sizes differ across subgroups defined by control type, support level, delivery modality, baseline severity, and age, and (4) describe dropout and acceptability.</w:t>
      </w:r>
    </w:p>
    <w:p w14:paraId="0FA54528" w14:textId="77777777" w:rsidR="000C3784" w:rsidRDefault="00D450DC">
      <w:pPr>
        <w:spacing w:after="120" w:line="360" w:lineRule="auto"/>
        <w:ind w:firstLine="360"/>
        <w:jc w:val="both"/>
      </w:pPr>
      <w:r>
        <w:rPr>
          <w:rFonts w:eastAsia="Times New Roman"/>
        </w:rPr>
        <w:t>A systematic literature search was conducted across PubMed, Embase (Elsevier), Cochrane CENTRAL, and APA PsycArticles, with the most recent search completed in April 2026. Randomized controlled trials (RCTs) targeting adolescents aged 10–19 with clinically meaningful depressive symptoms at baseline were eligible when the experimental arm was a CBT-based unguided self-help program containing cognitive appraisal, cognitive restructuring, and behavioral components, and the comparator was an inactive or attention/information control. Studies were screened in duplicate against PICOS-based criteria, and data were extracted for study characteristics, intervention features, outcome data, and risk of bias (RoB 2.0).</w:t>
      </w:r>
    </w:p>
    <w:p w14:paraId="525AB837" w14:textId="77777777" w:rsidR="000C3784" w:rsidRDefault="00D450DC">
      <w:pPr>
        <w:spacing w:after="120" w:line="360" w:lineRule="auto"/>
        <w:ind w:firstLine="360"/>
        <w:jc w:val="both"/>
      </w:pPr>
      <w:r>
        <w:rPr>
          <w:rFonts w:eastAsia="Times New Roman"/>
        </w:rPr>
        <w:t>Standardized mean differences were computed as Hedges' g, with between-study heterogeneity assessed via the Q-test and I² statistic and overall effects estimated using random-effects models. Pre-specified subgroup analyses examined differences by control type (waitlist/TAU vs. attention or information-only control), support level, delivery modality, baseline severity, and age group. Sensitivity analyses examined the robustness of findings to the inclusion of dissertations and preprints. Publication bias was evaluated with funnel plots, Egger's regression, and Duval and Tweedie's trim-and-fill procedure. Statistical analyses were conducted in R 4.4.2 using the meta and metafor packages.</w:t>
      </w:r>
    </w:p>
    <w:p w14:paraId="7D5A0805" w14:textId="77777777" w:rsidR="000C3784" w:rsidRDefault="00D450DC">
      <w:pPr>
        <w:spacing w:after="120" w:line="360" w:lineRule="auto"/>
        <w:jc w:val="both"/>
      </w:pPr>
      <w:r>
        <w:rPr>
          <w:rFonts w:eastAsia="Times New Roman"/>
          <w:b/>
          <w:bCs/>
        </w:rPr>
        <w:t xml:space="preserve">Keywords: </w:t>
      </w:r>
    </w:p>
    <w:p w14:paraId="01F29331" w14:textId="77777777" w:rsidR="000C3784" w:rsidRDefault="00D450DC">
      <w:pPr>
        <w:spacing w:after="120" w:line="360" w:lineRule="auto"/>
        <w:ind w:firstLine="360"/>
        <w:jc w:val="both"/>
      </w:pPr>
      <w:r>
        <w:rPr>
          <w:rFonts w:eastAsia="Times New Roman"/>
        </w:rPr>
        <w:t>unguided self-help intervention; cognitive behavioral therapy; adolescents; depression; meta-analysis</w:t>
      </w: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1.1. Necessity and Purpose of the Study</w:t>
      </w:r>
    </w:p>
    <w:p w14:paraId="0974BAD3" w14:textId="72156A81"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he WHO World Mental Health Survey across fifteen countries reported that mental disorders, with depression and bipolar disorder showing the highest disability ratings, were rated as more disabling than commonly occurring physical disorders including cancer, diabetes, and heart disease, with the difference especially pronounced in social life and close relationships (Ormel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Pinquart &amp; Duberstein, 2010; Rugulies,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population, and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and acceptable care.</w:t>
      </w:r>
    </w:p>
    <w:p w14:paraId="77FB1DF6" w14:textId="77777777" w:rsidR="00E56A17" w:rsidRPr="00E56A17" w:rsidRDefault="00E56A17" w:rsidP="00E56A17">
      <w:pPr>
        <w:spacing w:after="120" w:line="360" w:lineRule="auto"/>
        <w:ind w:firstLine="360"/>
        <w:jc w:val="both"/>
      </w:pPr>
      <w:r w:rsidRPr="00E56A17">
        <w:lastRenderedPageBreak/>
        <w:t>Self-help interventions can help to address these three barriers. They require little or no direct therapist time, which reduces demand on the limited specialist workforce. They can also reach a large number of users at low cost, which may improve access for adolescents with limited financial resources. Since they can be used in private, they may also make stigma less of a barrier to seeking help. Self-help interventions can therefore reach adolescents who might otherwise stay outside the conventional treatment system. This direction is consistent with the WHO World Mental Health Report, which calls for accessible and scalable mental health support in settings where existing services are insufficient (World Health Organization, 2022).</w:t>
      </w:r>
    </w:p>
    <w:p w14:paraId="77B96525" w14:textId="77777777" w:rsidR="00E56A17" w:rsidRPr="00E56A17" w:rsidRDefault="00E56A17" w:rsidP="00E56A17">
      <w:pPr>
        <w:spacing w:after="120" w:line="360" w:lineRule="auto"/>
        <w:ind w:firstLine="360"/>
        <w:jc w:val="both"/>
      </w:pPr>
      <w:r w:rsidRPr="00E56A17">
        <w:t>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The CBT format is structured, manualized, and skills-based, which makes it well suited to self-directed use. Core CBT tasks include identifying negative thoughts, monitoring mood, and practicing coping strategies. These tasks can be organized into clear and sequential modules. The format is also developmentally appropriate for adolescents. During adolescence, abstract reasoning, metacognition, and self-regulation continue to develop, and these abilities support engagement with CBT-based tasks (Steinberg, 2005).</w:t>
      </w:r>
    </w:p>
    <w:p w14:paraId="0C0A29ED" w14:textId="345B4F14" w:rsidR="001378D1" w:rsidRPr="001378D1" w:rsidRDefault="00E56A17" w:rsidP="001378D1">
      <w:pPr>
        <w:spacing w:after="120" w:line="360" w:lineRule="auto"/>
        <w:ind w:firstLine="360"/>
        <w:jc w:val="both"/>
      </w:pPr>
      <w:r w:rsidRPr="00E56A17">
        <w:t>However, self-help interventions cover a broad spectrum, and the specific format most relevant to adolescents needs to be clarified. Among these formats,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77777777" w:rsidR="001378D1" w:rsidRPr="001378D1" w:rsidRDefault="001378D1" w:rsidP="001378D1">
      <w:pPr>
        <w:spacing w:after="120" w:line="360" w:lineRule="auto"/>
        <w:ind w:firstLine="360"/>
        <w:jc w:val="both"/>
      </w:pPr>
      <w:r w:rsidRPr="001378D1">
        <w:t>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or formal services is difficult. The ecological constraints of adolescent help-seeking, together with the developmental capacities discussed above, support examining unguided self-help CBT as a clinically and developmentally meaningful intervention format in its own right.</w:t>
      </w:r>
    </w:p>
    <w:p w14:paraId="1AE95315" w14:textId="77777777" w:rsidR="007A71B9" w:rsidRPr="007A71B9" w:rsidRDefault="007A71B9" w:rsidP="007A71B9">
      <w:pPr>
        <w:spacing w:after="120" w:line="360" w:lineRule="auto"/>
        <w:ind w:firstLine="360"/>
        <w:jc w:val="both"/>
      </w:pPr>
      <w:r w:rsidRPr="007A71B9">
        <w:t xml:space="preserve">Existing meta-analytic evidence has established the relevance of self-help CBT for depression, but it </w:t>
      </w:r>
      <w:r w:rsidRPr="007A71B9">
        <w:lastRenderedPageBreak/>
        <w:t>remains insufficiently specific for adolescents using unguided formats.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 even though adolescents face distinctive developmental and ecological conditions when seeking help.</w:t>
      </w:r>
    </w:p>
    <w:p w14:paraId="5CC91D6B" w14:textId="106BC64F" w:rsidR="001378D1" w:rsidRPr="007A71B9" w:rsidRDefault="007A71B9" w:rsidP="007A71B9">
      <w:pPr>
        <w:spacing w:after="120" w:line="360" w:lineRule="auto"/>
        <w:ind w:firstLine="360"/>
        <w:jc w:val="both"/>
      </w:pPr>
      <w:r w:rsidRPr="007A71B9">
        <w:t>This leaves an important practical gap. For adolescent depression, it is not sufficient to ask whether self-help CBT is effective in general. It is also necessary to ask which unguided formats are effective, under what conditions, and with what forms of minimal support. The present meta-analysis addresses this gap by synthesizing randomized controlled trials of unguided self-help CBT for adolescents with depressive symptoms, and by examining whether intervention effects vary by control type, 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whether features such as automated reminders or technical support 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To what extent does the effect size of unguided self-help CBT vary across the following pre-specified study-level characteristics:</w:t>
      </w:r>
    </w:p>
    <w:p w14:paraId="566541BC"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 Control type (passive vs. minimally active control) [confirmatory] • Baseline depression severity [confirmatory] • Age group (10 to 13, 14 to 15, 16 to 19) [exploratory] • Presence or absence of human contact in the support package [exploratory]</w:t>
      </w:r>
    </w:p>
    <w:p w14:paraId="078BF96A" w14:textId="13497B57" w:rsidR="000C3784" w:rsidRPr="001F5182" w:rsidRDefault="001F5182" w:rsidP="001F5182">
      <w:pPr>
        <w:spacing w:after="80" w:line="360" w:lineRule="auto"/>
        <w:ind w:left="720" w:hanging="360"/>
        <w:jc w:val="both"/>
      </w:pPr>
      <w:r w:rsidRPr="001F5182">
        <w:rPr>
          <w:rFonts w:eastAsia="Times New Roman"/>
        </w:rPr>
        <w:lastRenderedPageBreak/>
        <w:t>Additional variation in effect sizes is examined through meta-regression of CBT component count and total intended dose, while delivery modality and component configuration are reported descriptively.</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020C65C6" w14:textId="77777777" w:rsidR="002E446A" w:rsidRPr="002E446A" w:rsidRDefault="002E446A" w:rsidP="002E446A">
      <w:pPr>
        <w:spacing w:after="120" w:line="360" w:lineRule="auto"/>
        <w:ind w:firstLine="360"/>
        <w:jc w:val="both"/>
      </w:pPr>
      <w:r w:rsidRPr="002E446A">
        <w:t>Depression is a mental disorder characterized by persistent low mood and a reduced capacity to experience pleasure. According to the Diagnostic and Statistical Manual of Mental Disorders, Fifth Edition (American Psychiatric Association, 2013), depression is a common mental health condition that affects emotion, cognition, and behavior. People with depression typically report sadness, fatigue, hopelessness, and helplessness, and they often show loss of interest, reduced energy, and decreased motivation for social interaction. Biological, environmental, and psychological factors contribute to its onset. A depressive episode is defined clinically as a mood disturbance lasting at least two weeks, with low mood as a central feature. Elevated scores on self-report psychological measures indicate the presence of symptoms but do not by themselves establish a diagnosis.</w:t>
      </w:r>
    </w:p>
    <w:p w14:paraId="30A8FBF4" w14:textId="77777777" w:rsidR="002E446A" w:rsidRPr="002E446A" w:rsidRDefault="002E446A" w:rsidP="002E446A">
      <w:pPr>
        <w:spacing w:after="120" w:line="360" w:lineRule="auto"/>
        <w:ind w:firstLine="360"/>
        <w:jc w:val="both"/>
      </w:pPr>
      <w:r w:rsidRPr="002E446A">
        <w:t>The DSM-5 classifies major depressive disorder as a single disorder with several specifiers. The clinician records severity (mild, moderate, or severe), the presence or absence of psychotic features, and whether the episode is single or recurrent. The nine diagnostic symptoms are depressed mood for most of the day, markedly diminished interest or pleasure, significant change in weight or appetite, insomnia or hypersomnia, psychomotor agitation or retardation, fatigue or loss of energy, feelings of worthlessness or excessive guilt, impaired concentration or indecisiveness, and recurrent thoughts of death or suicidal ideation. At least one of the first two symptoms must be present, together with several of the others, for at least two weeks.</w:t>
      </w:r>
    </w:p>
    <w:p w14:paraId="76B33FC9" w14:textId="79CAB472"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w:t>
      </w:r>
      <w:r w:rsidRPr="00850064">
        <w:lastRenderedPageBreak/>
        <w:t>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in order to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three components that interact reciprocally, so that a change in any one of them influences the others.</w:t>
      </w:r>
    </w:p>
    <w:p w14:paraId="50F05B66" w14:textId="297A2117" w:rsidR="000C3784" w:rsidRPr="00850064" w:rsidRDefault="00850064" w:rsidP="00850064">
      <w:pPr>
        <w:spacing w:after="120" w:line="360" w:lineRule="auto"/>
        <w:ind w:firstLine="360"/>
        <w:jc w:val="both"/>
      </w:pPr>
      <w:r w:rsidRPr="00850064">
        <w:t>When applied to depression, CBT typically combines several therapeutic components. These include cognitive restructuring, behavioral activation, problem-solving training, relaxation techniques, interpersonal skills training, and psychoeducation. Homework assignments and relapse-prevention planning are often added. Cognitive restructuring teaches patients to identify, evaluate, and modify maladaptive thoughts through techniques such as Socratic questioning and thought records. Behavioral activation addresses the behavioral withdrawal that is characteristic of depression by gradually increasing engagement in activities likely to yield reinforcement or a sense of accomplishment. Problem-solving training provides a structured procedure for defining problems, generating alternatives, selecting and implementing solutions, and evaluating outcomes. Relaxation techniques reduce physiological arousal. Interpersonal skills training addresses difficulties in assertive communication and relationship maintenance. Psychoeducation provides a coherent explanatory framework that supports the patient's engagement with treatment. For adolescents, CBT is endorsed by clinical guidelines (National Institute for Health and Care Excellence, 2019), and its short-term efficacy is supported by extensive evidence. Meta-analytic effects at post-treatment are typically in the small-to-moderate range (Weisz et al., 2017).</w:t>
      </w:r>
    </w:p>
    <w:p w14:paraId="2FEF2C47" w14:textId="77777777" w:rsidR="000C3784" w:rsidRDefault="00D450DC">
      <w:pPr>
        <w:pStyle w:val="2"/>
      </w:pPr>
      <w:r>
        <w:t>2.3. Self-Help Interventions</w:t>
      </w:r>
    </w:p>
    <w:p w14:paraId="537577FE" w14:textId="77777777" w:rsidR="00850064" w:rsidRPr="00850064" w:rsidRDefault="00850064" w:rsidP="00850064">
      <w:pPr>
        <w:spacing w:after="120" w:line="360" w:lineRule="auto"/>
        <w:ind w:firstLine="360"/>
        <w:jc w:val="both"/>
      </w:pPr>
      <w:r w:rsidRPr="00850064">
        <w:t>The historical roots of self-help for mental health extend back to early twentieth-century writings on self-management (Harwood &amp; L'Abate, 2010). Self-help and professional help are best understood not as a dichotomy but as two endpoints of a continuum. At one end, individuals rely entirely on their own resources without any direct or indirect professional involvement, as in self-initiated change in addictive behaviors (Klingemann &amp; Sobell, 2007). At the other end, individuals rely fully on professional guidance. A wide range of intermediate arrangements populates the space between these two endpoints (McFadden et al., 1992).</w:t>
      </w:r>
    </w:p>
    <w:p w14:paraId="5C89354C" w14:textId="77777777" w:rsidR="00850064" w:rsidRPr="00850064" w:rsidRDefault="00850064" w:rsidP="00850064">
      <w:pPr>
        <w:spacing w:after="120" w:line="360" w:lineRule="auto"/>
        <w:ind w:firstLine="360"/>
        <w:jc w:val="both"/>
      </w:pPr>
      <w:r w:rsidRPr="00850064">
        <w:t xml:space="preserve">Within this continuum, self-help has been sub-classified in several ways. Harwood and L'Abate (2010) distinguish three forms. Self-care refers to practices that an individual initiates independently, such as </w:t>
      </w:r>
      <w:r w:rsidRPr="00850064">
        <w:lastRenderedPageBreak/>
        <w:t>improving sleep hygiene, practicing relaxation, taking up new hobbies, or spending time in nature. Self-support refers to situations in which a professional provides some degree of suggestion, monitoring, or guidance in order to help the individual sustain new practices. Self-change refers to situations in which an individual in a harmful state decides, with or without external assistance, to relinquish destructive behavior and adopt more adaptive alternatives.</w:t>
      </w:r>
    </w:p>
    <w:p w14:paraId="16CE7F47" w14:textId="77777777" w:rsidR="00850064" w:rsidRPr="00850064" w:rsidRDefault="00850064" w:rsidP="00850064">
      <w:pPr>
        <w:spacing w:after="120" w:line="360" w:lineRule="auto"/>
        <w:ind w:firstLine="360"/>
        <w:jc w:val="both"/>
      </w:pPr>
      <w:r w:rsidRPr="00850064">
        <w:t>For psychological interventions delivered through self-help formats, a more operationally useful distinction can be drawn between guided and unguided self-help. In guided self-help, a professional provides therapeutic guidance alongside the self-directed material. Examples include reviewing the patient's completed exercises, giving feedback on cognitive restructuring, or answering content-related questions. In unguided self-help, the intervention is delivered without such therapeutic guidance. Participants work through readings, exercises, videos, or interactive modules independently. They are typically supported only by written materials, automated prompts, or technical support unrelated to treatment content.</w:t>
      </w:r>
    </w:p>
    <w:p w14:paraId="09379DDE" w14:textId="5D83EFDD"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77777777" w:rsidR="000C3784" w:rsidRDefault="00D450DC">
      <w:pPr>
        <w:pStyle w:val="2"/>
      </w:pPr>
      <w:r>
        <w:t>2.4. Support Level in Self-Help Interventions</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 xml:space="preserve">Technical support refers to operational assistance with the platform, application, or materials. It does </w:t>
      </w:r>
      <w:r w:rsidRPr="00C51A70">
        <w:lastRenderedPageBreak/>
        <w:t>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Automated encouragement refers to pre-scripted, fixed prompts or messages that are generated by the program itself in order to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Human encouragement refers to prompts or messages that are prepared and delivered by a person, for example through email, SMS, or telephone, in order to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D450DC">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r w:rsidRPr="00C51A70">
        <w:t xml:space="preserve">Furukawa et al. (2021) systematically examined the effects of individual components of internet-delivered CBT for depression, using a component network meta-analysis with individual participant data. </w:t>
      </w:r>
      <w:r w:rsidRPr="00C51A70">
        <w:lastRenderedPageBreak/>
        <w:t>They decomposed iCBT into seventeen components. They found that the apparent benefit of "guided" iCBT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iCBT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77CBEF33" w14:textId="0416A1B5" w:rsidR="00C51A70" w:rsidRPr="00C51A70" w:rsidRDefault="00774AAF">
      <w:pPr>
        <w:spacing w:after="120" w:line="360" w:lineRule="auto"/>
        <w:ind w:firstLine="360"/>
        <w:jc w:val="both"/>
      </w:pPr>
      <w:r w:rsidRPr="00774AAF">
        <w:t>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actually deployed.</w:t>
      </w: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PsycArticles.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The search strategy was constructed from four concept blocks combined with the Boolean AND operator: (1) adolescent population, (2) depression, (3) cognitive behavioral therapy, and (4) unguided self-help and digital delivery modalities. Within each block, MeSH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 xml:space="preserve">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in order to enhance the comprehensiveness of the review and to reduce the risk of publication bias (Schöpfel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r w:rsidRPr="00A255EA">
        <w:t>Reitegger</w:t>
      </w:r>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Studies were eligible for inclusion when they satisfied all of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component (behavioral activation, problem-solving). Component definitions followed the framework summarized in Section 2.4 and Appendix B. Interventions delivered through artificial-intelligence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participation, and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D450DC">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D450DC">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D450DC">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D450DC">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D450DC">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D450DC">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D450DC">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D450DC">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D450DC">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D450DC">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D450DC">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D450DC">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D450DC">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D450DC">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D450DC">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D450DC">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D450DC">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D450DC">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D450DC">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D450DC">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D450DC">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D450DC">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D450DC">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D450DC">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D450DC">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D450DC">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D450DC">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D450DC">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D450DC">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D450DC">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D450DC">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D450DC">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D450DC">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D450DC">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D450DC">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D450DC">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D450DC">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D450DC">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D450DC">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D450DC">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D450DC">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D450DC">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D450DC">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D450DC">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D450DC">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D450DC">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D450DC">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D450DC">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D450DC">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D450DC">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D450DC">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D450DC">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D450DC">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D450DC">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D450DC">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D450DC">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D450DC">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D450DC">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D450DC">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D450DC">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D450DC">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D450DC">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D450DC">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D450DC">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D450DC">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D450DC">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D450DC">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D450DC">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D450DC">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D450DC">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D450DC">
            <w:pPr>
              <w:spacing w:line="276" w:lineRule="auto"/>
              <w:jc w:val="center"/>
            </w:pPr>
            <w:r>
              <w:rPr>
                <w:rFonts w:eastAsia="Times New Roman"/>
                <w:sz w:val="20"/>
                <w:szCs w:val="20"/>
              </w:rPr>
              <w:t>≥22</w:t>
            </w:r>
          </w:p>
        </w:tc>
      </w:tr>
    </w:tbl>
    <w:p w14:paraId="7F407D34" w14:textId="77777777" w:rsidR="000C3784" w:rsidRDefault="00D450DC">
      <w:pPr>
        <w:spacing w:before="60" w:after="180" w:line="276" w:lineRule="auto"/>
      </w:pPr>
      <w:r>
        <w:rPr>
          <w:rFonts w:eastAsia="Times New Roman"/>
          <w:i/>
          <w:iCs/>
          <w:sz w:val="20"/>
          <w:szCs w:val="20"/>
        </w:rPr>
        <w:t xml:space="preserve">Note. </w:t>
      </w:r>
      <w:r>
        <w:rPr>
          <w:rFonts w:eastAsia="Times New Roman"/>
          <w:sz w:val="20"/>
          <w:szCs w:val="20"/>
        </w:rPr>
        <w:t>An em-dash (—) indicates that the measure is typically used with a single validated cutoff rather than with graduated severity bands. Where multiple cutoffs are in use, the most commonly cited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D450DC">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(NoteExpress)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D450DC">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Data were extracted into a standardized form comprising three linked sheets: Study_Info (study-level characteristics), Outcome_Data (effect-size inputs at each time-point), and RoB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cr (cognitive restructuring), ba (behavioral activation), ps (problem-solving), rx (relaxation), ist (interpersonal skills training), pe (psychoeducation), hw (homework), rp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4"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in order to avoid unit-of-analysis errors arising from the inclusion of multiple non-independent estimates from a single trial.</w:t>
      </w:r>
    </w:p>
    <w:bookmarkEnd w:id="4"/>
    <w:p w14:paraId="73324A91" w14:textId="629A7547" w:rsidR="000C3784" w:rsidRDefault="00D450DC">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(RoB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RoB 2.0 algorithm. A written justification was recorded for each domain-level judgment.</w:t>
      </w:r>
    </w:p>
    <w:p w14:paraId="13495BC2" w14:textId="1CD8147D" w:rsidR="000C3784" w:rsidRDefault="00D450DC">
      <w:pPr>
        <w:pStyle w:val="2"/>
      </w:pPr>
      <w:r>
        <w:t>3.</w:t>
      </w:r>
      <w:r w:rsidR="00CB5677">
        <w:rPr>
          <w:rFonts w:eastAsiaTheme="minorEastAsia" w:hint="eastAsia"/>
        </w:rPr>
        <w:t>8</w:t>
      </w:r>
      <w:r>
        <w:t>. Data Synthesis and Statistical Analysis</w:t>
      </w:r>
    </w:p>
    <w:p w14:paraId="0051DDB9" w14:textId="3814833E" w:rsidR="000C3784" w:rsidRDefault="00D450DC">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D450DC">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D450DC">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002539B2"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w:t>
      </w:r>
      <w:r w:rsidR="00893010" w:rsidRPr="00893010">
        <w:t>Non-therapeutic human contact was operationalized as ongoing human-delivered reminders, encouragement, monitoring calls, or peer-moderated support during the intervention period</w:t>
      </w:r>
      <w:r w:rsidR="00893010" w:rsidRPr="00893010">
        <w:rPr>
          <w:rFonts w:hint="eastAsia"/>
        </w:rPr>
        <w:t>,</w:t>
      </w:r>
      <w:r w:rsidR="00893010">
        <w:rPr>
          <w:rFonts w:hint="eastAsia"/>
        </w:rPr>
        <w:t xml:space="preserve"> </w:t>
      </w:r>
      <w:r w:rsidRPr="00CB5677">
        <w:t xml:space="preserve">and excluded any therapist-delivered therapeutic content such as cognitive restructuring guidance, homework feedback, or treatment-related coaching. </w:t>
      </w:r>
      <w:r w:rsidR="00893010" w:rsidRPr="00893010">
        <w:t>Initial in-person consent or baseline assessment, which is near-universal across RCTs, was not counted as human contact.</w:t>
      </w:r>
      <w:r w:rsidR="00893010">
        <w:rPr>
          <w:rFonts w:hint="eastAsia"/>
        </w:rPr>
        <w:t xml:space="preserve"> </w:t>
      </w:r>
      <w:r w:rsidRPr="00CB5677">
        <w:t xml:space="preserve">These component-level contrasts were pre-specified as exploratory rather than confirmatory. Cognitive restructuring was not examined as a single-component contrast because it was an inclusion </w:t>
      </w:r>
      <w:r w:rsidRPr="00CB5677">
        <w:lastRenderedPageBreak/>
        <w:t>criterion. Behavioural activation was not examined as a single-component contrast because it was present in the substantial majority of included programs, leaving the absent subgroup with 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Five sensitivity analyses were pre-specified to examine the robustness of the main findings. First, the pooled estimate was recomputed restricting to peer-reviewed journal articles, in order to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were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D450DC">
      <w:pPr>
        <w:pStyle w:val="3"/>
      </w:pPr>
      <w:bookmarkStart w:id="5" w:name="OLE_LINK3"/>
      <w:r>
        <w:t>3.7.4. Publication Bias</w:t>
      </w:r>
    </w:p>
    <w:bookmarkEnd w:id="5"/>
    <w:p w14:paraId="5107A10A" w14:textId="0E061966" w:rsidR="000C3784" w:rsidRDefault="00E74DAD">
      <w:pPr>
        <w:spacing w:after="120" w:line="360" w:lineRule="auto"/>
        <w:ind w:firstLine="360"/>
        <w:jc w:val="both"/>
      </w:pPr>
      <w:r w:rsidRPr="00E74DAD">
        <w:rPr>
          <w:rFonts w:eastAsia="Times New Roman"/>
        </w:rPr>
        <w:lastRenderedPageBreak/>
        <w:t>Publication bias was evaluated graphically through inspection of a contour-enhanced funnel plot, and statistically through Egger's regression test for funnel-plot asymmetry (Egger et al., 1997). Where 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All statistical analyses were conducted in R version 4.4.2 (R Core Team, 2024) using the meta and metafor packages (Balduzzi et al., 2019; Viechtbauer, 2010). Risk-of-bias judgments and visualizations were produced using the Cochrane RoB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6"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6"/>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13B835E" w:rsidR="00DB0C1E" w:rsidRPr="00643A0F" w:rsidRDefault="00DB0C1E" w:rsidP="00643A0F">
      <w:pPr>
        <w:spacing w:after="120" w:line="360" w:lineRule="auto"/>
        <w:ind w:firstLine="360"/>
        <w:jc w:val="both"/>
      </w:pPr>
      <w:r w:rsidRPr="00DB0C1E">
        <w:t>Sixteen studies (reported across 20 publications) met the eligibility criteria. Of these, 15 contributed to the main meta-analysis; one cluster-randomized pilot trial conducted among Inuit youth in Nunavut (Bohr et al., 2023) did not report an intra-cluster correlation coefficient 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two were doctoral dissertations (Fleming et al., 2012; Makarushka, 2012), and one was a preprint (O'Dea et al., 2025). All studies adopted randomized controlled designs, predominantly two-arm parallel-group RCTs at the individual level. Funding sources were heterogeneous, including national research councils (NIHR, NIH/NIMH, NHMRC), government health departments (New Zealand Ministry of Health, Hong Kong Lotteries Fund), philanthropic foundations, and university or institutional support</w:t>
      </w:r>
      <w:r>
        <w:rPr>
          <w:rFonts w:hint="eastAsia"/>
        </w:rPr>
        <w:t>.</w:t>
      </w:r>
      <w:r w:rsidR="003327AA">
        <w:rPr>
          <w:rFonts w:hint="eastAsia"/>
        </w:rPr>
        <w:t xml:space="preserve"> </w:t>
      </w:r>
      <w:r w:rsidR="003327AA">
        <w:rPr>
          <w:rFonts w:hint="eastAsia"/>
        </w:rPr>
        <w:t>是不是要加年代对比</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4499DEE2" w:rsidR="00DB0C1E" w:rsidRPr="00967ABB" w:rsidRDefault="00DB0C1E" w:rsidP="00967ABB">
      <w:pPr>
        <w:spacing w:after="120" w:line="360" w:lineRule="auto"/>
        <w:ind w:firstLine="360"/>
        <w:jc w:val="both"/>
      </w:pPr>
      <w:r w:rsidRPr="00DB0C1E">
        <w:t>A total of 15 randomized controlled trials contributed to the main analysis, with 2,073 participants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 such as adolescents excluded from mainstream education in New Zealand (Fleming et al., 2012), adolescents recruited from emergency departments following peer-violence exposure (Ranney et al., 2018), and adolescents recruited from CAMHS following repeated self-harm (Stallard et al., 2024). Among studies reporting sex distribution, samples were predominantly female, ranging from 41.0% (Stasiak et al., 2014) to 100.0% (Poppelaars et al., 2016), with a weighted average of approximately 70.6%. Baseline depressive severity ranged from mild to severe across trials, with most samples falling within the mild-to-moderate range as defined by each measure's clinical cutoff.</w:t>
      </w:r>
    </w:p>
    <w:p w14:paraId="4E09D39F" w14:textId="53EAF267" w:rsidR="00967ABB" w:rsidRPr="00967ABB" w:rsidRDefault="00967ABB" w:rsidP="00967ABB">
      <w:pPr>
        <w:spacing w:after="120" w:line="360" w:lineRule="auto"/>
        <w:ind w:firstLine="360"/>
        <w:jc w:val="both"/>
      </w:pPr>
      <w:r w:rsidRPr="00967ABB">
        <w:t xml:space="preserve">The handling of co-occurring symptoms varied across trials. Several programs were explicitly designed for, or recruited samples defined by, mixed clinical presentations: BlueIce targeted adolescents with repeated self-harm where depression was a secondary outcome (Stallard et al., 2024); iDOVE recruited adolescents presenting to the emergency department with peer-violence exposure and depressive symptoms </w:t>
      </w:r>
      <w:r w:rsidRPr="00967ABB">
        <w:lastRenderedPageBreak/>
        <w:t>(Ranney et al., 2018); WeClick recruited on the basis of general adolescent mental health concerns without a depression severity threshold (O'Dea et al., 2020). Most other trials neither targeted nor systematically excluded comorbidity, recruiting on the basis of elevated depressive symptoms regardless of co-occurring anxiety or other internalizing symptoms. Active psychosis, bipolar disorder, current acute suicidality, and ongoing concurrent psychotherapy were the most consistently applied exclusion criteria.</w:t>
      </w:r>
    </w:p>
    <w:p w14:paraId="6A0868AE" w14:textId="77777777" w:rsidR="00967ABB" w:rsidRPr="00967ABB" w:rsidRDefault="00967ABB" w:rsidP="00967ABB">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 including Bohr 2023), and online or social-media advertisement (k = 1; O'Dea 2020).</w:t>
      </w:r>
    </w:p>
    <w:p w14:paraId="4F56EEC4" w14:textId="634B42A4" w:rsidR="0091591B" w:rsidRDefault="0091591B" w:rsidP="00E83A81">
      <w:pPr>
        <w:spacing w:after="120" w:line="360" w:lineRule="auto"/>
        <w:ind w:firstLine="360"/>
        <w:jc w:val="both"/>
      </w:pP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Poppelaars 2016, and Bohr 2023; Stressbusters in Smith 2015 and Wright 2020; The Journey in Stasiak 2014), web-based platforms (k = 2; Grasp the Opportunity in Ip 2016 and Blues Blaster in Makarushka 2012), mobile applications (k = 3; BlueIce in Stallard 2024, WeClick in O'Dea 2020, ClearlyMe in O'Dea 2025), and text-messaging delivery (k = 1; iDOVE in Ranney 2018). Program duration ranged from a single in-person session followed by 8 weeks of automated text messaging (iDOVE) to 8 months of web-based modules (Grasp the Opportunity). Most programs were designed to be completed within a 4–8 week window, although several mobile-app interventions (BlueIce, ClearlyMe)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 xml:space="preserve">Cultural adaptation was reported for one program in the main analysis. Grasp the Opportunity (Ip et al., 2016) is a Chinese-language adaptation of CATCH-IT for Hong Kong adolescents, in which the </w:t>
      </w:r>
      <w:r w:rsidRPr="00DB0C1E">
        <w:lastRenderedPageBreak/>
        <w:t>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Control conditions across the 15 trials encompassed waitlist (k = 6; including one trial with active monitoring, Poppelaars et al., 2016), treatment-as-usual (k = 2; Stallard et al., 2024 and Merry et al., 2012), attention control (k = 5; Ip 2016, O'Dea 2025, Ranney 2018, Stasiak 2014, Wright 2020), information-only or assessment-only control (k = 3; Stice 2010, Makarushka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77777777" w:rsidR="00DB0C1E" w:rsidRPr="00DB0C1E"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1B1051FB" w14:textId="1578372E" w:rsidR="000C3784" w:rsidRPr="00C3148A" w:rsidRDefault="00D450DC">
      <w:pPr>
        <w:pStyle w:val="2"/>
        <w:rPr>
          <w:rFonts w:eastAsiaTheme="minorEastAsia"/>
        </w:rPr>
      </w:pPr>
      <w:bookmarkStart w:id="7" w:name="_Hlk229404376"/>
      <w:r>
        <w:lastRenderedPageBreak/>
        <w:t xml:space="preserve">4.3. </w:t>
      </w:r>
      <w:r w:rsidR="009A6668" w:rsidRPr="009A6668">
        <w:t>Risk of Bias of Included Studies</w:t>
      </w:r>
    </w:p>
    <w:p w14:paraId="575F9255" w14:textId="77777777" w:rsidR="007B5730" w:rsidRPr="007B5730" w:rsidRDefault="007B5730" w:rsidP="007B5730">
      <w:pPr>
        <w:spacing w:after="120" w:line="360" w:lineRule="auto"/>
        <w:ind w:firstLine="360"/>
        <w:jc w:val="both"/>
      </w:pPr>
      <w:bookmarkStart w:id="8" w:name="OLE_LINK8"/>
      <w:bookmarkStart w:id="9" w:name="OLE_LINK4"/>
      <w:bookmarkEnd w:id="7"/>
      <w:r w:rsidRPr="007B5730">
        <w:t>Risk-of-bias judgements for all included studies are presented in Figure 2. Overall, most studies were judged as having some concerns. Specifically, ten studies were rated as raising some concerns, three were judged to be at high overall risk of bias, and two were judged to have low overall risk of bias.</w:t>
      </w:r>
    </w:p>
    <w:p w14:paraId="087DBBFF" w14:textId="7F75E696" w:rsidR="007B5730" w:rsidRPr="007B5730" w:rsidRDefault="007B5730" w:rsidP="007B5730">
      <w:pPr>
        <w:spacing w:after="120" w:line="360" w:lineRule="auto"/>
        <w:ind w:firstLine="360"/>
        <w:jc w:val="both"/>
      </w:pPr>
      <w:r w:rsidRPr="007B5730">
        <w:t xml:space="preserve">The </w:t>
      </w:r>
      <w:r w:rsidR="005E6D10">
        <w:rPr>
          <w:rFonts w:hint="eastAsia"/>
        </w:rPr>
        <w:t xml:space="preserve">most frequent domain judged as </w:t>
      </w:r>
      <w:r w:rsidR="005E6D10">
        <w:t>“</w:t>
      </w:r>
      <w:r w:rsidR="005E6D10">
        <w:rPr>
          <w:rFonts w:hint="eastAsia"/>
        </w:rPr>
        <w:t>some concerns</w:t>
      </w:r>
      <w:r w:rsidR="005E6D10">
        <w:t>”</w:t>
      </w:r>
      <w:r w:rsidR="005E6D10">
        <w:rPr>
          <w:rFonts w:hint="eastAsia"/>
        </w:rPr>
        <w:t xml:space="preserve"> </w:t>
      </w:r>
      <w:r w:rsidRPr="007B5730">
        <w:t>was Domain 2</w:t>
      </w:r>
      <w:r w:rsidR="005E6D10">
        <w:rPr>
          <w:rFonts w:hint="eastAsia"/>
        </w:rPr>
        <w:t xml:space="preserve"> </w:t>
      </w:r>
      <w:r w:rsidRPr="007B5730">
        <w:t>due to deviations from intended interventions. This pattern largely reflected the difficulty of blinding participants and personnel in unguided self-help interventions, particularly when interventions were compared with non-active conditions</w:t>
      </w:r>
      <w:r w:rsidR="005E6D10">
        <w:rPr>
          <w:rFonts w:hint="eastAsia"/>
        </w:rPr>
        <w:t xml:space="preserve"> where current group can be easily inferred. </w:t>
      </w:r>
      <w:r w:rsidRPr="007B5730">
        <w:t>Concerns related to selection of the reported result also appeared in several studies, while concerns in randomization and outcome measurement were less frequent.</w:t>
      </w:r>
    </w:p>
    <w:p w14:paraId="421A5AB9" w14:textId="77777777" w:rsidR="00BA57B8" w:rsidRDefault="007B5730" w:rsidP="007B5730">
      <w:pPr>
        <w:spacing w:after="120" w:line="360" w:lineRule="auto"/>
        <w:ind w:firstLine="360"/>
        <w:jc w:val="both"/>
      </w:pPr>
      <w:r w:rsidRPr="007B5730">
        <w:t xml:space="preserve">All studies judged as being at high overall risk of bias were driven by Domain 3, bias due to missing outcome data. These included Bohr et al. (2023), Wright et al. (2020), and Ackerson et al. (1998). </w:t>
      </w:r>
    </w:p>
    <w:p w14:paraId="5AA1D571" w14:textId="66601004"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Pr="007B5730">
        <w:t>, missing outcome data represented the main source of serious bias.</w:t>
      </w:r>
    </w:p>
    <w:p w14:paraId="5478BF9B" w14:textId="77777777" w:rsidR="007B5730" w:rsidRPr="007B5730" w:rsidRDefault="007B5730" w:rsidP="00130DC3">
      <w:pPr>
        <w:spacing w:after="120" w:line="360" w:lineRule="auto"/>
        <w:ind w:firstLine="360"/>
        <w:jc w:val="both"/>
      </w:pPr>
    </w:p>
    <w:bookmarkEnd w:id="8"/>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9"/>
    <w:p w14:paraId="6010276A" w14:textId="3DEC4E89" w:rsidR="00D50755" w:rsidRPr="00D50755" w:rsidRDefault="00D50755">
      <w:pPr>
        <w:spacing w:after="120" w:line="360" w:lineRule="auto"/>
        <w:ind w:firstLine="360"/>
        <w:jc w:val="both"/>
      </w:pPr>
    </w:p>
    <w:p w14:paraId="3B5F04E7" w14:textId="4AA5F3F9" w:rsidR="007B2BEC" w:rsidRPr="00C3148A" w:rsidRDefault="007B5730" w:rsidP="00523784">
      <w:pPr>
        <w:spacing w:after="120" w:line="360" w:lineRule="auto"/>
        <w:ind w:firstLine="360"/>
        <w:jc w:val="center"/>
      </w:pPr>
      <w:r>
        <w:rPr>
          <w:noProof/>
        </w:rPr>
        <w:drawing>
          <wp:inline distT="0" distB="0" distL="0" distR="0" wp14:anchorId="2590F4A8" wp14:editId="1EBDB50C">
            <wp:extent cx="5943600" cy="2797175"/>
            <wp:effectExtent l="0" t="0" r="0" b="3175"/>
            <wp:docPr id="533423545" name="图片 3"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23545" name="图片 3" descr="图表, 条形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5B8D860D" wp14:editId="50B3D9F7">
            <wp:extent cx="5943600" cy="7726680"/>
            <wp:effectExtent l="0" t="0" r="0" b="7620"/>
            <wp:docPr id="170169257" name="图片 4"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9257" name="图片 4" descr="图片包含 图表&#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10"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11" w:name="OLE_LINK19"/>
      <w:bookmarkStart w:id="12"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1690E7AA" w14:textId="18876E26" w:rsidR="000332BE" w:rsidRPr="000332BE" w:rsidRDefault="00AC72E9" w:rsidP="000332BE">
      <w:pPr>
        <w:spacing w:after="120" w:line="360" w:lineRule="auto"/>
        <w:ind w:firstLine="360"/>
        <w:jc w:val="both"/>
      </w:pPr>
      <w:bookmarkStart w:id="13" w:name="OLE_LINK34"/>
      <w:bookmarkStart w:id="14" w:name="OLE_LINK26"/>
      <w:bookmarkEnd w:id="11"/>
      <w:r w:rsidRPr="00AC72E9">
        <w:t>Fourteen studies contributed effect sizes at post-intervention, including 1,</w:t>
      </w:r>
      <w:r w:rsidR="00657D11">
        <w:rPr>
          <w:rFonts w:hint="eastAsia"/>
        </w:rPr>
        <w:t>913</w:t>
      </w:r>
      <w:r w:rsidRPr="00AC72E9">
        <w:t xml:space="preserve"> participants in total, with 9</w:t>
      </w:r>
      <w:r w:rsidR="00657D11">
        <w:rPr>
          <w:rFonts w:hint="eastAsia"/>
        </w:rPr>
        <w:t>44</w:t>
      </w:r>
      <w:r w:rsidRPr="00AC72E9">
        <w:t xml:space="preserve"> participants in the intervention conditions and 9</w:t>
      </w:r>
      <w:r w:rsidR="00657D11">
        <w:rPr>
          <w:rFonts w:hint="eastAsia"/>
        </w:rPr>
        <w:t>69</w:t>
      </w:r>
      <w:r w:rsidRPr="00AC72E9">
        <w:t xml:space="preserve"> in the control conditions. Under a random-effects model using the REML estimator and Hartung-Knapp adjustment, the pooled Hedges’ g was 0.27, 95% CI [0.06, 0.47], t(13) = 2.8</w:t>
      </w:r>
      <w:r w:rsidR="00F435D5">
        <w:rPr>
          <w:rFonts w:hint="eastAsia"/>
        </w:rPr>
        <w:t>2</w:t>
      </w:r>
      <w:r w:rsidRPr="00AC72E9">
        <w:t>, p = .015, indicating a small but statistically significant benefit of unguided self-help CBT interventions over control conditions.</w:t>
      </w:r>
      <w:r w:rsidR="000332BE" w:rsidRPr="000332BE">
        <w:t xml:space="preserve"> (Figure 3).</w:t>
      </w:r>
    </w:p>
    <w:p w14:paraId="3D18E282" w14:textId="7424329B"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g = −0.17 (O'Dea et al., 2020) to g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Poppelaars et al., 2016, </w:t>
      </w:r>
      <w:r w:rsidR="00F435D5" w:rsidRPr="00F435D5">
        <w:rPr>
          <w:i/>
          <w:iCs/>
        </w:rPr>
        <w:t>g</w:t>
      </w:r>
      <w:r w:rsidR="00F435D5" w:rsidRPr="00F435D5">
        <w:t xml:space="preserve"> = −0.01)</w:t>
      </w:r>
      <w:r w:rsidRPr="000332BE">
        <w:t>. Five trials had confidence intervals that excluded zero (Ackerson et al., 1998; Fleming et al., 2012; Makarushka,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 reported in Section 4.6.</w:t>
      </w:r>
    </w:p>
    <w:p w14:paraId="4392EEF7" w14:textId="77777777" w:rsidR="00C61F6E" w:rsidRDefault="00C61F6E" w:rsidP="005B656D">
      <w:pPr>
        <w:spacing w:after="120" w:line="360" w:lineRule="auto"/>
        <w:jc w:val="both"/>
        <w:rPr>
          <w:b/>
          <w:bCs/>
          <w:noProof/>
        </w:rPr>
      </w:pPr>
    </w:p>
    <w:bookmarkEnd w:id="13"/>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77777777"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4C150BFD" w:rsidR="005B656D" w:rsidRPr="005B656D" w:rsidRDefault="006D7C45" w:rsidP="005B656D">
      <w:pPr>
        <w:spacing w:after="120" w:line="360" w:lineRule="auto"/>
        <w:jc w:val="center"/>
      </w:pPr>
      <w:r>
        <w:rPr>
          <w:noProof/>
        </w:rPr>
        <w:drawing>
          <wp:inline distT="0" distB="0" distL="0" distR="0" wp14:anchorId="5E79CE49" wp14:editId="68FB7B82">
            <wp:extent cx="5943600" cy="4517390"/>
            <wp:effectExtent l="0" t="0" r="0" b="0"/>
            <wp:docPr id="1740318388" name="图片 1"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18388" name="图片 1" descr="图片包含 图表&#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0FC87208" w:rsidR="005B656D" w:rsidRDefault="005B656D" w:rsidP="005B656D">
      <w:pPr>
        <w:spacing w:after="120" w:line="276" w:lineRule="auto"/>
        <w:jc w:val="both"/>
      </w:pPr>
      <w:bookmarkStart w:id="15" w:name="OLE_LINK24"/>
      <w:r>
        <w:rPr>
          <w:rFonts w:hint="eastAsia"/>
          <w:i/>
          <w:iCs/>
        </w:rPr>
        <w:t xml:space="preserve">Note. </w:t>
      </w:r>
      <w:r w:rsidRPr="005B656D">
        <w:t>Forest plot of unguided self-help CBT versus inactive control</w:t>
      </w:r>
      <w:r w:rsidRPr="005B656D">
        <w:rPr>
          <w:rFonts w:hint="eastAsia"/>
        </w:rPr>
        <w:t xml:space="preserve"> or minimal</w:t>
      </w:r>
      <w:r w:rsidR="000C4420">
        <w:rPr>
          <w:rFonts w:hint="eastAsia"/>
        </w:rPr>
        <w:t>ly</w:t>
      </w:r>
      <w:r w:rsidRPr="005B656D">
        <w:rPr>
          <w:rFonts w:hint="eastAsia"/>
        </w:rPr>
        <w:t xml:space="preserve"> active</w:t>
      </w:r>
      <w:r w:rsidRPr="005B656D">
        <w:t xml:space="preserve"> </w:t>
      </w:r>
      <w:r w:rsidR="000C4420">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15"/>
    <w:p w14:paraId="3ADDB349" w14:textId="77777777" w:rsidR="005B656D" w:rsidRDefault="005B656D" w:rsidP="005B656D">
      <w:pPr>
        <w:spacing w:after="120" w:line="276" w:lineRule="auto"/>
        <w:jc w:val="both"/>
      </w:pPr>
    </w:p>
    <w:p w14:paraId="0DF7DDB0" w14:textId="360CAE3D" w:rsidR="000332BE" w:rsidRPr="000332BE" w:rsidRDefault="000332BE" w:rsidP="000332BE">
      <w:pPr>
        <w:spacing w:after="120" w:line="360" w:lineRule="auto"/>
        <w:ind w:firstLine="360"/>
        <w:jc w:val="both"/>
      </w:pPr>
      <w:bookmarkStart w:id="16" w:name="OLE_LINK13"/>
      <w:r w:rsidRPr="000332BE">
        <w:t>Between-study heterogeneity was moderate to high, Q(13) = 35.</w:t>
      </w:r>
      <w:r w:rsidR="00657D11">
        <w:rPr>
          <w:rFonts w:hint="eastAsia"/>
        </w:rPr>
        <w:t>39</w:t>
      </w:r>
      <w:r w:rsidRPr="000332BE">
        <w:t>, p &lt; .001, I²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xml:space="preserve">]. The corresponding τ value was 0.23, indicating that the dispersion of true effects across studies was nearly as large as the pooled effect itself (g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 positive effect. This variability supports the need for the subgroup analyses, exploratory meta-regression, and sensitivity analyses reported in Sections 4.6 and 4.7.</w:t>
      </w:r>
    </w:p>
    <w:p w14:paraId="79007343" w14:textId="77777777"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 (Sections 4.4.2–4.4.4).</w:t>
      </w:r>
    </w:p>
    <w:bookmarkEnd w:id="16"/>
    <w:p w14:paraId="7105641E" w14:textId="77777777" w:rsidR="00DB320F" w:rsidRPr="000332BE" w:rsidRDefault="00DB320F" w:rsidP="00305721">
      <w:pPr>
        <w:spacing w:after="120" w:line="360" w:lineRule="auto"/>
        <w:jc w:val="both"/>
        <w:rPr>
          <w:b/>
          <w:bCs/>
        </w:rPr>
      </w:pPr>
    </w:p>
    <w:p w14:paraId="06B31B37" w14:textId="358048ED" w:rsidR="008F4577" w:rsidRPr="00305721" w:rsidRDefault="008F4577" w:rsidP="00305721">
      <w:pPr>
        <w:spacing w:after="120" w:line="360" w:lineRule="auto"/>
        <w:jc w:val="both"/>
      </w:pPr>
      <w:bookmarkStart w:id="17" w:name="OLE_LINK37"/>
      <w:bookmarkStart w:id="18" w:name="OLE_LINK20"/>
      <w:bookmarkStart w:id="19" w:name="OLE_LINK16"/>
      <w:r w:rsidRPr="008F4577">
        <w:rPr>
          <w:rFonts w:hint="eastAsia"/>
          <w:b/>
          <w:bCs/>
        </w:rPr>
        <w:t xml:space="preserve">Table 2. </w:t>
      </w:r>
      <w:r w:rsidRPr="008F4577">
        <w:rPr>
          <w:b/>
          <w:bCs/>
        </w:rPr>
        <w:t xml:space="preserve">Test of Heterogeneity: </w:t>
      </w:r>
      <w:bookmarkStart w:id="20" w:name="OLE_LINK18"/>
      <w:r w:rsidRPr="008F4577">
        <w:rPr>
          <w:b/>
          <w:bCs/>
        </w:rPr>
        <w:t>Post-Intervention</w:t>
      </w:r>
      <w:bookmarkEnd w:id="20"/>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807"/>
        <w:gridCol w:w="1236"/>
        <w:gridCol w:w="1195"/>
        <w:gridCol w:w="852"/>
        <w:gridCol w:w="1048"/>
        <w:gridCol w:w="967"/>
        <w:gridCol w:w="1092"/>
        <w:gridCol w:w="1169"/>
        <w:gridCol w:w="994"/>
      </w:tblGrid>
      <w:tr w:rsidR="00573723" w:rsidRPr="00310732" w14:paraId="6104253E" w14:textId="7D0F36A7" w:rsidTr="00780B81">
        <w:tc>
          <w:tcPr>
            <w:tcW w:w="807" w:type="dxa"/>
          </w:tcPr>
          <w:p w14:paraId="53536D7C" w14:textId="1C4E8CE5" w:rsidR="00573723" w:rsidRPr="00310732" w:rsidRDefault="00573723" w:rsidP="00060371">
            <w:pPr>
              <w:spacing w:after="120" w:line="360" w:lineRule="auto"/>
              <w:jc w:val="center"/>
              <w:rPr>
                <w:b/>
                <w:bCs/>
                <w:i/>
                <w:iCs/>
              </w:rPr>
            </w:pPr>
            <w:r w:rsidRPr="00310732">
              <w:rPr>
                <w:rFonts w:hint="eastAsia"/>
                <w:b/>
                <w:bCs/>
                <w:i/>
                <w:iCs/>
              </w:rPr>
              <w:t>k</w:t>
            </w:r>
          </w:p>
        </w:tc>
        <w:tc>
          <w:tcPr>
            <w:tcW w:w="1236" w:type="dxa"/>
          </w:tcPr>
          <w:p w14:paraId="429C1320" w14:textId="4BDBB4A5" w:rsidR="00573723" w:rsidRPr="00310732" w:rsidRDefault="00573723" w:rsidP="00060371">
            <w:pPr>
              <w:spacing w:after="120" w:line="360" w:lineRule="auto"/>
              <w:jc w:val="center"/>
              <w:rPr>
                <w:b/>
                <w:bCs/>
                <w:i/>
                <w:iCs/>
              </w:rPr>
            </w:pPr>
            <w:r w:rsidRPr="00310732">
              <w:rPr>
                <w:b/>
                <w:bCs/>
              </w:rPr>
              <w:t xml:space="preserve">Hedges’ </w:t>
            </w:r>
            <w:r w:rsidRPr="00310732">
              <w:rPr>
                <w:b/>
                <w:bCs/>
                <w:i/>
                <w:iCs/>
              </w:rPr>
              <w:t>g</w:t>
            </w:r>
            <w:r w:rsidRPr="00310732">
              <w:rPr>
                <w:b/>
                <w:bCs/>
              </w:rPr>
              <w:t xml:space="preserve"> </w:t>
            </w:r>
            <w:r w:rsidRPr="00310732">
              <w:rPr>
                <w:rFonts w:hint="eastAsia"/>
                <w:b/>
                <w:bCs/>
              </w:rPr>
              <w:t>[</w:t>
            </w:r>
            <w:r w:rsidRPr="00310732">
              <w:rPr>
                <w:b/>
                <w:bCs/>
              </w:rPr>
              <w:t>95% CI</w:t>
            </w:r>
            <w:r w:rsidRPr="00310732">
              <w:rPr>
                <w:rFonts w:hint="eastAsia"/>
                <w:b/>
                <w:bCs/>
              </w:rPr>
              <w:t>]</w:t>
            </w:r>
          </w:p>
        </w:tc>
        <w:tc>
          <w:tcPr>
            <w:tcW w:w="1195" w:type="dxa"/>
          </w:tcPr>
          <w:p w14:paraId="78968DBC" w14:textId="08ECFBDB" w:rsidR="00573723" w:rsidRPr="00310732" w:rsidRDefault="00573723" w:rsidP="00060371">
            <w:pPr>
              <w:spacing w:after="120" w:line="360" w:lineRule="auto"/>
              <w:jc w:val="center"/>
              <w:rPr>
                <w:b/>
                <w:bCs/>
                <w:i/>
                <w:iCs/>
              </w:rPr>
            </w:pPr>
            <w:r w:rsidRPr="00310732">
              <w:rPr>
                <w:rFonts w:hint="eastAsia"/>
                <w:b/>
                <w:bCs/>
                <w:i/>
                <w:iCs/>
              </w:rPr>
              <w:t>t (df)</w:t>
            </w:r>
          </w:p>
        </w:tc>
        <w:tc>
          <w:tcPr>
            <w:tcW w:w="852" w:type="dxa"/>
          </w:tcPr>
          <w:p w14:paraId="70EDE863" w14:textId="72097CF6" w:rsidR="00573723" w:rsidRPr="00310732" w:rsidRDefault="00573723" w:rsidP="00060371">
            <w:pPr>
              <w:spacing w:after="120" w:line="360" w:lineRule="auto"/>
              <w:jc w:val="center"/>
              <w:rPr>
                <w:b/>
                <w:bCs/>
                <w:i/>
                <w:iCs/>
              </w:rPr>
            </w:pPr>
            <w:r w:rsidRPr="00310732">
              <w:rPr>
                <w:rFonts w:hint="eastAsia"/>
                <w:b/>
                <w:bCs/>
                <w:i/>
                <w:iCs/>
              </w:rPr>
              <w:t>p</w:t>
            </w:r>
          </w:p>
        </w:tc>
        <w:tc>
          <w:tcPr>
            <w:tcW w:w="1048" w:type="dxa"/>
          </w:tcPr>
          <w:p w14:paraId="0E7935AB" w14:textId="48BD9179" w:rsidR="00573723" w:rsidRPr="00310732" w:rsidRDefault="00573723" w:rsidP="00060371">
            <w:pPr>
              <w:spacing w:after="120" w:line="360" w:lineRule="auto"/>
              <w:jc w:val="center"/>
              <w:rPr>
                <w:b/>
                <w:bCs/>
              </w:rPr>
            </w:pPr>
            <w:r w:rsidRPr="00310732">
              <w:rPr>
                <w:rFonts w:hint="eastAsia"/>
                <w:b/>
                <w:bCs/>
                <w:i/>
                <w:iCs/>
              </w:rPr>
              <w:t>Q</w:t>
            </w:r>
            <w:r w:rsidRPr="00310732">
              <w:rPr>
                <w:rFonts w:hint="eastAsia"/>
                <w:b/>
                <w:bCs/>
              </w:rPr>
              <w:t xml:space="preserve"> (</w:t>
            </w:r>
            <w:r w:rsidRPr="00310732">
              <w:rPr>
                <w:rFonts w:hint="eastAsia"/>
                <w:b/>
                <w:bCs/>
                <w:i/>
                <w:iCs/>
              </w:rPr>
              <w:t>df</w:t>
            </w:r>
            <w:r w:rsidRPr="00310732">
              <w:rPr>
                <w:rFonts w:hint="eastAsia"/>
                <w:b/>
                <w:bCs/>
              </w:rPr>
              <w:t>)</w:t>
            </w:r>
          </w:p>
        </w:tc>
        <w:tc>
          <w:tcPr>
            <w:tcW w:w="967" w:type="dxa"/>
          </w:tcPr>
          <w:p w14:paraId="73DAD6DE" w14:textId="5D670DE5" w:rsidR="00573723" w:rsidRPr="00310732" w:rsidRDefault="00573723" w:rsidP="009E6CC9">
            <w:pPr>
              <w:spacing w:after="120" w:line="360" w:lineRule="auto"/>
              <w:jc w:val="center"/>
              <w:rPr>
                <w:b/>
                <w:bCs/>
                <w:i/>
                <w:iCs/>
              </w:rPr>
            </w:pPr>
            <w:r w:rsidRPr="00310732">
              <w:rPr>
                <w:rFonts w:hint="eastAsia"/>
                <w:b/>
                <w:bCs/>
                <w:i/>
                <w:iCs/>
              </w:rPr>
              <w:t xml:space="preserve">p </w:t>
            </w:r>
            <w:r w:rsidRPr="00310732">
              <w:rPr>
                <w:rFonts w:hint="eastAsia"/>
                <w:b/>
                <w:bCs/>
              </w:rPr>
              <w:t>(</w:t>
            </w:r>
            <w:r w:rsidRPr="00310732">
              <w:rPr>
                <w:rFonts w:hint="eastAsia"/>
                <w:b/>
                <w:bCs/>
                <w:i/>
                <w:iCs/>
              </w:rPr>
              <w:t>Q)</w:t>
            </w:r>
          </w:p>
        </w:tc>
        <w:tc>
          <w:tcPr>
            <w:tcW w:w="1092" w:type="dxa"/>
          </w:tcPr>
          <w:p w14:paraId="42C860B4" w14:textId="6D64EEE0" w:rsidR="00573723" w:rsidRPr="00310732" w:rsidRDefault="00573723" w:rsidP="00060371">
            <w:pPr>
              <w:spacing w:after="120" w:line="360" w:lineRule="auto"/>
              <w:jc w:val="center"/>
              <w:rPr>
                <w:b/>
                <w:bCs/>
              </w:rPr>
            </w:pPr>
            <w:r w:rsidRPr="00310732">
              <w:rPr>
                <w:b/>
                <w:bCs/>
                <w:i/>
                <w:iCs/>
              </w:rPr>
              <w:t>I</w:t>
            </w:r>
            <w:r w:rsidRPr="00310732">
              <w:rPr>
                <w:b/>
                <w:bCs/>
              </w:rPr>
              <w:t>²</w:t>
            </w:r>
            <w:r w:rsidRPr="00310732">
              <w:rPr>
                <w:b/>
                <w:bCs/>
                <w:i/>
                <w:iCs/>
              </w:rPr>
              <w:t xml:space="preserve"> </w:t>
            </w:r>
            <w:r w:rsidRPr="00310732">
              <w:rPr>
                <w:b/>
                <w:bCs/>
              </w:rPr>
              <w:t>[95% CI]</w:t>
            </w:r>
          </w:p>
        </w:tc>
        <w:tc>
          <w:tcPr>
            <w:tcW w:w="1169" w:type="dxa"/>
          </w:tcPr>
          <w:p w14:paraId="1C32B987" w14:textId="62A6525B" w:rsidR="00573723" w:rsidRPr="00310732" w:rsidRDefault="00573723" w:rsidP="00060371">
            <w:pPr>
              <w:spacing w:after="120" w:line="360" w:lineRule="auto"/>
              <w:jc w:val="center"/>
              <w:rPr>
                <w:b/>
                <w:bCs/>
                <w:i/>
                <w:iCs/>
              </w:rPr>
            </w:pPr>
            <w:bookmarkStart w:id="21" w:name="OLE_LINK12"/>
            <w:r w:rsidRPr="00310732">
              <w:rPr>
                <w:b/>
                <w:bCs/>
                <w:i/>
                <w:iCs/>
              </w:rPr>
              <w:t>τ</w:t>
            </w:r>
            <w:r w:rsidRPr="00310732">
              <w:rPr>
                <w:rFonts w:hint="eastAsia"/>
                <w:b/>
                <w:bCs/>
                <w:vertAlign w:val="superscript"/>
              </w:rPr>
              <w:t>2</w:t>
            </w:r>
            <w:bookmarkEnd w:id="21"/>
          </w:p>
        </w:tc>
        <w:tc>
          <w:tcPr>
            <w:tcW w:w="994" w:type="dxa"/>
          </w:tcPr>
          <w:p w14:paraId="4BB0A146" w14:textId="2BFB03A3" w:rsidR="00573723" w:rsidRPr="00310732" w:rsidRDefault="00573723" w:rsidP="00060371">
            <w:pPr>
              <w:spacing w:after="120" w:line="360" w:lineRule="auto"/>
              <w:jc w:val="center"/>
              <w:rPr>
                <w:b/>
                <w:bCs/>
              </w:rPr>
            </w:pPr>
            <w:r w:rsidRPr="00310732">
              <w:rPr>
                <w:b/>
                <w:bCs/>
              </w:rPr>
              <w:t>95% PI</w:t>
            </w:r>
          </w:p>
        </w:tc>
      </w:tr>
      <w:tr w:rsidR="00573723" w:rsidRPr="00573723" w14:paraId="010CD3CA" w14:textId="5227D6F7" w:rsidTr="00780B81">
        <w:tc>
          <w:tcPr>
            <w:tcW w:w="807" w:type="dxa"/>
          </w:tcPr>
          <w:p w14:paraId="77159403" w14:textId="0264952B" w:rsidR="00573723" w:rsidRPr="00573723" w:rsidRDefault="00573723" w:rsidP="00573723">
            <w:pPr>
              <w:spacing w:after="120" w:line="360" w:lineRule="auto"/>
              <w:jc w:val="center"/>
            </w:pPr>
            <w:r w:rsidRPr="00573723">
              <w:rPr>
                <w:rFonts w:hint="eastAsia"/>
              </w:rPr>
              <w:t>14</w:t>
            </w:r>
          </w:p>
        </w:tc>
        <w:tc>
          <w:tcPr>
            <w:tcW w:w="1236" w:type="dxa"/>
          </w:tcPr>
          <w:p w14:paraId="11DC24CA" w14:textId="48DF5003" w:rsidR="00573723" w:rsidRPr="00573723" w:rsidRDefault="00573723" w:rsidP="00573723">
            <w:pPr>
              <w:spacing w:after="120" w:line="360" w:lineRule="auto"/>
              <w:jc w:val="center"/>
            </w:pPr>
            <w:bookmarkStart w:id="22" w:name="OLE_LINK48"/>
            <w:r w:rsidRPr="00573723">
              <w:rPr>
                <w:rFonts w:hint="eastAsia"/>
              </w:rPr>
              <w:t>0.2</w:t>
            </w:r>
            <w:r w:rsidR="00B2388E">
              <w:rPr>
                <w:rFonts w:hint="eastAsia"/>
              </w:rPr>
              <w:t>68</w:t>
            </w:r>
            <w:r w:rsidRPr="00573723">
              <w:rPr>
                <w:rFonts w:hint="eastAsia"/>
              </w:rPr>
              <w:t xml:space="preserve"> [</w:t>
            </w:r>
            <w:r w:rsidRPr="00573723">
              <w:t>0.06</w:t>
            </w:r>
            <w:r w:rsidRPr="00573723">
              <w:rPr>
                <w:rFonts w:hint="eastAsia"/>
              </w:rPr>
              <w:t xml:space="preserve">, </w:t>
            </w:r>
            <w:r w:rsidRPr="00573723">
              <w:t>0.47</w:t>
            </w:r>
            <w:r w:rsidRPr="00573723">
              <w:rPr>
                <w:rFonts w:hint="eastAsia"/>
              </w:rPr>
              <w:t>]</w:t>
            </w:r>
            <w:bookmarkEnd w:id="22"/>
          </w:p>
        </w:tc>
        <w:tc>
          <w:tcPr>
            <w:tcW w:w="1195" w:type="dxa"/>
          </w:tcPr>
          <w:p w14:paraId="457C09DD" w14:textId="45C9F30D" w:rsidR="00573723" w:rsidRPr="00573723" w:rsidRDefault="00573723" w:rsidP="00573723">
            <w:pPr>
              <w:spacing w:after="120" w:line="360" w:lineRule="auto"/>
              <w:jc w:val="center"/>
            </w:pPr>
            <w:r w:rsidRPr="00573723">
              <w:rPr>
                <w:rFonts w:hint="eastAsia"/>
              </w:rPr>
              <w:t>2.8</w:t>
            </w:r>
            <w:r w:rsidR="00F435D5">
              <w:rPr>
                <w:rFonts w:hint="eastAsia"/>
              </w:rPr>
              <w:t>2</w:t>
            </w:r>
            <w:r w:rsidRPr="00573723">
              <w:rPr>
                <w:rFonts w:hint="eastAsia"/>
              </w:rPr>
              <w:t>(13)</w:t>
            </w:r>
          </w:p>
        </w:tc>
        <w:tc>
          <w:tcPr>
            <w:tcW w:w="852" w:type="dxa"/>
          </w:tcPr>
          <w:p w14:paraId="78FF37B8" w14:textId="2754AB19" w:rsidR="00573723" w:rsidRPr="00573723" w:rsidRDefault="00573723" w:rsidP="00573723">
            <w:pPr>
              <w:spacing w:after="120" w:line="360" w:lineRule="auto"/>
              <w:jc w:val="center"/>
            </w:pPr>
            <w:r w:rsidRPr="00573723">
              <w:rPr>
                <w:rFonts w:hint="eastAsia"/>
              </w:rPr>
              <w:t>.015</w:t>
            </w:r>
          </w:p>
        </w:tc>
        <w:tc>
          <w:tcPr>
            <w:tcW w:w="1048" w:type="dxa"/>
          </w:tcPr>
          <w:p w14:paraId="06B54D9E" w14:textId="04FF895C" w:rsidR="00573723" w:rsidRPr="009E6CC9" w:rsidRDefault="00573723" w:rsidP="00573723">
            <w:pPr>
              <w:spacing w:after="120" w:line="360" w:lineRule="auto"/>
              <w:jc w:val="center"/>
            </w:pPr>
            <w:r w:rsidRPr="009E6CC9">
              <w:t>35.</w:t>
            </w:r>
            <w:r w:rsidR="00657D11">
              <w:rPr>
                <w:rFonts w:hint="eastAsia"/>
              </w:rPr>
              <w:t>39</w:t>
            </w:r>
            <w:r w:rsidRPr="00573723">
              <w:rPr>
                <w:rFonts w:hint="eastAsia"/>
              </w:rPr>
              <w:t xml:space="preserve"> (13)</w:t>
            </w:r>
          </w:p>
          <w:p w14:paraId="0F14A795" w14:textId="7953EB24" w:rsidR="00573723" w:rsidRPr="00573723" w:rsidRDefault="00573723" w:rsidP="00573723">
            <w:pPr>
              <w:spacing w:after="120" w:line="360" w:lineRule="auto"/>
              <w:jc w:val="center"/>
            </w:pPr>
          </w:p>
        </w:tc>
        <w:tc>
          <w:tcPr>
            <w:tcW w:w="967" w:type="dxa"/>
          </w:tcPr>
          <w:p w14:paraId="0B14E93D" w14:textId="1CF147E2" w:rsidR="00573723" w:rsidRPr="00573723" w:rsidRDefault="00573723" w:rsidP="005B467D">
            <w:pPr>
              <w:spacing w:after="120" w:line="360" w:lineRule="auto"/>
              <w:jc w:val="center"/>
            </w:pPr>
            <w:r w:rsidRPr="00573723">
              <w:t>&lt; .001</w:t>
            </w:r>
          </w:p>
        </w:tc>
        <w:tc>
          <w:tcPr>
            <w:tcW w:w="1092" w:type="dxa"/>
          </w:tcPr>
          <w:p w14:paraId="17B98E7E" w14:textId="7B5E35B0" w:rsidR="00573723" w:rsidRPr="00573723" w:rsidRDefault="00573723" w:rsidP="00573723">
            <w:pPr>
              <w:spacing w:after="120" w:line="360" w:lineRule="auto"/>
              <w:jc w:val="center"/>
            </w:pPr>
            <w:r w:rsidRPr="00573723">
              <w:t>63.</w:t>
            </w:r>
            <w:r w:rsidR="00F435D5">
              <w:rPr>
                <w:rFonts w:hint="eastAsia"/>
              </w:rPr>
              <w:t>3</w:t>
            </w:r>
            <w:r w:rsidRPr="00573723">
              <w:t>%</w:t>
            </w:r>
          </w:p>
          <w:p w14:paraId="42932AC4" w14:textId="701F73C0" w:rsidR="00573723" w:rsidRPr="00573723" w:rsidRDefault="00573723" w:rsidP="00573723">
            <w:pPr>
              <w:spacing w:after="120" w:line="360" w:lineRule="auto"/>
              <w:jc w:val="center"/>
            </w:pPr>
            <w:r w:rsidRPr="00573723">
              <w:t>[34.</w:t>
            </w:r>
            <w:r w:rsidR="00657D11">
              <w:rPr>
                <w:rFonts w:hint="eastAsia"/>
              </w:rPr>
              <w:t>7</w:t>
            </w:r>
            <w:r w:rsidRPr="00573723">
              <w:t>, 79.</w:t>
            </w:r>
            <w:r w:rsidR="00657D11">
              <w:rPr>
                <w:rFonts w:hint="eastAsia"/>
              </w:rPr>
              <w:t>3</w:t>
            </w:r>
            <w:r w:rsidRPr="00573723">
              <w:t>]</w:t>
            </w:r>
          </w:p>
        </w:tc>
        <w:tc>
          <w:tcPr>
            <w:tcW w:w="1169" w:type="dxa"/>
          </w:tcPr>
          <w:p w14:paraId="22DC85FC" w14:textId="4DFAB690" w:rsidR="00573723" w:rsidRPr="00573723" w:rsidRDefault="00573723" w:rsidP="00573723">
            <w:pPr>
              <w:spacing w:after="120" w:line="360" w:lineRule="auto"/>
              <w:jc w:val="center"/>
            </w:pPr>
            <w:r w:rsidRPr="00573723">
              <w:t>0.055</w:t>
            </w:r>
          </w:p>
        </w:tc>
        <w:tc>
          <w:tcPr>
            <w:tcW w:w="994" w:type="dxa"/>
          </w:tcPr>
          <w:p w14:paraId="5D6EA815" w14:textId="5016FDA5" w:rsidR="00573723" w:rsidRPr="00573723" w:rsidRDefault="00573723" w:rsidP="00573723">
            <w:pPr>
              <w:spacing w:after="120" w:line="360" w:lineRule="auto"/>
              <w:jc w:val="center"/>
            </w:pPr>
            <w:bookmarkStart w:id="23" w:name="OLE_LINK49"/>
            <w:r w:rsidRPr="00573723">
              <w:t>[−0.27, 0.80]</w:t>
            </w:r>
            <w:bookmarkEnd w:id="23"/>
          </w:p>
        </w:tc>
      </w:tr>
      <w:bookmarkEnd w:id="17"/>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18"/>
    </w:p>
    <w:bookmarkEnd w:id="12"/>
    <w:bookmarkEnd w:id="14"/>
    <w:bookmarkEnd w:id="19"/>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24" w:name="OLE_LINK27"/>
      <w:r w:rsidRPr="00307741">
        <w:rPr>
          <w:rFonts w:hint="eastAsia"/>
          <w:b/>
          <w:bCs/>
        </w:rPr>
        <w:t>Short-term follow-up</w:t>
      </w:r>
    </w:p>
    <w:bookmarkEnd w:id="24"/>
    <w:p w14:paraId="4F496608" w14:textId="47246AC6" w:rsidR="00057441" w:rsidRDefault="00DB6FE5" w:rsidP="00057441">
      <w:pPr>
        <w:spacing w:after="120" w:line="360" w:lineRule="auto"/>
        <w:ind w:firstLine="360"/>
        <w:jc w:val="both"/>
      </w:pPr>
      <w:r>
        <w:rPr>
          <w:rFonts w:hint="eastAsia"/>
        </w:rPr>
        <w:t xml:space="preserve"> </w:t>
      </w:r>
      <w:bookmarkStart w:id="25" w:name="OLE_LINK29"/>
      <w:r w:rsidR="00307741">
        <w:rPr>
          <w:rFonts w:hint="eastAsia"/>
        </w:rPr>
        <w:t>Three studies (</w:t>
      </w:r>
      <w:r w:rsidR="00307741" w:rsidRPr="00307741">
        <w:t>O'Dea et al., 2020; Poppelaars et al., 2016; Stasiak et al., 2014</w:t>
      </w:r>
      <w:r w:rsidR="00307741">
        <w:rPr>
          <w:rFonts w:hint="eastAsia"/>
        </w:rPr>
        <w:t>) contributed effect sizes at short-term follow-up (</w:t>
      </w:r>
      <w:r w:rsidR="00057441" w:rsidRPr="00057441">
        <w:t>≤3 months post-intervention)</w:t>
      </w:r>
      <w:r w:rsidR="00057441">
        <w:rPr>
          <w:rFonts w:hint="eastAsia"/>
        </w:rPr>
        <w:t xml:space="preserve">. </w:t>
      </w:r>
      <w:r w:rsidR="00057441" w:rsidRPr="00057441">
        <w:t>Under a random-effects model with REML estimator and Hartung-Knapp adjustment, the pooled Hedges' g was 0.01</w:t>
      </w:r>
      <w:r w:rsidR="00FF6590">
        <w:rPr>
          <w:rFonts w:hint="eastAsia"/>
        </w:rPr>
        <w:t>8</w:t>
      </w:r>
      <w:r w:rsidR="00057441" w:rsidRPr="00057441">
        <w:t xml:space="preserve"> (95% CI [−0.34, 0.3</w:t>
      </w:r>
      <w:r w:rsidR="00FF6590">
        <w:rPr>
          <w:rFonts w:hint="eastAsia"/>
        </w:rPr>
        <w:t>8</w:t>
      </w:r>
      <w:r w:rsidR="00057441" w:rsidRPr="00057441">
        <w:t>], t(2) = 0.</w:t>
      </w:r>
      <w:r w:rsidR="00E54200">
        <w:rPr>
          <w:rFonts w:hint="eastAsia"/>
        </w:rPr>
        <w:t>21</w:t>
      </w:r>
      <w:r w:rsidR="00057441" w:rsidRPr="00057441">
        <w:t>, p = .8</w:t>
      </w:r>
      <w:r w:rsidR="00FF6590">
        <w:rPr>
          <w:rFonts w:hint="eastAsia"/>
        </w:rPr>
        <w:t>51</w:t>
      </w:r>
      <w:r w:rsidR="00057441" w:rsidRPr="00057441">
        <w:t xml:space="preserve">), </w:t>
      </w:r>
      <w:r w:rsidR="00DD28C8" w:rsidRPr="00057441">
        <w:t>indicating no detectable benefit of unguided self-help CBTs over control conditions at this timepoint (Figure 4)</w:t>
      </w:r>
      <w:r w:rsidR="00057441" w:rsidRPr="00057441">
        <w:t>.</w:t>
      </w:r>
    </w:p>
    <w:p w14:paraId="5030C2EC" w14:textId="00286218" w:rsidR="00057441" w:rsidRPr="00057441" w:rsidRDefault="00057441" w:rsidP="00057441">
      <w:pPr>
        <w:spacing w:after="120" w:line="360" w:lineRule="auto"/>
        <w:ind w:firstLine="360"/>
        <w:jc w:val="both"/>
      </w:pPr>
      <w:r w:rsidRPr="00057441">
        <w:t>Between-study heterogeneity was negligible (Q(2) = 0.8</w:t>
      </w:r>
      <w:r w:rsidR="00FF6590">
        <w:rPr>
          <w:rFonts w:hint="eastAsia"/>
        </w:rPr>
        <w:t>8</w:t>
      </w:r>
      <w:r w:rsidRPr="00057441">
        <w:t>, p = .6</w:t>
      </w:r>
      <w:r w:rsidR="00FF6590">
        <w:rPr>
          <w:rFonts w:hint="eastAsia"/>
        </w:rPr>
        <w:t>44</w:t>
      </w:r>
      <w:r w:rsidRPr="00057441">
        <w:t>; I² = 0.0%, 95% CI [0.0%, 89.6%]; τ² = 0.000). However, the wide confidence interval around I² reflects the limited precision of heterogeneity estimates when the number of studies is small (Borenstein et al., 2017). The 95% prediction interval extended from −0.53 to 0.56, similarly reflecting substantial uncertainty rather than informative dispersion.</w:t>
      </w:r>
    </w:p>
    <w:p w14:paraId="5AC01A9E" w14:textId="0BDFB29E" w:rsidR="00057441" w:rsidRDefault="00057441" w:rsidP="000332BE">
      <w:pPr>
        <w:spacing w:after="120" w:line="360" w:lineRule="auto"/>
        <w:ind w:firstLine="360"/>
        <w:jc w:val="both"/>
      </w:pPr>
      <w:r w:rsidRPr="00057441">
        <w:t xml:space="preserve">These short-term findings should be interpreted with considerable caution. </w:t>
      </w:r>
      <w:bookmarkEnd w:id="25"/>
    </w:p>
    <w:p w14:paraId="2A48964D" w14:textId="77777777" w:rsidR="00057441" w:rsidRPr="00057441" w:rsidRDefault="00057441" w:rsidP="00057441">
      <w:pPr>
        <w:spacing w:after="120" w:line="360" w:lineRule="auto"/>
        <w:ind w:firstLine="360"/>
        <w:jc w:val="both"/>
      </w:pPr>
    </w:p>
    <w:p w14:paraId="6E3D8AE5" w14:textId="0050BF57" w:rsidR="00DB320F" w:rsidRPr="00DB320F" w:rsidRDefault="00DB320F" w:rsidP="00950BF3">
      <w:pPr>
        <w:spacing w:after="120" w:line="360" w:lineRule="auto"/>
        <w:jc w:val="both"/>
        <w:rPr>
          <w:b/>
          <w:bCs/>
          <w:noProof/>
        </w:rPr>
      </w:pPr>
      <w:bookmarkStart w:id="26"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Pr>
          <w:rFonts w:hint="eastAsia"/>
          <w:b/>
          <w:bCs/>
        </w:rPr>
        <w:t xml:space="preserve"> </w:t>
      </w:r>
      <w:r w:rsidR="00F351EB" w:rsidRPr="00F351EB">
        <w:rPr>
          <w:b/>
          <w:bCs/>
        </w:rPr>
        <w:t>Short-Term Follow-UP</w:t>
      </w:r>
    </w:p>
    <w:bookmarkEnd w:id="26"/>
    <w:p w14:paraId="5E7F687C" w14:textId="1246F269" w:rsidR="00A87283" w:rsidRDefault="00827227" w:rsidP="00950BF3">
      <w:pPr>
        <w:spacing w:after="120" w:line="360" w:lineRule="auto"/>
        <w:jc w:val="both"/>
        <w:rPr>
          <w:b/>
          <w:bCs/>
          <w:sz w:val="24"/>
          <w:szCs w:val="24"/>
        </w:rPr>
      </w:pPr>
      <w:r>
        <w:rPr>
          <w:b/>
          <w:bCs/>
          <w:noProof/>
          <w:sz w:val="24"/>
          <w:szCs w:val="24"/>
        </w:rPr>
        <w:drawing>
          <wp:inline distT="0" distB="0" distL="0" distR="0" wp14:anchorId="46CE642D" wp14:editId="054DAB1A">
            <wp:extent cx="5943600" cy="2773680"/>
            <wp:effectExtent l="0" t="0" r="0" b="7620"/>
            <wp:docPr id="73682158" name="图片 2"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2158" name="图片 2" descr="图表,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73680"/>
                    </a:xfrm>
                    <a:prstGeom prst="rect">
                      <a:avLst/>
                    </a:prstGeom>
                  </pic:spPr>
                </pic:pic>
              </a:graphicData>
            </a:graphic>
          </wp:inline>
        </w:drawing>
      </w:r>
    </w:p>
    <w:p w14:paraId="29E48D0B" w14:textId="2F2CC6C2" w:rsidR="00F351EB" w:rsidRDefault="00F351EB" w:rsidP="00F351EB">
      <w:pPr>
        <w:spacing w:after="120" w:line="276" w:lineRule="auto"/>
        <w:jc w:val="both"/>
      </w:pPr>
      <w:bookmarkStart w:id="27" w:name="OLE_LINK32"/>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27"/>
    <w:p w14:paraId="6CCB4EFE" w14:textId="77777777" w:rsidR="00057441" w:rsidRDefault="00057441" w:rsidP="00F351EB">
      <w:pPr>
        <w:spacing w:after="120" w:line="276" w:lineRule="auto"/>
        <w:jc w:val="both"/>
      </w:pPr>
    </w:p>
    <w:p w14:paraId="7276AA9D" w14:textId="77777777" w:rsidR="00057441" w:rsidRDefault="00057441" w:rsidP="00F351EB">
      <w:pPr>
        <w:spacing w:after="120" w:line="276" w:lineRule="auto"/>
        <w:jc w:val="both"/>
      </w:pPr>
    </w:p>
    <w:p w14:paraId="5009C06D" w14:textId="28469023" w:rsidR="00057441" w:rsidRDefault="00AE1CB6" w:rsidP="00057441">
      <w:pPr>
        <w:spacing w:after="120" w:line="360" w:lineRule="auto"/>
        <w:ind w:firstLine="360"/>
        <w:jc w:val="both"/>
        <w:rPr>
          <w:b/>
          <w:bCs/>
        </w:rPr>
      </w:pPr>
      <w:bookmarkStart w:id="28" w:name="OLE_LINK21"/>
      <w:r>
        <w:rPr>
          <w:rFonts w:hint="eastAsia"/>
          <w:b/>
          <w:bCs/>
        </w:rPr>
        <w:t>Mid</w:t>
      </w:r>
      <w:r w:rsidR="00057441" w:rsidRPr="00307741">
        <w:rPr>
          <w:rFonts w:hint="eastAsia"/>
          <w:b/>
          <w:bCs/>
        </w:rPr>
        <w:t>-term follow-up</w:t>
      </w:r>
    </w:p>
    <w:p w14:paraId="17EEC9AD" w14:textId="7AF9D97C" w:rsidR="00DD28C8" w:rsidRDefault="00057441" w:rsidP="00DD28C8">
      <w:pPr>
        <w:spacing w:after="120" w:line="360" w:lineRule="auto"/>
        <w:ind w:firstLine="360"/>
        <w:jc w:val="both"/>
      </w:pPr>
      <w:bookmarkStart w:id="29" w:name="OLE_LINK28"/>
      <w:bookmarkStart w:id="30" w:name="OLE_LINK17"/>
      <w:bookmarkEnd w:id="28"/>
      <w:r w:rsidRPr="00057441">
        <w:rPr>
          <w:rFonts w:hint="eastAsia"/>
        </w:rPr>
        <w:t>Seven</w:t>
      </w:r>
      <w:r>
        <w:rPr>
          <w:rFonts w:hint="eastAsia"/>
        </w:rPr>
        <w:t xml:space="preserve"> studies (Ranney et al., </w:t>
      </w:r>
      <w:r w:rsidR="00A2615C">
        <w:rPr>
          <w:rFonts w:hint="eastAsia"/>
        </w:rPr>
        <w:t xml:space="preserve">2018; </w:t>
      </w:r>
      <w:r w:rsidR="00A2615C" w:rsidRPr="00307741">
        <w:t xml:space="preserve">Poppelaars et al., 2016; </w:t>
      </w:r>
      <w:r w:rsidR="00A2615C">
        <w:rPr>
          <w:rFonts w:hint="eastAsia"/>
        </w:rPr>
        <w:t>Stallard et al., 2024</w:t>
      </w:r>
      <w:r w:rsidR="00AE1CB6">
        <w:rPr>
          <w:rFonts w:hint="eastAsia"/>
        </w:rPr>
        <w:t>; Makarushka, 201</w:t>
      </w:r>
      <w:r w:rsidR="00FF6590">
        <w:rPr>
          <w:rFonts w:hint="eastAsia"/>
        </w:rPr>
        <w:t>1</w:t>
      </w:r>
      <w:r w:rsidR="00AE1CB6">
        <w:rPr>
          <w:rFonts w:hint="eastAsia"/>
        </w:rPr>
        <w:t>; O</w:t>
      </w:r>
      <w:r w:rsidR="00AE1CB6">
        <w:t>’</w:t>
      </w:r>
      <w:r w:rsidR="00AE1CB6">
        <w:rPr>
          <w:rFonts w:hint="eastAsia"/>
        </w:rPr>
        <w:t>Dea et al., 2025; Stice et al., 2008; Ro</w:t>
      </w:r>
      <w:r w:rsidR="00DD28C8">
        <w:rPr>
          <w:rFonts w:hint="eastAsia"/>
        </w:rPr>
        <w:t>h</w:t>
      </w:r>
      <w:r w:rsidR="00AE1CB6">
        <w:rPr>
          <w:rFonts w:hint="eastAsia"/>
        </w:rPr>
        <w:t>de et al., 2015</w:t>
      </w:r>
      <w:r>
        <w:rPr>
          <w:rFonts w:hint="eastAsia"/>
        </w:rPr>
        <w:t>)</w:t>
      </w:r>
      <w:r w:rsidR="00AE1CB6">
        <w:rPr>
          <w:rFonts w:hint="eastAsia"/>
        </w:rPr>
        <w:t xml:space="preserve"> contributed to pooled effect size of mid-term follow-up </w:t>
      </w:r>
      <w:bookmarkStart w:id="31" w:name="OLE_LINK14"/>
      <w:r w:rsidR="00AE1CB6">
        <w:rPr>
          <w:rFonts w:hint="eastAsia"/>
        </w:rPr>
        <w:t>(</w:t>
      </w:r>
      <w:r w:rsidR="00DD28C8" w:rsidRPr="00DD28C8">
        <w:t>&gt;3 to ≤6 months post-intervention</w:t>
      </w:r>
      <w:r w:rsidR="00AE1CB6">
        <w:rPr>
          <w:rFonts w:hint="eastAsia"/>
        </w:rPr>
        <w:t>)</w:t>
      </w:r>
      <w:bookmarkEnd w:id="31"/>
      <w:r w:rsidR="00DD28C8">
        <w:rPr>
          <w:rFonts w:hint="eastAsia"/>
        </w:rPr>
        <w:t xml:space="preserve">. </w:t>
      </w:r>
      <w:r w:rsidR="00DD28C8" w:rsidRPr="00057441">
        <w:t xml:space="preserve">Under a random-effects model with REML estimator and Hartung-Knapp adjustment, the pooled Hedges' g was </w:t>
      </w:r>
      <w:r w:rsidR="00DD28C8" w:rsidRPr="00DD28C8">
        <w:t>0.11</w:t>
      </w:r>
      <w:r w:rsidR="00FB777F">
        <w:rPr>
          <w:rFonts w:hint="eastAsia"/>
        </w:rPr>
        <w:t>5</w:t>
      </w:r>
      <w:r w:rsidR="00DD28C8" w:rsidRPr="00DD28C8">
        <w:t xml:space="preserve"> </w:t>
      </w:r>
      <w:r w:rsidR="00DD28C8">
        <w:rPr>
          <w:rFonts w:hint="eastAsia"/>
        </w:rPr>
        <w:t xml:space="preserve">( 95% CI </w:t>
      </w:r>
      <w:r w:rsidR="00DD28C8" w:rsidRPr="00DD28C8">
        <w:t>[</w:t>
      </w:r>
      <w:r w:rsidR="006A5CBD" w:rsidRPr="006A5CBD">
        <w:t>0.005, 0.22</w:t>
      </w:r>
      <w:r w:rsidR="00FF6590">
        <w:rPr>
          <w:rFonts w:hint="eastAsia"/>
        </w:rPr>
        <w:t>4</w:t>
      </w:r>
      <w:r w:rsidR="00DD28C8" w:rsidRPr="00DD28C8">
        <w:t>]</w:t>
      </w:r>
      <w:r w:rsidR="00DD28C8" w:rsidRPr="00057441">
        <w:t>, t(</w:t>
      </w:r>
      <w:r w:rsidR="00DD28C8">
        <w:rPr>
          <w:rFonts w:hint="eastAsia"/>
        </w:rPr>
        <w:t>6</w:t>
      </w:r>
      <w:r w:rsidR="00DD28C8" w:rsidRPr="00057441">
        <w:t xml:space="preserve">) = </w:t>
      </w:r>
      <w:r w:rsidR="00DD28C8" w:rsidRPr="00DD28C8">
        <w:t>2.5</w:t>
      </w:r>
      <w:r w:rsidR="00FF6590">
        <w:rPr>
          <w:rFonts w:hint="eastAsia"/>
        </w:rPr>
        <w:t>6</w:t>
      </w:r>
      <w:r w:rsidR="00DD28C8" w:rsidRPr="00057441">
        <w:t>, p = .</w:t>
      </w:r>
      <w:r w:rsidR="00DD28C8">
        <w:rPr>
          <w:rFonts w:hint="eastAsia"/>
        </w:rPr>
        <w:t>043</w:t>
      </w:r>
      <w:r w:rsidR="00DD28C8" w:rsidRPr="00057441">
        <w:t xml:space="preserve">), </w:t>
      </w:r>
      <w:r w:rsidR="00DD28C8">
        <w:rPr>
          <w:rFonts w:hint="eastAsia"/>
        </w:rPr>
        <w:t xml:space="preserve">favoring </w:t>
      </w:r>
      <w:r w:rsidR="00DD28C8">
        <w:t>unguided</w:t>
      </w:r>
      <w:r w:rsidR="00DD28C8">
        <w:rPr>
          <w:rFonts w:hint="eastAsia"/>
        </w:rPr>
        <w:t xml:space="preserve"> self-help CBTs over control conditions </w:t>
      </w:r>
      <w:r w:rsidR="00DD28C8" w:rsidRPr="00057441">
        <w:t>at this timepoint</w:t>
      </w:r>
      <w:r w:rsidR="00DD28C8">
        <w:rPr>
          <w:rFonts w:hint="eastAsia"/>
        </w:rPr>
        <w:t xml:space="preserve"> (Figure 5).</w:t>
      </w:r>
      <w:bookmarkStart w:id="32" w:name="OLE_LINK30"/>
      <w:r w:rsidR="005C5AEE">
        <w:rPr>
          <w:rFonts w:hint="eastAsia"/>
        </w:rPr>
        <w:t xml:space="preserve"> </w:t>
      </w:r>
      <w:r w:rsidR="005C5AEE" w:rsidRPr="005C5AEE">
        <w:t>Compared with the post-intervention effect (</w:t>
      </w:r>
      <w:r w:rsidR="005C5AEE" w:rsidRPr="005C5AEE">
        <w:rPr>
          <w:i/>
          <w:iCs/>
        </w:rPr>
        <w:t>g</w:t>
      </w:r>
      <w:r w:rsidR="005C5AEE" w:rsidRPr="005C5AEE">
        <w:t xml:space="preserve"> = 0.27), the mid-term follow-up effect was much smaller, suggesting that the initial benefits of the intervention were not fully maintained over time.</w:t>
      </w:r>
    </w:p>
    <w:p w14:paraId="588142CB" w14:textId="21F4853B" w:rsidR="000332BE" w:rsidRDefault="00272C81" w:rsidP="00DD28C8">
      <w:pPr>
        <w:spacing w:after="120" w:line="360" w:lineRule="auto"/>
        <w:ind w:firstLine="360"/>
        <w:jc w:val="both"/>
      </w:pPr>
      <w:r w:rsidRPr="00272C81">
        <w:t xml:space="preserve">Inspection of the forest plot revealed less dispersion in individual study estimates compared with the post-intervention analysis, ranging from </w:t>
      </w:r>
      <w:r w:rsidRPr="00272C81">
        <w:rPr>
          <w:i/>
          <w:iCs/>
        </w:rPr>
        <w:t>g</w:t>
      </w:r>
      <w:r w:rsidRPr="00272C81">
        <w:t xml:space="preserve"> = −0.07 (Ranney et al., 2018) to </w:t>
      </w:r>
      <w:r w:rsidRPr="00272C81">
        <w:rPr>
          <w:i/>
          <w:iCs/>
        </w:rPr>
        <w:t>g</w:t>
      </w:r>
      <w:r w:rsidRPr="00272C81">
        <w:t xml:space="preserve"> = 0.29 (Makarushka, 201</w:t>
      </w:r>
      <w:r w:rsidR="00FF6590">
        <w:rPr>
          <w:rFonts w:hint="eastAsia"/>
        </w:rPr>
        <w:t>1</w:t>
      </w:r>
      <w:r w:rsidRPr="00272C81">
        <w:t xml:space="preserve">). Five studies showed point estimates favoring the intervention, whereas two yielded negative point estimates. </w:t>
      </w:r>
      <w:r w:rsidRPr="00272C81">
        <w:lastRenderedPageBreak/>
        <w:t>All individual confidence intervals crossed zero, indicating that none of the studies reached statistical significance on its own.</w:t>
      </w:r>
      <w:r w:rsidR="00875F40">
        <w:rPr>
          <w:rFonts w:hint="eastAsia"/>
        </w:rPr>
        <w:t xml:space="preserve"> </w:t>
      </w:r>
    </w:p>
    <w:p w14:paraId="28BF2C72" w14:textId="309FCD94" w:rsidR="008F11F0" w:rsidRPr="008F11F0" w:rsidRDefault="008F11F0" w:rsidP="008F11F0">
      <w:pPr>
        <w:spacing w:after="120" w:line="360" w:lineRule="auto"/>
        <w:ind w:firstLine="360"/>
        <w:jc w:val="both"/>
      </w:pPr>
      <w:r w:rsidRPr="008F11F0">
        <w:t>Between-study heterogeneity was low across all three indicators, Q(6) = 3.4</w:t>
      </w:r>
      <w:r w:rsidR="00E54200">
        <w:rPr>
          <w:rFonts w:hint="eastAsia"/>
        </w:rPr>
        <w:t>7</w:t>
      </w:r>
      <w:r w:rsidRPr="008F11F0">
        <w:t xml:space="preserve">, </w:t>
      </w:r>
      <w:r w:rsidRPr="008F11F0">
        <w:rPr>
          <w:i/>
          <w:iCs/>
        </w:rPr>
        <w:t>p</w:t>
      </w:r>
      <w:r w:rsidRPr="008F11F0">
        <w:t xml:space="preserve"> = .74</w:t>
      </w:r>
      <w:r w:rsidR="00FF6590">
        <w:rPr>
          <w:rFonts w:hint="eastAsia"/>
        </w:rPr>
        <w:t>9</w:t>
      </w:r>
      <w:r w:rsidRPr="008F11F0">
        <w:t xml:space="preserve">, I² = 0.0%, 95% CI [0.0%, 70.8%], τ² = 0.000, 95% CI [0.000, 0.050]. The wide upper bound of the I² confidence interval (70.8%) reflects the limited precision of heterogeneity estimates when the number of studies is moderate (Borenstein et al., 2017), but the three indicators were consistent and jointly supported low between-study variability. </w:t>
      </w:r>
      <w:r w:rsidR="00FB777F" w:rsidRPr="00FB777F">
        <w:t>The 95% prediction interval ranged from −0.03 to 0.26, suggesting that the true effect in a comparable future trial would most likely be small and positive, though the interval marginally included zero.</w:t>
      </w:r>
    </w:p>
    <w:bookmarkEnd w:id="29"/>
    <w:bookmarkEnd w:id="32"/>
    <w:p w14:paraId="64AC76E7" w14:textId="77777777" w:rsidR="00F351EB" w:rsidRDefault="00F351EB" w:rsidP="00F351EB">
      <w:pPr>
        <w:spacing w:after="120" w:line="360" w:lineRule="auto"/>
        <w:jc w:val="both"/>
        <w:rPr>
          <w:b/>
          <w:bCs/>
          <w:noProof/>
        </w:rPr>
      </w:pPr>
    </w:p>
    <w:bookmarkEnd w:id="30"/>
    <w:p w14:paraId="07641110" w14:textId="53952D41"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Mid</w:t>
      </w:r>
      <w:r w:rsidRPr="00F351EB">
        <w:rPr>
          <w:b/>
          <w:bCs/>
        </w:rPr>
        <w:t>-Term Follow-UP</w:t>
      </w:r>
    </w:p>
    <w:p w14:paraId="23A057A0" w14:textId="795E2DB6" w:rsidR="00A87283" w:rsidRPr="00F351EB" w:rsidRDefault="00827227" w:rsidP="00950BF3">
      <w:pPr>
        <w:spacing w:after="120" w:line="360" w:lineRule="auto"/>
        <w:jc w:val="both"/>
        <w:rPr>
          <w:b/>
          <w:bCs/>
          <w:sz w:val="24"/>
          <w:szCs w:val="24"/>
        </w:rPr>
      </w:pPr>
      <w:r>
        <w:rPr>
          <w:b/>
          <w:bCs/>
          <w:noProof/>
          <w:sz w:val="24"/>
          <w:szCs w:val="24"/>
        </w:rPr>
        <w:drawing>
          <wp:inline distT="0" distB="0" distL="0" distR="0" wp14:anchorId="2D0C883E" wp14:editId="36355A30">
            <wp:extent cx="5943600" cy="4358640"/>
            <wp:effectExtent l="0" t="0" r="0" b="3810"/>
            <wp:docPr id="201664340" name="图片 3"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340" name="图片 3" descr="文本&#10;&#10;中度可信度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63D1C808" w14:textId="77777777"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xml:space="preserve">. Squares represent point estimates of individual studies, with size proportional to study weight in the random-effects model. Horizontal lines represent 95% confidence intervals; arrows indicate intervals extending beyond the </w:t>
      </w:r>
      <w:r w:rsidRPr="005B656D">
        <w:lastRenderedPageBreak/>
        <w:t>plot range. The blue diamond represents the random-effects pooled estimate using Hartung-Knapp adjustment. The red bar represents the 95% prediction interval. CI = confidence interval; HK = Hartung-Knapp.</w:t>
      </w:r>
    </w:p>
    <w:p w14:paraId="23998D7C" w14:textId="77777777" w:rsidR="00711976" w:rsidRDefault="00711976" w:rsidP="00F351EB">
      <w:pPr>
        <w:spacing w:after="120" w:line="276" w:lineRule="auto"/>
        <w:jc w:val="both"/>
      </w:pPr>
    </w:p>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2D3D9D75" w:rsidR="009258D8" w:rsidRPr="009258D8" w:rsidRDefault="009258D8" w:rsidP="009258D8">
      <w:pPr>
        <w:spacing w:after="120" w:line="360" w:lineRule="auto"/>
        <w:ind w:firstLine="360"/>
        <w:jc w:val="both"/>
      </w:pPr>
      <w:r w:rsidRPr="009258D8">
        <w:t>Five studies (Stice et al., 2010; Ip et al., 2016; Poppelaars et al., 2016; Wright et al., 2020; Rohde et al., 2015) contributed effect sizes at long-term follow-up (≥12 months post-intervention). Where a study reported multiple long-term assessments, the longest available timepoint was used. Under a random-effects model with REML estimator and Hartung-Knapp adjustment, the pooled Hedges' g was 0.1</w:t>
      </w:r>
      <w:r w:rsidR="00FF6590">
        <w:rPr>
          <w:rFonts w:hint="eastAsia"/>
        </w:rPr>
        <w:t>48</w:t>
      </w:r>
      <w:r w:rsidRPr="009258D8">
        <w:t xml:space="preserve">, 95% CI </w:t>
      </w:r>
      <w:r w:rsidR="00E54200" w:rsidRPr="00E54200">
        <w:t>[−0.082, 0.378]</w:t>
      </w:r>
      <w:r w:rsidRPr="009258D8">
        <w:t xml:space="preserve"> </w:t>
      </w:r>
      <w:r w:rsidRPr="009258D8">
        <w:rPr>
          <w:i/>
          <w:iCs/>
        </w:rPr>
        <w:t>t</w:t>
      </w:r>
      <w:r w:rsidRPr="009258D8">
        <w:t>(4) = 1.</w:t>
      </w:r>
      <w:r w:rsidR="00E54200">
        <w:rPr>
          <w:rFonts w:hint="eastAsia"/>
        </w:rPr>
        <w:t>79</w:t>
      </w:r>
      <w:r w:rsidRPr="009258D8">
        <w:t xml:space="preserve">, </w:t>
      </w:r>
      <w:r w:rsidRPr="009258D8">
        <w:rPr>
          <w:i/>
          <w:iCs/>
        </w:rPr>
        <w:t>p</w:t>
      </w:r>
      <w:r w:rsidRPr="009258D8">
        <w:t xml:space="preserve"> = .14</w:t>
      </w:r>
      <w:r w:rsidR="00E54200">
        <w:rPr>
          <w:rFonts w:hint="eastAsia"/>
        </w:rPr>
        <w:t>9</w:t>
      </w:r>
      <w:r w:rsidRPr="009258D8">
        <w:t>, indicating no detectable benefit of unguided self-help CBT interventions over control conditions at this timepoint (Figure 6).</w:t>
      </w:r>
    </w:p>
    <w:p w14:paraId="2584849D" w14:textId="77777777" w:rsidR="009258D8" w:rsidRPr="009258D8" w:rsidRDefault="009258D8" w:rsidP="009258D8">
      <w:pPr>
        <w:spacing w:after="120" w:line="360" w:lineRule="auto"/>
        <w:ind w:firstLine="360"/>
        <w:jc w:val="both"/>
      </w:pPr>
      <w:r w:rsidRPr="009258D8">
        <w:t>Inspection of the forest plot revealed moderate dispersion in individual study estimates, ranging from g = −0.05 (Wright et al., 2020) to g = 0.36 (Ip et al., 2016). Three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remaining four studies produced confidence intervals that crossed zero. The influence of Ip et al. (2016) on the pooled estimate is further examined in the leave-one-out sensitivity analysis (Section 4.6).</w:t>
      </w:r>
    </w:p>
    <w:p w14:paraId="6E91CBC3" w14:textId="6CC00058" w:rsidR="00F351EB" w:rsidRPr="00731952" w:rsidRDefault="00731952" w:rsidP="00731952">
      <w:pPr>
        <w:spacing w:after="120" w:line="360" w:lineRule="auto"/>
        <w:ind w:firstLine="360"/>
        <w:jc w:val="both"/>
      </w:pPr>
      <w:r w:rsidRPr="00731952">
        <w:t xml:space="preserve">Between-study heterogeneity was low to moderate, Q(4) = </w:t>
      </w:r>
      <w:r w:rsidR="006A5CBD" w:rsidRPr="006A5CBD">
        <w:t>5.</w:t>
      </w:r>
      <w:r w:rsidR="00E54200">
        <w:rPr>
          <w:rFonts w:hint="eastAsia"/>
        </w:rPr>
        <w:t>98</w:t>
      </w:r>
      <w:r w:rsidRPr="00731952">
        <w:t xml:space="preserve">, </w:t>
      </w:r>
      <w:r w:rsidRPr="00731952">
        <w:rPr>
          <w:i/>
          <w:iCs/>
        </w:rPr>
        <w:t>p</w:t>
      </w:r>
      <w:r w:rsidRPr="00731952">
        <w:t xml:space="preserve"> = .2</w:t>
      </w:r>
      <w:r w:rsidR="00E54200">
        <w:rPr>
          <w:rFonts w:hint="eastAsia"/>
        </w:rPr>
        <w:t>01</w:t>
      </w:r>
      <w:r w:rsidRPr="00731952">
        <w:t>,</w:t>
      </w:r>
      <w:r w:rsidRPr="006A5CBD">
        <w:rPr>
          <w:i/>
          <w:iCs/>
        </w:rPr>
        <w:t xml:space="preserve"> I</w:t>
      </w:r>
      <w:r w:rsidRPr="00731952">
        <w:t>² = 33.</w:t>
      </w:r>
      <w:r w:rsidR="00E54200">
        <w:rPr>
          <w:rFonts w:hint="eastAsia"/>
        </w:rPr>
        <w:t>1</w:t>
      </w:r>
      <w:r w:rsidRPr="00731952">
        <w:t xml:space="preserve">%, 95% CI [0.0%, </w:t>
      </w:r>
      <w:r w:rsidR="00E54200" w:rsidRPr="00E54200">
        <w:t>74.6%</w:t>
      </w:r>
      <w:r w:rsidRPr="00731952">
        <w:t>], τ² = 0.014, 95% CI [0.000, 0.247]. Although τ² was small, the I² point estimate of 33% and the wide upper bound of its confidence interval (74.6%) suggest some unresolved between-study variability that could not be ruled out given the small number of studies (Borenstein et al., 2017). The 95% prediction interval ranged from −0.27 to 0.56, indicating considerable uncertainty about the direction and magnitude of the true effect in a comparable future trial.</w:t>
      </w:r>
    </w:p>
    <w:p w14:paraId="4C2D8006" w14:textId="76C47BDE" w:rsidR="00F351EB" w:rsidRPr="00DB320F" w:rsidRDefault="00F351EB" w:rsidP="00F351EB">
      <w:pPr>
        <w:spacing w:after="120" w:line="360" w:lineRule="auto"/>
        <w:jc w:val="both"/>
        <w:rPr>
          <w:b/>
          <w:bCs/>
          <w:noProof/>
        </w:rPr>
      </w:pPr>
      <w:bookmarkStart w:id="33" w:name="OLE_LINK15"/>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 xml:space="preserve"> Long</w:t>
      </w:r>
      <w:r w:rsidRPr="00F351EB">
        <w:rPr>
          <w:b/>
          <w:bCs/>
        </w:rPr>
        <w:t>-Term Follow-UP</w:t>
      </w:r>
    </w:p>
    <w:bookmarkEnd w:id="33"/>
    <w:p w14:paraId="21662ABD" w14:textId="07D0537E" w:rsidR="00DB320F" w:rsidRPr="00F351EB" w:rsidRDefault="00827227" w:rsidP="00950BF3">
      <w:pPr>
        <w:spacing w:after="120" w:line="360" w:lineRule="auto"/>
        <w:jc w:val="both"/>
        <w:rPr>
          <w:b/>
          <w:bCs/>
          <w:sz w:val="24"/>
          <w:szCs w:val="24"/>
        </w:rPr>
      </w:pPr>
      <w:r>
        <w:rPr>
          <w:b/>
          <w:bCs/>
          <w:noProof/>
          <w:sz w:val="24"/>
          <w:szCs w:val="24"/>
        </w:rPr>
        <w:lastRenderedPageBreak/>
        <w:drawing>
          <wp:inline distT="0" distB="0" distL="0" distR="0" wp14:anchorId="5E1FCA69" wp14:editId="778E876E">
            <wp:extent cx="5943600" cy="3566160"/>
            <wp:effectExtent l="0" t="0" r="0" b="0"/>
            <wp:docPr id="1228157735" name="图片 4"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7735" name="图片 4"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303C6DF" w14:textId="77777777" w:rsidR="00F351EB" w:rsidRPr="00F351EB" w:rsidRDefault="00F351EB" w:rsidP="00F351EB">
      <w:pPr>
        <w:spacing w:after="120" w:line="360" w:lineRule="auto"/>
        <w:jc w:val="both"/>
      </w:pPr>
      <w:r w:rsidRPr="00F351EB">
        <w:rPr>
          <w:i/>
          <w:iCs/>
        </w:rPr>
        <w:t xml:space="preserve">Note. </w:t>
      </w:r>
      <w:r w:rsidRPr="00F351EB">
        <w:t xml:space="preserve">Forest plot of unguided self-help CBT versus inactive control or minimally active control for adolescent depressive symptoms at post-intervention. Studies are ordered by ascending Hedges' </w:t>
      </w:r>
      <w:r w:rsidRPr="00F351EB">
        <w:rPr>
          <w:i/>
          <w:iCs/>
        </w:rPr>
        <w:t>g</w:t>
      </w:r>
      <w:r w:rsidRPr="00F351EB">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0688E80B" w14:textId="77777777" w:rsidR="00F351EB" w:rsidRDefault="00F351EB" w:rsidP="00DB320F">
      <w:pPr>
        <w:spacing w:after="120" w:line="360" w:lineRule="auto"/>
        <w:jc w:val="both"/>
        <w:rPr>
          <w:b/>
          <w:bCs/>
        </w:rPr>
      </w:pPr>
    </w:p>
    <w:p w14:paraId="436602AC" w14:textId="1D3F8D16" w:rsidR="00DB320F" w:rsidRPr="00305721" w:rsidRDefault="00DB320F" w:rsidP="00DB320F">
      <w:pPr>
        <w:spacing w:after="120" w:line="360" w:lineRule="auto"/>
        <w:jc w:val="both"/>
      </w:pPr>
      <w:bookmarkStart w:id="34" w:name="OLE_LINK25"/>
      <w:r w:rsidRPr="008F4577">
        <w:rPr>
          <w:rFonts w:hint="eastAsia"/>
          <w:b/>
          <w:bCs/>
        </w:rPr>
        <w:t xml:space="preserve">Table </w:t>
      </w:r>
      <w:r>
        <w:rPr>
          <w:rFonts w:hint="eastAsia"/>
          <w:b/>
          <w:bCs/>
        </w:rPr>
        <w:t>3</w:t>
      </w:r>
      <w:r w:rsidRPr="008F4577">
        <w:rPr>
          <w:rFonts w:hint="eastAsia"/>
          <w:b/>
          <w:bCs/>
        </w:rPr>
        <w:t xml:space="preserve">. </w:t>
      </w:r>
      <w:r w:rsidRPr="008F4577">
        <w:rPr>
          <w:b/>
          <w:bCs/>
        </w:rPr>
        <w:t>Test of Heterogeneity</w:t>
      </w:r>
      <w:bookmarkStart w:id="35" w:name="OLE_LINK22"/>
      <w:r w:rsidR="007A3422">
        <w:rPr>
          <w:rFonts w:hint="eastAsia"/>
          <w:b/>
          <w:bCs/>
        </w:rPr>
        <w:t xml:space="preserve"> at</w:t>
      </w:r>
      <w:r w:rsidRPr="008F4577">
        <w:rPr>
          <w:b/>
          <w:bCs/>
        </w:rPr>
        <w:t xml:space="preserve"> </w:t>
      </w:r>
      <w:r>
        <w:rPr>
          <w:rFonts w:hint="eastAsia"/>
          <w:b/>
          <w:bCs/>
        </w:rPr>
        <w:t>Follow-UP</w:t>
      </w:r>
      <w:bookmarkEnd w:id="35"/>
      <w:r w:rsidR="007A3422">
        <w:rPr>
          <w:rFonts w:hint="eastAsia"/>
          <w:b/>
          <w:bCs/>
        </w:rPr>
        <w:t>s</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194"/>
        <w:gridCol w:w="614"/>
        <w:gridCol w:w="1115"/>
        <w:gridCol w:w="1067"/>
        <w:gridCol w:w="741"/>
        <w:gridCol w:w="936"/>
        <w:gridCol w:w="839"/>
        <w:gridCol w:w="956"/>
        <w:gridCol w:w="966"/>
        <w:gridCol w:w="932"/>
      </w:tblGrid>
      <w:tr w:rsidR="004A6C38" w:rsidRPr="00573723" w14:paraId="6B30BA26" w14:textId="77777777" w:rsidTr="00780B81">
        <w:tc>
          <w:tcPr>
            <w:tcW w:w="656" w:type="dxa"/>
            <w:tcBorders>
              <w:top w:val="single" w:sz="8" w:space="0" w:color="auto"/>
              <w:bottom w:val="single" w:sz="4" w:space="0" w:color="auto"/>
            </w:tcBorders>
          </w:tcPr>
          <w:p w14:paraId="75AE100D" w14:textId="1E7E0ED7" w:rsidR="00DB320F" w:rsidRPr="00533CFD" w:rsidRDefault="00DB320F" w:rsidP="00D450DC">
            <w:pPr>
              <w:spacing w:after="120" w:line="360" w:lineRule="auto"/>
              <w:jc w:val="center"/>
              <w:rPr>
                <w:b/>
                <w:bCs/>
              </w:rPr>
            </w:pPr>
            <w:r w:rsidRPr="00533CFD">
              <w:rPr>
                <w:rFonts w:hint="eastAsia"/>
                <w:b/>
                <w:bCs/>
              </w:rPr>
              <w:t>Timepoint</w:t>
            </w:r>
          </w:p>
        </w:tc>
        <w:tc>
          <w:tcPr>
            <w:tcW w:w="712" w:type="dxa"/>
            <w:tcBorders>
              <w:top w:val="single" w:sz="8" w:space="0" w:color="auto"/>
              <w:bottom w:val="single" w:sz="4" w:space="0" w:color="auto"/>
            </w:tcBorders>
          </w:tcPr>
          <w:p w14:paraId="3B8153CE" w14:textId="784E7A13" w:rsidR="00DB320F" w:rsidRPr="00533CFD" w:rsidRDefault="00DB320F" w:rsidP="00D450DC">
            <w:pPr>
              <w:spacing w:after="120" w:line="360" w:lineRule="auto"/>
              <w:jc w:val="center"/>
              <w:rPr>
                <w:b/>
                <w:bCs/>
                <w:i/>
                <w:iCs/>
              </w:rPr>
            </w:pPr>
            <w:r w:rsidRPr="00533CFD">
              <w:rPr>
                <w:rFonts w:hint="eastAsia"/>
                <w:b/>
                <w:bCs/>
                <w:i/>
                <w:iCs/>
              </w:rPr>
              <w:t>k</w:t>
            </w:r>
          </w:p>
        </w:tc>
        <w:tc>
          <w:tcPr>
            <w:tcW w:w="1163" w:type="dxa"/>
            <w:tcBorders>
              <w:top w:val="single" w:sz="8" w:space="0" w:color="auto"/>
              <w:bottom w:val="single" w:sz="4" w:space="0" w:color="auto"/>
            </w:tcBorders>
          </w:tcPr>
          <w:p w14:paraId="6B78DF13" w14:textId="77777777" w:rsidR="00DB320F" w:rsidRPr="00533CFD" w:rsidRDefault="00DB320F" w:rsidP="00D450DC">
            <w:pPr>
              <w:spacing w:after="120" w:line="360" w:lineRule="auto"/>
              <w:jc w:val="center"/>
              <w:rPr>
                <w:b/>
                <w:bCs/>
                <w:i/>
                <w:iCs/>
              </w:rPr>
            </w:pPr>
            <w:r w:rsidRPr="00533CFD">
              <w:rPr>
                <w:b/>
                <w:bCs/>
              </w:rPr>
              <w:t xml:space="preserve">Hedges’ </w:t>
            </w:r>
            <w:r w:rsidRPr="00533CFD">
              <w:rPr>
                <w:b/>
                <w:bCs/>
                <w:i/>
                <w:iCs/>
              </w:rPr>
              <w:t>g</w:t>
            </w:r>
            <w:r w:rsidRPr="00533CFD">
              <w:rPr>
                <w:b/>
                <w:bCs/>
              </w:rPr>
              <w:t xml:space="preserve"> </w:t>
            </w:r>
            <w:r w:rsidRPr="00533CFD">
              <w:rPr>
                <w:rFonts w:hint="eastAsia"/>
                <w:b/>
                <w:bCs/>
              </w:rPr>
              <w:t>[</w:t>
            </w:r>
            <w:r w:rsidRPr="00533CFD">
              <w:rPr>
                <w:b/>
                <w:bCs/>
              </w:rPr>
              <w:t>95% CI</w:t>
            </w:r>
            <w:r w:rsidRPr="00533CFD">
              <w:rPr>
                <w:rFonts w:hint="eastAsia"/>
                <w:b/>
                <w:bCs/>
              </w:rPr>
              <w:t>]</w:t>
            </w:r>
          </w:p>
        </w:tc>
        <w:tc>
          <w:tcPr>
            <w:tcW w:w="1137" w:type="dxa"/>
            <w:tcBorders>
              <w:top w:val="single" w:sz="8" w:space="0" w:color="auto"/>
              <w:bottom w:val="single" w:sz="4" w:space="0" w:color="auto"/>
            </w:tcBorders>
          </w:tcPr>
          <w:p w14:paraId="1712C28F" w14:textId="77777777" w:rsidR="00DB320F" w:rsidRPr="00533CFD" w:rsidRDefault="00DB320F" w:rsidP="00D450DC">
            <w:pPr>
              <w:spacing w:after="120" w:line="360" w:lineRule="auto"/>
              <w:jc w:val="center"/>
              <w:rPr>
                <w:b/>
                <w:bCs/>
                <w:i/>
                <w:iCs/>
              </w:rPr>
            </w:pPr>
            <w:r w:rsidRPr="00533CFD">
              <w:rPr>
                <w:rFonts w:hint="eastAsia"/>
                <w:b/>
                <w:bCs/>
                <w:i/>
                <w:iCs/>
              </w:rPr>
              <w:t>t (df)</w:t>
            </w:r>
          </w:p>
        </w:tc>
        <w:tc>
          <w:tcPr>
            <w:tcW w:w="788" w:type="dxa"/>
            <w:tcBorders>
              <w:top w:val="single" w:sz="8" w:space="0" w:color="auto"/>
              <w:bottom w:val="single" w:sz="4" w:space="0" w:color="auto"/>
            </w:tcBorders>
          </w:tcPr>
          <w:p w14:paraId="45BE95BB" w14:textId="77777777" w:rsidR="00DB320F" w:rsidRPr="00533CFD" w:rsidRDefault="00DB320F" w:rsidP="00D450DC">
            <w:pPr>
              <w:spacing w:after="120" w:line="360" w:lineRule="auto"/>
              <w:jc w:val="center"/>
              <w:rPr>
                <w:b/>
                <w:bCs/>
                <w:i/>
                <w:iCs/>
              </w:rPr>
            </w:pPr>
            <w:r w:rsidRPr="00533CFD">
              <w:rPr>
                <w:rFonts w:hint="eastAsia"/>
                <w:b/>
                <w:bCs/>
                <w:i/>
                <w:iCs/>
              </w:rPr>
              <w:t>p</w:t>
            </w:r>
          </w:p>
        </w:tc>
        <w:tc>
          <w:tcPr>
            <w:tcW w:w="962" w:type="dxa"/>
            <w:tcBorders>
              <w:top w:val="single" w:sz="8" w:space="0" w:color="auto"/>
              <w:bottom w:val="single" w:sz="4" w:space="0" w:color="auto"/>
            </w:tcBorders>
          </w:tcPr>
          <w:p w14:paraId="3B830019" w14:textId="77777777" w:rsidR="00DB320F" w:rsidRPr="00533CFD" w:rsidRDefault="00DB320F" w:rsidP="00D450DC">
            <w:pPr>
              <w:spacing w:after="120" w:line="360" w:lineRule="auto"/>
              <w:jc w:val="center"/>
              <w:rPr>
                <w:b/>
                <w:bCs/>
              </w:rPr>
            </w:pPr>
            <w:r w:rsidRPr="00533CFD">
              <w:rPr>
                <w:rFonts w:hint="eastAsia"/>
                <w:b/>
                <w:bCs/>
                <w:i/>
                <w:iCs/>
              </w:rPr>
              <w:t>Q</w:t>
            </w:r>
            <w:r w:rsidRPr="00533CFD">
              <w:rPr>
                <w:rFonts w:hint="eastAsia"/>
                <w:b/>
                <w:bCs/>
              </w:rPr>
              <w:t xml:space="preserve"> (</w:t>
            </w:r>
            <w:r w:rsidRPr="00533CFD">
              <w:rPr>
                <w:rFonts w:hint="eastAsia"/>
                <w:b/>
                <w:bCs/>
                <w:i/>
                <w:iCs/>
              </w:rPr>
              <w:t>df</w:t>
            </w:r>
            <w:r w:rsidRPr="00533CFD">
              <w:rPr>
                <w:rFonts w:hint="eastAsia"/>
                <w:b/>
                <w:bCs/>
              </w:rPr>
              <w:t>)</w:t>
            </w:r>
          </w:p>
        </w:tc>
        <w:tc>
          <w:tcPr>
            <w:tcW w:w="919" w:type="dxa"/>
            <w:tcBorders>
              <w:top w:val="single" w:sz="8" w:space="0" w:color="auto"/>
              <w:bottom w:val="single" w:sz="4" w:space="0" w:color="auto"/>
            </w:tcBorders>
          </w:tcPr>
          <w:p w14:paraId="2BA79EC4" w14:textId="77777777" w:rsidR="00DB320F" w:rsidRPr="00533CFD" w:rsidRDefault="00DB320F" w:rsidP="00D450DC">
            <w:pPr>
              <w:spacing w:after="120" w:line="360" w:lineRule="auto"/>
              <w:jc w:val="center"/>
              <w:rPr>
                <w:b/>
                <w:bCs/>
                <w:i/>
                <w:iCs/>
              </w:rPr>
            </w:pPr>
            <w:r w:rsidRPr="00533CFD">
              <w:rPr>
                <w:rFonts w:hint="eastAsia"/>
                <w:b/>
                <w:bCs/>
                <w:i/>
                <w:iCs/>
              </w:rPr>
              <w:t xml:space="preserve">p </w:t>
            </w:r>
            <w:r w:rsidRPr="00533CFD">
              <w:rPr>
                <w:rFonts w:hint="eastAsia"/>
                <w:b/>
                <w:bCs/>
              </w:rPr>
              <w:t>(</w:t>
            </w:r>
            <w:r w:rsidRPr="00533CFD">
              <w:rPr>
                <w:rFonts w:hint="eastAsia"/>
                <w:b/>
                <w:bCs/>
                <w:i/>
                <w:iCs/>
              </w:rPr>
              <w:t>Q)</w:t>
            </w:r>
          </w:p>
        </w:tc>
        <w:tc>
          <w:tcPr>
            <w:tcW w:w="1013" w:type="dxa"/>
            <w:tcBorders>
              <w:top w:val="single" w:sz="8" w:space="0" w:color="auto"/>
              <w:bottom w:val="single" w:sz="4" w:space="0" w:color="auto"/>
            </w:tcBorders>
          </w:tcPr>
          <w:p w14:paraId="58829D51" w14:textId="77777777" w:rsidR="00DB320F" w:rsidRPr="00533CFD" w:rsidRDefault="00DB320F" w:rsidP="00D450DC">
            <w:pPr>
              <w:spacing w:after="120" w:line="360" w:lineRule="auto"/>
              <w:jc w:val="center"/>
              <w:rPr>
                <w:b/>
                <w:bCs/>
              </w:rPr>
            </w:pPr>
            <w:r w:rsidRPr="00533CFD">
              <w:rPr>
                <w:b/>
                <w:bCs/>
                <w:i/>
                <w:iCs/>
              </w:rPr>
              <w:t>I</w:t>
            </w:r>
            <w:r w:rsidRPr="00533CFD">
              <w:rPr>
                <w:b/>
                <w:bCs/>
              </w:rPr>
              <w:t>²</w:t>
            </w:r>
            <w:r w:rsidRPr="00533CFD">
              <w:rPr>
                <w:b/>
                <w:bCs/>
                <w:i/>
                <w:iCs/>
              </w:rPr>
              <w:t xml:space="preserve"> </w:t>
            </w:r>
            <w:r w:rsidRPr="00533CFD">
              <w:rPr>
                <w:b/>
                <w:bCs/>
              </w:rPr>
              <w:t>[95% CI]</w:t>
            </w:r>
          </w:p>
        </w:tc>
        <w:tc>
          <w:tcPr>
            <w:tcW w:w="1052" w:type="dxa"/>
            <w:tcBorders>
              <w:top w:val="single" w:sz="8" w:space="0" w:color="auto"/>
              <w:bottom w:val="single" w:sz="4" w:space="0" w:color="auto"/>
            </w:tcBorders>
          </w:tcPr>
          <w:p w14:paraId="25DA1DA5" w14:textId="77777777" w:rsidR="00DB320F" w:rsidRPr="00533CFD" w:rsidRDefault="00DB320F" w:rsidP="00D450DC">
            <w:pPr>
              <w:spacing w:after="120" w:line="360" w:lineRule="auto"/>
              <w:jc w:val="center"/>
              <w:rPr>
                <w:b/>
                <w:bCs/>
                <w:i/>
                <w:iCs/>
              </w:rPr>
            </w:pPr>
            <w:r w:rsidRPr="00533CFD">
              <w:rPr>
                <w:b/>
                <w:bCs/>
                <w:i/>
                <w:iCs/>
              </w:rPr>
              <w:t>τ</w:t>
            </w:r>
            <w:r w:rsidRPr="00533CFD">
              <w:rPr>
                <w:rFonts w:hint="eastAsia"/>
                <w:b/>
                <w:bCs/>
                <w:vertAlign w:val="superscript"/>
              </w:rPr>
              <w:t>2</w:t>
            </w:r>
          </w:p>
        </w:tc>
        <w:tc>
          <w:tcPr>
            <w:tcW w:w="958" w:type="dxa"/>
            <w:tcBorders>
              <w:top w:val="single" w:sz="8" w:space="0" w:color="auto"/>
              <w:bottom w:val="single" w:sz="4" w:space="0" w:color="auto"/>
            </w:tcBorders>
          </w:tcPr>
          <w:p w14:paraId="3BB00807" w14:textId="77777777" w:rsidR="00DB320F" w:rsidRPr="00533CFD" w:rsidRDefault="00DB320F" w:rsidP="00D450DC">
            <w:pPr>
              <w:spacing w:after="120" w:line="360" w:lineRule="auto"/>
              <w:jc w:val="center"/>
              <w:rPr>
                <w:b/>
                <w:bCs/>
              </w:rPr>
            </w:pPr>
            <w:r w:rsidRPr="00533CFD">
              <w:rPr>
                <w:b/>
                <w:bCs/>
              </w:rPr>
              <w:t>95% PI</w:t>
            </w:r>
          </w:p>
        </w:tc>
      </w:tr>
      <w:tr w:rsidR="004A6C38" w:rsidRPr="00573723" w14:paraId="79100B2B" w14:textId="77777777" w:rsidTr="00533CFD">
        <w:tc>
          <w:tcPr>
            <w:tcW w:w="656" w:type="dxa"/>
            <w:tcBorders>
              <w:top w:val="single" w:sz="4" w:space="0" w:color="auto"/>
              <w:bottom w:val="nil"/>
            </w:tcBorders>
          </w:tcPr>
          <w:p w14:paraId="0046C15D" w14:textId="1C65AD9D" w:rsidR="00DB320F" w:rsidRPr="00DB320F" w:rsidRDefault="00DB320F" w:rsidP="00D450DC">
            <w:pPr>
              <w:spacing w:after="120" w:line="360" w:lineRule="auto"/>
              <w:jc w:val="center"/>
            </w:pPr>
            <w:r w:rsidRPr="00DB320F">
              <w:rPr>
                <w:rFonts w:hint="eastAsia"/>
              </w:rPr>
              <w:t>Short</w:t>
            </w:r>
          </w:p>
        </w:tc>
        <w:tc>
          <w:tcPr>
            <w:tcW w:w="712" w:type="dxa"/>
            <w:tcBorders>
              <w:top w:val="single" w:sz="4" w:space="0" w:color="auto"/>
              <w:bottom w:val="nil"/>
            </w:tcBorders>
          </w:tcPr>
          <w:p w14:paraId="47623A31" w14:textId="1C778547" w:rsidR="00DB320F" w:rsidRPr="00573723" w:rsidRDefault="00F351EB" w:rsidP="00D450DC">
            <w:pPr>
              <w:spacing w:after="120" w:line="360" w:lineRule="auto"/>
              <w:jc w:val="center"/>
            </w:pPr>
            <w:r>
              <w:rPr>
                <w:rFonts w:hint="eastAsia"/>
              </w:rPr>
              <w:t>3</w:t>
            </w:r>
          </w:p>
        </w:tc>
        <w:tc>
          <w:tcPr>
            <w:tcW w:w="1163" w:type="dxa"/>
            <w:tcBorders>
              <w:top w:val="single" w:sz="4" w:space="0" w:color="auto"/>
              <w:bottom w:val="nil"/>
            </w:tcBorders>
          </w:tcPr>
          <w:p w14:paraId="1E5F4358" w14:textId="6F1AEED7" w:rsidR="00DB320F" w:rsidRPr="00573723" w:rsidRDefault="00DB320F" w:rsidP="00D450DC">
            <w:pPr>
              <w:spacing w:after="120" w:line="360" w:lineRule="auto"/>
              <w:jc w:val="center"/>
            </w:pPr>
            <w:r w:rsidRPr="00573723">
              <w:rPr>
                <w:rFonts w:hint="eastAsia"/>
              </w:rPr>
              <w:t>0.</w:t>
            </w:r>
            <w:r w:rsidR="007A3422">
              <w:rPr>
                <w:rFonts w:hint="eastAsia"/>
              </w:rPr>
              <w:t>01</w:t>
            </w:r>
            <w:r w:rsidR="00FF6590">
              <w:rPr>
                <w:rFonts w:hint="eastAsia"/>
              </w:rPr>
              <w:t>8</w:t>
            </w:r>
            <w:r w:rsidRPr="00573723">
              <w:rPr>
                <w:rFonts w:hint="eastAsia"/>
              </w:rPr>
              <w:t xml:space="preserve"> </w:t>
            </w:r>
            <w:r w:rsidR="00FF6590" w:rsidRPr="00FF6590">
              <w:t>[−0.34, 0.3</w:t>
            </w:r>
            <w:r w:rsidR="00FF6590">
              <w:rPr>
                <w:rFonts w:hint="eastAsia"/>
              </w:rPr>
              <w:t>8</w:t>
            </w:r>
            <w:r w:rsidR="00FF6590" w:rsidRPr="00FF6590">
              <w:t>]</w:t>
            </w:r>
          </w:p>
        </w:tc>
        <w:tc>
          <w:tcPr>
            <w:tcW w:w="1137" w:type="dxa"/>
            <w:tcBorders>
              <w:top w:val="single" w:sz="4" w:space="0" w:color="auto"/>
              <w:bottom w:val="nil"/>
            </w:tcBorders>
          </w:tcPr>
          <w:p w14:paraId="47A73CC4" w14:textId="1D672E9A" w:rsidR="00DB320F" w:rsidRPr="00573723" w:rsidRDefault="007A3422" w:rsidP="00D450DC">
            <w:pPr>
              <w:spacing w:after="120" w:line="360" w:lineRule="auto"/>
              <w:jc w:val="center"/>
            </w:pPr>
            <w:r>
              <w:rPr>
                <w:rFonts w:hint="eastAsia"/>
              </w:rPr>
              <w:t>0.</w:t>
            </w:r>
            <w:r w:rsidR="00FF6590">
              <w:rPr>
                <w:rFonts w:hint="eastAsia"/>
              </w:rPr>
              <w:t>21</w:t>
            </w:r>
            <w:r w:rsidR="00DB320F" w:rsidRPr="00573723">
              <w:rPr>
                <w:rFonts w:hint="eastAsia"/>
              </w:rPr>
              <w:t>(</w:t>
            </w:r>
            <w:r w:rsidR="00F351EB">
              <w:rPr>
                <w:rFonts w:hint="eastAsia"/>
              </w:rPr>
              <w:t>2</w:t>
            </w:r>
            <w:r w:rsidR="00DB320F" w:rsidRPr="00573723">
              <w:rPr>
                <w:rFonts w:hint="eastAsia"/>
              </w:rPr>
              <w:t>)</w:t>
            </w:r>
          </w:p>
        </w:tc>
        <w:tc>
          <w:tcPr>
            <w:tcW w:w="788" w:type="dxa"/>
            <w:tcBorders>
              <w:top w:val="single" w:sz="4" w:space="0" w:color="auto"/>
              <w:bottom w:val="nil"/>
            </w:tcBorders>
          </w:tcPr>
          <w:p w14:paraId="75D31513" w14:textId="2AF4A66D" w:rsidR="00DB320F" w:rsidRPr="00573723" w:rsidRDefault="00DB320F" w:rsidP="00D450DC">
            <w:pPr>
              <w:spacing w:after="120" w:line="360" w:lineRule="auto"/>
              <w:jc w:val="center"/>
            </w:pPr>
            <w:r w:rsidRPr="00573723">
              <w:rPr>
                <w:rFonts w:hint="eastAsia"/>
              </w:rPr>
              <w:t>.</w:t>
            </w:r>
            <w:r w:rsidR="00B74865">
              <w:rPr>
                <w:rFonts w:hint="eastAsia"/>
              </w:rPr>
              <w:t>8</w:t>
            </w:r>
            <w:r w:rsidR="00FF6590">
              <w:rPr>
                <w:rFonts w:hint="eastAsia"/>
              </w:rPr>
              <w:t>51</w:t>
            </w:r>
          </w:p>
        </w:tc>
        <w:tc>
          <w:tcPr>
            <w:tcW w:w="962" w:type="dxa"/>
            <w:tcBorders>
              <w:top w:val="single" w:sz="4" w:space="0" w:color="auto"/>
              <w:bottom w:val="nil"/>
            </w:tcBorders>
          </w:tcPr>
          <w:p w14:paraId="3DDC6CFE" w14:textId="78C8FA45" w:rsidR="00DB320F" w:rsidRPr="009E6CC9" w:rsidRDefault="00E33353" w:rsidP="00D450DC">
            <w:pPr>
              <w:spacing w:after="120" w:line="360" w:lineRule="auto"/>
              <w:jc w:val="center"/>
            </w:pPr>
            <w:r w:rsidRPr="00E33353">
              <w:t>0.8</w:t>
            </w:r>
            <w:r w:rsidR="00FF6590">
              <w:rPr>
                <w:rFonts w:hint="eastAsia"/>
              </w:rPr>
              <w:t>8</w:t>
            </w:r>
            <w:r w:rsidR="00DB320F" w:rsidRPr="00573723">
              <w:rPr>
                <w:rFonts w:hint="eastAsia"/>
              </w:rPr>
              <w:t>(</w:t>
            </w:r>
            <w:r>
              <w:rPr>
                <w:rFonts w:hint="eastAsia"/>
              </w:rPr>
              <w:t>2</w:t>
            </w:r>
            <w:r w:rsidR="00DB320F" w:rsidRPr="00573723">
              <w:rPr>
                <w:rFonts w:hint="eastAsia"/>
              </w:rPr>
              <w:t>)</w:t>
            </w:r>
          </w:p>
          <w:p w14:paraId="4C4E261D" w14:textId="77777777" w:rsidR="00DB320F" w:rsidRPr="00573723" w:rsidRDefault="00DB320F" w:rsidP="00D450DC">
            <w:pPr>
              <w:spacing w:after="120" w:line="360" w:lineRule="auto"/>
              <w:jc w:val="center"/>
            </w:pPr>
          </w:p>
        </w:tc>
        <w:tc>
          <w:tcPr>
            <w:tcW w:w="919" w:type="dxa"/>
            <w:tcBorders>
              <w:top w:val="single" w:sz="4" w:space="0" w:color="auto"/>
              <w:bottom w:val="nil"/>
            </w:tcBorders>
          </w:tcPr>
          <w:p w14:paraId="6D18F834" w14:textId="0E4B00E2" w:rsidR="00DB320F" w:rsidRPr="00573723" w:rsidRDefault="00B74865" w:rsidP="00D450DC">
            <w:pPr>
              <w:spacing w:after="120" w:line="360" w:lineRule="auto"/>
              <w:jc w:val="center"/>
            </w:pPr>
            <w:r>
              <w:rPr>
                <w:rFonts w:hint="eastAsia"/>
              </w:rPr>
              <w:t>.6</w:t>
            </w:r>
            <w:r w:rsidR="00FF6590">
              <w:rPr>
                <w:rFonts w:hint="eastAsia"/>
              </w:rPr>
              <w:t>44</w:t>
            </w:r>
          </w:p>
        </w:tc>
        <w:tc>
          <w:tcPr>
            <w:tcW w:w="1013" w:type="dxa"/>
            <w:tcBorders>
              <w:top w:val="single" w:sz="4" w:space="0" w:color="auto"/>
              <w:bottom w:val="nil"/>
            </w:tcBorders>
          </w:tcPr>
          <w:p w14:paraId="2761A23E" w14:textId="436DBF3F" w:rsidR="00DB320F" w:rsidRPr="00573723" w:rsidRDefault="00B74865" w:rsidP="00D450DC">
            <w:pPr>
              <w:spacing w:after="120" w:line="360" w:lineRule="auto"/>
              <w:jc w:val="center"/>
            </w:pPr>
            <w:r w:rsidRPr="00B74865">
              <w:t>0.0% [0.0, 89.6]</w:t>
            </w:r>
          </w:p>
        </w:tc>
        <w:tc>
          <w:tcPr>
            <w:tcW w:w="1052" w:type="dxa"/>
            <w:tcBorders>
              <w:top w:val="single" w:sz="4" w:space="0" w:color="auto"/>
              <w:bottom w:val="nil"/>
            </w:tcBorders>
          </w:tcPr>
          <w:p w14:paraId="6799F751" w14:textId="7890EB96" w:rsidR="00DB320F" w:rsidRPr="00573723" w:rsidRDefault="00B74865" w:rsidP="00D450DC">
            <w:pPr>
              <w:spacing w:after="120" w:line="360" w:lineRule="auto"/>
              <w:jc w:val="center"/>
            </w:pPr>
            <w:r w:rsidRPr="00B74865">
              <w:t>0.000</w:t>
            </w:r>
          </w:p>
        </w:tc>
        <w:tc>
          <w:tcPr>
            <w:tcW w:w="958" w:type="dxa"/>
            <w:tcBorders>
              <w:top w:val="single" w:sz="4" w:space="0" w:color="auto"/>
              <w:bottom w:val="nil"/>
            </w:tcBorders>
          </w:tcPr>
          <w:p w14:paraId="18B1D39E" w14:textId="51BC91FA" w:rsidR="00DB320F" w:rsidRPr="00573723" w:rsidRDefault="00B74865" w:rsidP="00D450DC">
            <w:pPr>
              <w:spacing w:after="120" w:line="360" w:lineRule="auto"/>
              <w:jc w:val="center"/>
            </w:pPr>
            <w:r w:rsidRPr="00B74865">
              <w:t>[−0.53, 0.56]</w:t>
            </w:r>
          </w:p>
        </w:tc>
      </w:tr>
      <w:tr w:rsidR="004A6C38" w:rsidRPr="00573723" w14:paraId="70EA385B" w14:textId="77777777" w:rsidTr="00533CFD">
        <w:tc>
          <w:tcPr>
            <w:tcW w:w="656" w:type="dxa"/>
            <w:tcBorders>
              <w:top w:val="nil"/>
              <w:bottom w:val="nil"/>
            </w:tcBorders>
          </w:tcPr>
          <w:p w14:paraId="62843AE8" w14:textId="62431CAC" w:rsidR="00F351EB" w:rsidRPr="00DB320F" w:rsidRDefault="00E33353" w:rsidP="00D450DC">
            <w:pPr>
              <w:spacing w:after="120" w:line="360" w:lineRule="auto"/>
              <w:jc w:val="center"/>
            </w:pPr>
            <w:r>
              <w:rPr>
                <w:rFonts w:hint="eastAsia"/>
              </w:rPr>
              <w:t>Mid</w:t>
            </w:r>
          </w:p>
        </w:tc>
        <w:tc>
          <w:tcPr>
            <w:tcW w:w="712" w:type="dxa"/>
            <w:tcBorders>
              <w:top w:val="nil"/>
              <w:bottom w:val="nil"/>
            </w:tcBorders>
          </w:tcPr>
          <w:p w14:paraId="05D4C375" w14:textId="0B9ACFF2" w:rsidR="00F351EB" w:rsidRDefault="00E33353" w:rsidP="00D450DC">
            <w:pPr>
              <w:spacing w:after="120" w:line="360" w:lineRule="auto"/>
              <w:jc w:val="center"/>
            </w:pPr>
            <w:r>
              <w:rPr>
                <w:rFonts w:hint="eastAsia"/>
              </w:rPr>
              <w:t>7</w:t>
            </w:r>
          </w:p>
        </w:tc>
        <w:tc>
          <w:tcPr>
            <w:tcW w:w="1163" w:type="dxa"/>
            <w:tcBorders>
              <w:top w:val="nil"/>
              <w:bottom w:val="nil"/>
            </w:tcBorders>
          </w:tcPr>
          <w:p w14:paraId="4E5B0591" w14:textId="77C2C62C" w:rsidR="00F351EB" w:rsidRPr="00573723" w:rsidRDefault="00E33353" w:rsidP="00D450DC">
            <w:pPr>
              <w:spacing w:after="120" w:line="360" w:lineRule="auto"/>
              <w:jc w:val="center"/>
            </w:pPr>
            <w:bookmarkStart w:id="36" w:name="OLE_LINK31"/>
            <w:r>
              <w:rPr>
                <w:rFonts w:hint="eastAsia"/>
              </w:rPr>
              <w:t>0.11</w:t>
            </w:r>
            <w:r w:rsidR="00B0153C">
              <w:rPr>
                <w:rFonts w:hint="eastAsia"/>
              </w:rPr>
              <w:t>5</w:t>
            </w:r>
            <w:r>
              <w:rPr>
                <w:rFonts w:hint="eastAsia"/>
              </w:rPr>
              <w:t xml:space="preserve"> [0.00</w:t>
            </w:r>
            <w:r w:rsidR="00B0153C">
              <w:rPr>
                <w:rFonts w:hint="eastAsia"/>
              </w:rPr>
              <w:t>5</w:t>
            </w:r>
            <w:r>
              <w:rPr>
                <w:rFonts w:hint="eastAsia"/>
              </w:rPr>
              <w:t xml:space="preserve">, </w:t>
            </w:r>
            <w:r>
              <w:rPr>
                <w:rFonts w:hint="eastAsia"/>
              </w:rPr>
              <w:lastRenderedPageBreak/>
              <w:t>0.22</w:t>
            </w:r>
            <w:r w:rsidR="00FF6590">
              <w:rPr>
                <w:rFonts w:hint="eastAsia"/>
              </w:rPr>
              <w:t>4</w:t>
            </w:r>
            <w:r>
              <w:rPr>
                <w:rFonts w:hint="eastAsia"/>
              </w:rPr>
              <w:t>]</w:t>
            </w:r>
            <w:bookmarkEnd w:id="36"/>
          </w:p>
        </w:tc>
        <w:tc>
          <w:tcPr>
            <w:tcW w:w="1137" w:type="dxa"/>
            <w:tcBorders>
              <w:top w:val="nil"/>
              <w:bottom w:val="nil"/>
            </w:tcBorders>
          </w:tcPr>
          <w:p w14:paraId="14F17002" w14:textId="648AD776" w:rsidR="00F351EB" w:rsidRPr="00573723" w:rsidRDefault="00E33353" w:rsidP="00D450DC">
            <w:pPr>
              <w:spacing w:after="120" w:line="360" w:lineRule="auto"/>
              <w:jc w:val="center"/>
            </w:pPr>
            <w:r>
              <w:rPr>
                <w:rFonts w:hint="eastAsia"/>
              </w:rPr>
              <w:lastRenderedPageBreak/>
              <w:t>2.5</w:t>
            </w:r>
            <w:r w:rsidR="00FF6590">
              <w:rPr>
                <w:rFonts w:hint="eastAsia"/>
              </w:rPr>
              <w:t>6</w:t>
            </w:r>
            <w:r>
              <w:rPr>
                <w:rFonts w:hint="eastAsia"/>
              </w:rPr>
              <w:t>(6)</w:t>
            </w:r>
          </w:p>
        </w:tc>
        <w:tc>
          <w:tcPr>
            <w:tcW w:w="788" w:type="dxa"/>
            <w:tcBorders>
              <w:top w:val="nil"/>
              <w:bottom w:val="nil"/>
            </w:tcBorders>
          </w:tcPr>
          <w:p w14:paraId="0D62B886" w14:textId="16E74901" w:rsidR="00F351EB" w:rsidRPr="00573723" w:rsidRDefault="00E33353" w:rsidP="00D450DC">
            <w:pPr>
              <w:spacing w:after="120" w:line="360" w:lineRule="auto"/>
              <w:jc w:val="center"/>
            </w:pPr>
            <w:r>
              <w:rPr>
                <w:rFonts w:hint="eastAsia"/>
              </w:rPr>
              <w:t>.043</w:t>
            </w:r>
          </w:p>
        </w:tc>
        <w:tc>
          <w:tcPr>
            <w:tcW w:w="962" w:type="dxa"/>
            <w:tcBorders>
              <w:top w:val="nil"/>
              <w:bottom w:val="nil"/>
            </w:tcBorders>
          </w:tcPr>
          <w:p w14:paraId="1F4D9E36" w14:textId="142BEA82" w:rsidR="00F351EB" w:rsidRPr="009E6CC9" w:rsidRDefault="00E33353" w:rsidP="00D450DC">
            <w:pPr>
              <w:spacing w:after="120" w:line="360" w:lineRule="auto"/>
              <w:jc w:val="center"/>
            </w:pPr>
            <w:r>
              <w:rPr>
                <w:rFonts w:hint="eastAsia"/>
              </w:rPr>
              <w:t>3.4</w:t>
            </w:r>
            <w:r w:rsidR="00FF6590">
              <w:rPr>
                <w:rFonts w:hint="eastAsia"/>
              </w:rPr>
              <w:t>7</w:t>
            </w:r>
            <w:r>
              <w:rPr>
                <w:rFonts w:hint="eastAsia"/>
              </w:rPr>
              <w:t>(6)</w:t>
            </w:r>
          </w:p>
        </w:tc>
        <w:tc>
          <w:tcPr>
            <w:tcW w:w="919" w:type="dxa"/>
            <w:tcBorders>
              <w:top w:val="nil"/>
              <w:bottom w:val="nil"/>
            </w:tcBorders>
          </w:tcPr>
          <w:p w14:paraId="7FBB3390" w14:textId="4A0D6B96" w:rsidR="00F351EB" w:rsidRPr="00573723" w:rsidRDefault="00E33353" w:rsidP="00D450DC">
            <w:pPr>
              <w:spacing w:after="120" w:line="360" w:lineRule="auto"/>
              <w:jc w:val="center"/>
            </w:pPr>
            <w:r>
              <w:rPr>
                <w:rFonts w:hint="eastAsia"/>
              </w:rPr>
              <w:t>.7</w:t>
            </w:r>
            <w:r w:rsidR="00FF6590">
              <w:rPr>
                <w:rFonts w:hint="eastAsia"/>
              </w:rPr>
              <w:t>49</w:t>
            </w:r>
          </w:p>
        </w:tc>
        <w:tc>
          <w:tcPr>
            <w:tcW w:w="1013" w:type="dxa"/>
            <w:tcBorders>
              <w:top w:val="nil"/>
              <w:bottom w:val="nil"/>
            </w:tcBorders>
          </w:tcPr>
          <w:p w14:paraId="4BB6131F" w14:textId="2A79E374" w:rsidR="00F351EB" w:rsidRPr="00573723" w:rsidRDefault="00E33353" w:rsidP="00D450DC">
            <w:pPr>
              <w:spacing w:after="120" w:line="360" w:lineRule="auto"/>
              <w:jc w:val="center"/>
            </w:pPr>
            <w:r>
              <w:rPr>
                <w:rFonts w:hint="eastAsia"/>
              </w:rPr>
              <w:t xml:space="preserve">0.0% [0.0, </w:t>
            </w:r>
            <w:r>
              <w:rPr>
                <w:rFonts w:hint="eastAsia"/>
              </w:rPr>
              <w:lastRenderedPageBreak/>
              <w:t>70.8]</w:t>
            </w:r>
          </w:p>
        </w:tc>
        <w:tc>
          <w:tcPr>
            <w:tcW w:w="1052" w:type="dxa"/>
            <w:tcBorders>
              <w:top w:val="nil"/>
              <w:bottom w:val="nil"/>
            </w:tcBorders>
          </w:tcPr>
          <w:p w14:paraId="23087730" w14:textId="4AD596BE" w:rsidR="00F351EB" w:rsidRPr="00573723" w:rsidRDefault="00E33353" w:rsidP="00D450DC">
            <w:pPr>
              <w:spacing w:after="120" w:line="360" w:lineRule="auto"/>
              <w:jc w:val="center"/>
            </w:pPr>
            <w:r>
              <w:rPr>
                <w:rFonts w:hint="eastAsia"/>
              </w:rPr>
              <w:lastRenderedPageBreak/>
              <w:t>0.000</w:t>
            </w:r>
          </w:p>
        </w:tc>
        <w:tc>
          <w:tcPr>
            <w:tcW w:w="958" w:type="dxa"/>
            <w:tcBorders>
              <w:top w:val="nil"/>
              <w:bottom w:val="nil"/>
            </w:tcBorders>
          </w:tcPr>
          <w:p w14:paraId="16D127A2" w14:textId="0C2BA65E" w:rsidR="00F351EB" w:rsidRPr="00573723" w:rsidRDefault="00E33353" w:rsidP="00D450DC">
            <w:pPr>
              <w:spacing w:after="120" w:line="360" w:lineRule="auto"/>
              <w:jc w:val="center"/>
            </w:pPr>
            <w:r>
              <w:rPr>
                <w:rFonts w:hint="eastAsia"/>
              </w:rPr>
              <w:t xml:space="preserve">[-0.03, </w:t>
            </w:r>
            <w:r>
              <w:rPr>
                <w:rFonts w:hint="eastAsia"/>
              </w:rPr>
              <w:lastRenderedPageBreak/>
              <w:t>0.26]</w:t>
            </w:r>
          </w:p>
        </w:tc>
      </w:tr>
      <w:tr w:rsidR="004A6C38" w:rsidRPr="00573723" w14:paraId="265B5DA9" w14:textId="77777777" w:rsidTr="00780B81">
        <w:tc>
          <w:tcPr>
            <w:tcW w:w="656" w:type="dxa"/>
            <w:tcBorders>
              <w:top w:val="nil"/>
              <w:bottom w:val="single" w:sz="8" w:space="0" w:color="auto"/>
            </w:tcBorders>
          </w:tcPr>
          <w:p w14:paraId="1B15233C" w14:textId="02B6FEB1" w:rsidR="00F351EB" w:rsidRPr="00DB320F" w:rsidRDefault="004A6C38" w:rsidP="00D450DC">
            <w:pPr>
              <w:spacing w:after="120" w:line="360" w:lineRule="auto"/>
              <w:jc w:val="center"/>
            </w:pPr>
            <w:r>
              <w:rPr>
                <w:rFonts w:hint="eastAsia"/>
              </w:rPr>
              <w:lastRenderedPageBreak/>
              <w:t>Long</w:t>
            </w:r>
          </w:p>
        </w:tc>
        <w:tc>
          <w:tcPr>
            <w:tcW w:w="712" w:type="dxa"/>
            <w:tcBorders>
              <w:top w:val="nil"/>
              <w:bottom w:val="single" w:sz="8" w:space="0" w:color="auto"/>
            </w:tcBorders>
          </w:tcPr>
          <w:p w14:paraId="14F57696" w14:textId="41557822" w:rsidR="00F351EB" w:rsidRDefault="004A6C38" w:rsidP="00D450DC">
            <w:pPr>
              <w:spacing w:after="120" w:line="360" w:lineRule="auto"/>
              <w:jc w:val="center"/>
            </w:pPr>
            <w:r>
              <w:rPr>
                <w:rFonts w:hint="eastAsia"/>
              </w:rPr>
              <w:t>5</w:t>
            </w:r>
          </w:p>
        </w:tc>
        <w:tc>
          <w:tcPr>
            <w:tcW w:w="1163" w:type="dxa"/>
            <w:tcBorders>
              <w:top w:val="nil"/>
              <w:bottom w:val="single" w:sz="8" w:space="0" w:color="auto"/>
            </w:tcBorders>
          </w:tcPr>
          <w:p w14:paraId="27D31E67" w14:textId="04A84041" w:rsidR="00F351EB" w:rsidRPr="00573723" w:rsidRDefault="004A6C38" w:rsidP="00D450DC">
            <w:pPr>
              <w:spacing w:after="120" w:line="360" w:lineRule="auto"/>
              <w:jc w:val="center"/>
            </w:pPr>
            <w:r>
              <w:rPr>
                <w:rFonts w:hint="eastAsia"/>
              </w:rPr>
              <w:t>0.1</w:t>
            </w:r>
            <w:r w:rsidR="00FF6590">
              <w:rPr>
                <w:rFonts w:hint="eastAsia"/>
              </w:rPr>
              <w:t>48</w:t>
            </w:r>
            <w:r>
              <w:rPr>
                <w:rFonts w:hint="eastAsia"/>
              </w:rPr>
              <w:t xml:space="preserve"> [-0.08, 0.38]</w:t>
            </w:r>
          </w:p>
        </w:tc>
        <w:tc>
          <w:tcPr>
            <w:tcW w:w="1137" w:type="dxa"/>
            <w:tcBorders>
              <w:top w:val="nil"/>
              <w:bottom w:val="single" w:sz="8" w:space="0" w:color="auto"/>
            </w:tcBorders>
          </w:tcPr>
          <w:p w14:paraId="69421AF3" w14:textId="5158CFDA" w:rsidR="00F351EB" w:rsidRPr="00573723" w:rsidRDefault="004A6C38" w:rsidP="00D450DC">
            <w:pPr>
              <w:spacing w:after="120" w:line="360" w:lineRule="auto"/>
              <w:jc w:val="center"/>
            </w:pPr>
            <w:r>
              <w:rPr>
                <w:rFonts w:hint="eastAsia"/>
              </w:rPr>
              <w:t>1.</w:t>
            </w:r>
            <w:r w:rsidR="00E54200">
              <w:rPr>
                <w:rFonts w:hint="eastAsia"/>
              </w:rPr>
              <w:t>79</w:t>
            </w:r>
            <w:r>
              <w:rPr>
                <w:rFonts w:hint="eastAsia"/>
              </w:rPr>
              <w:t>(4)</w:t>
            </w:r>
          </w:p>
        </w:tc>
        <w:tc>
          <w:tcPr>
            <w:tcW w:w="788" w:type="dxa"/>
            <w:tcBorders>
              <w:top w:val="nil"/>
              <w:bottom w:val="single" w:sz="8" w:space="0" w:color="auto"/>
            </w:tcBorders>
          </w:tcPr>
          <w:p w14:paraId="2810CBB3" w14:textId="1FA34342" w:rsidR="00F351EB" w:rsidRPr="00573723" w:rsidRDefault="004A6C38" w:rsidP="00D450DC">
            <w:pPr>
              <w:spacing w:after="120" w:line="360" w:lineRule="auto"/>
              <w:jc w:val="center"/>
            </w:pPr>
            <w:r>
              <w:rPr>
                <w:rFonts w:hint="eastAsia"/>
              </w:rPr>
              <w:t>.14</w:t>
            </w:r>
            <w:r w:rsidR="00E54200">
              <w:rPr>
                <w:rFonts w:hint="eastAsia"/>
              </w:rPr>
              <w:t>9</w:t>
            </w:r>
          </w:p>
        </w:tc>
        <w:tc>
          <w:tcPr>
            <w:tcW w:w="962" w:type="dxa"/>
            <w:tcBorders>
              <w:top w:val="nil"/>
              <w:bottom w:val="single" w:sz="8" w:space="0" w:color="auto"/>
            </w:tcBorders>
          </w:tcPr>
          <w:p w14:paraId="27634954" w14:textId="6937F893" w:rsidR="00F351EB" w:rsidRPr="009E6CC9" w:rsidRDefault="004A6C38" w:rsidP="00D450DC">
            <w:pPr>
              <w:spacing w:after="120" w:line="360" w:lineRule="auto"/>
              <w:jc w:val="center"/>
            </w:pPr>
            <w:r>
              <w:rPr>
                <w:rFonts w:hint="eastAsia"/>
              </w:rPr>
              <w:t>5.</w:t>
            </w:r>
            <w:r w:rsidR="00E54200">
              <w:rPr>
                <w:rFonts w:hint="eastAsia"/>
              </w:rPr>
              <w:t>98</w:t>
            </w:r>
            <w:r>
              <w:rPr>
                <w:rFonts w:hint="eastAsia"/>
              </w:rPr>
              <w:t>(4)</w:t>
            </w:r>
          </w:p>
        </w:tc>
        <w:tc>
          <w:tcPr>
            <w:tcW w:w="919" w:type="dxa"/>
            <w:tcBorders>
              <w:top w:val="nil"/>
              <w:bottom w:val="single" w:sz="8" w:space="0" w:color="auto"/>
            </w:tcBorders>
          </w:tcPr>
          <w:p w14:paraId="2700D0F1" w14:textId="697F6DA5" w:rsidR="00F351EB" w:rsidRPr="00573723" w:rsidRDefault="004A6C38" w:rsidP="00D450DC">
            <w:pPr>
              <w:spacing w:after="120" w:line="360" w:lineRule="auto"/>
              <w:jc w:val="center"/>
            </w:pPr>
            <w:r>
              <w:rPr>
                <w:rFonts w:hint="eastAsia"/>
              </w:rPr>
              <w:t>.2</w:t>
            </w:r>
            <w:r w:rsidR="00E54200">
              <w:rPr>
                <w:rFonts w:hint="eastAsia"/>
              </w:rPr>
              <w:t>01</w:t>
            </w:r>
          </w:p>
        </w:tc>
        <w:tc>
          <w:tcPr>
            <w:tcW w:w="1013" w:type="dxa"/>
            <w:tcBorders>
              <w:top w:val="nil"/>
              <w:bottom w:val="single" w:sz="8" w:space="0" w:color="auto"/>
            </w:tcBorders>
          </w:tcPr>
          <w:p w14:paraId="655C7495" w14:textId="2B7DC8C0" w:rsidR="00F351EB" w:rsidRPr="00573723" w:rsidRDefault="004A6C38" w:rsidP="00D450DC">
            <w:pPr>
              <w:spacing w:after="120" w:line="360" w:lineRule="auto"/>
              <w:jc w:val="center"/>
            </w:pPr>
            <w:r>
              <w:rPr>
                <w:rFonts w:hint="eastAsia"/>
              </w:rPr>
              <w:t>3</w:t>
            </w:r>
            <w:r w:rsidR="00E54200">
              <w:rPr>
                <w:rFonts w:hint="eastAsia"/>
              </w:rPr>
              <w:t>3</w:t>
            </w:r>
            <w:r>
              <w:rPr>
                <w:rFonts w:hint="eastAsia"/>
              </w:rPr>
              <w:t>.</w:t>
            </w:r>
            <w:r w:rsidR="00B0153C">
              <w:rPr>
                <w:rFonts w:hint="eastAsia"/>
              </w:rPr>
              <w:t>1</w:t>
            </w:r>
            <w:r>
              <w:rPr>
                <w:rFonts w:hint="eastAsia"/>
              </w:rPr>
              <w:t>% [0.0, 7</w:t>
            </w:r>
            <w:r w:rsidR="00E54200">
              <w:rPr>
                <w:rFonts w:hint="eastAsia"/>
              </w:rPr>
              <w:t>4</w:t>
            </w:r>
            <w:r>
              <w:rPr>
                <w:rFonts w:hint="eastAsia"/>
              </w:rPr>
              <w:t>.6]</w:t>
            </w:r>
          </w:p>
        </w:tc>
        <w:tc>
          <w:tcPr>
            <w:tcW w:w="1052" w:type="dxa"/>
            <w:tcBorders>
              <w:top w:val="nil"/>
              <w:bottom w:val="single" w:sz="8" w:space="0" w:color="auto"/>
            </w:tcBorders>
          </w:tcPr>
          <w:p w14:paraId="26F15976" w14:textId="0AE3519C" w:rsidR="00F351EB" w:rsidRPr="00573723" w:rsidRDefault="004A6C38" w:rsidP="00D450DC">
            <w:pPr>
              <w:spacing w:after="120" w:line="360" w:lineRule="auto"/>
              <w:jc w:val="center"/>
            </w:pPr>
            <w:r>
              <w:rPr>
                <w:rFonts w:hint="eastAsia"/>
              </w:rPr>
              <w:t xml:space="preserve">0.014 </w:t>
            </w:r>
          </w:p>
        </w:tc>
        <w:tc>
          <w:tcPr>
            <w:tcW w:w="958" w:type="dxa"/>
            <w:tcBorders>
              <w:top w:val="nil"/>
              <w:bottom w:val="single" w:sz="8" w:space="0" w:color="auto"/>
            </w:tcBorders>
          </w:tcPr>
          <w:p w14:paraId="1401DBD6" w14:textId="46458395" w:rsidR="00F351EB" w:rsidRPr="00573723" w:rsidRDefault="004A6C38" w:rsidP="00D450DC">
            <w:pPr>
              <w:spacing w:after="120" w:line="360" w:lineRule="auto"/>
              <w:jc w:val="center"/>
            </w:pPr>
            <w:r>
              <w:rPr>
                <w:rFonts w:hint="eastAsia"/>
              </w:rPr>
              <w:t>[</w:t>
            </w:r>
            <w:r w:rsidR="00E54200" w:rsidRPr="00E54200">
              <w:t>−0.27</w:t>
            </w:r>
            <w:r>
              <w:rPr>
                <w:rFonts w:hint="eastAsia"/>
              </w:rPr>
              <w:t>, 0.56]</w:t>
            </w:r>
          </w:p>
        </w:tc>
      </w:tr>
    </w:tbl>
    <w:p w14:paraId="7789685A" w14:textId="77777777" w:rsidR="00DB320F" w:rsidRDefault="00DB320F" w:rsidP="00DB320F">
      <w:pPr>
        <w:spacing w:after="120" w:line="360" w:lineRule="auto"/>
        <w:jc w:val="both"/>
        <w:rPr>
          <w:b/>
          <w:bCs/>
          <w:sz w:val="24"/>
          <w:szCs w:val="24"/>
        </w:rPr>
      </w:pPr>
    </w:p>
    <w:p w14:paraId="13E04798" w14:textId="09D393C4" w:rsidR="00B553F7" w:rsidRPr="00950BF3" w:rsidRDefault="00DB320F" w:rsidP="00950BF3">
      <w:pPr>
        <w:spacing w:after="120" w:line="360" w:lineRule="auto"/>
        <w:jc w:val="both"/>
        <w:rPr>
          <w:b/>
          <w:bCs/>
          <w:sz w:val="24"/>
          <w:szCs w:val="24"/>
        </w:rPr>
      </w:pPr>
      <w:r w:rsidRPr="00C16B32">
        <w:rPr>
          <w:i/>
          <w:iCs/>
        </w:rPr>
        <w:t>Note.</w:t>
      </w:r>
      <w:bookmarkEnd w:id="34"/>
      <w:r w:rsidR="005F269D">
        <w:rPr>
          <w:rFonts w:hint="eastAsia"/>
          <w:i/>
          <w:iCs/>
        </w:rPr>
        <w:t xml:space="preserve"> </w:t>
      </w:r>
      <w:r w:rsidR="005F269D" w:rsidRPr="005F269D">
        <w:t>k = number of studies; CI = confidence interval; PI = prediction interval; τ² = between-study variance; I² = proportion of total variation due to heterogeneity. Pooled estimates were computed using a random-effects model with restricted maximum-likelihood (REML) estimator and Hartung-Knapp adjustment. Short = short-term follow-up (≤3 months); Mid = mid-term follow-up (&gt;3 to ≤6 months); Long = long-term follow-up (&gt;6 months).</w:t>
      </w:r>
    </w:p>
    <w:p w14:paraId="33E856DC" w14:textId="77777777" w:rsidR="006E03C5" w:rsidRDefault="00D450DC">
      <w:pPr>
        <w:pStyle w:val="2"/>
        <w:rPr>
          <w:rFonts w:eastAsiaTheme="minorEastAsia"/>
        </w:rPr>
      </w:pPr>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37"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37"/>
    <w:p w14:paraId="035685D7" w14:textId="77777777" w:rsidR="00BC39C2" w:rsidRDefault="00E67E87" w:rsidP="00322DF0">
      <w:pPr>
        <w:pStyle w:val="4"/>
      </w:pPr>
      <w:r w:rsidRPr="00322DF0">
        <w:t>4.5.1.1 Control Type</w:t>
      </w:r>
    </w:p>
    <w:p w14:paraId="2B80D198" w14:textId="2F621220" w:rsidR="009C37E9" w:rsidRPr="009C37E9" w:rsidRDefault="00FF0B33" w:rsidP="009C37E9">
      <w:pPr>
        <w:spacing w:after="120" w:line="360" w:lineRule="auto"/>
        <w:ind w:firstLine="360"/>
        <w:jc w:val="both"/>
      </w:pPr>
      <w:bookmarkStart w:id="38" w:name="OLE_LINK39"/>
      <w:r w:rsidRPr="00FF0B33">
        <w:t>Of the 14 studies, seven employed passive control conditions (waitlist, treatment-as-usual, or assessment-only) and seven employed minimally active control conditions (attention or information-only).</w:t>
      </w:r>
      <w:r w:rsidR="009C37E9" w:rsidRPr="009C37E9">
        <w:t xml:space="preserve"> This classification was based on the degree of activeness of the control condition. The Q-between test indicated no statistically significant difference between the two pooled subgroups, </w:t>
      </w:r>
      <w:r w:rsidR="009C37E9" w:rsidRPr="009C37E9">
        <w:rPr>
          <w:i/>
          <w:iCs/>
        </w:rPr>
        <w:t>Q</w:t>
      </w:r>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4).</w:t>
      </w:r>
    </w:p>
    <w:p w14:paraId="07F58E19" w14:textId="1E6E9DF0" w:rsidR="009C37E9" w:rsidRPr="009C37E9" w:rsidRDefault="009C37E9" w:rsidP="009C37E9">
      <w:pPr>
        <w:spacing w:after="120" w:line="360" w:lineRule="auto"/>
        <w:ind w:firstLine="360"/>
        <w:jc w:val="both"/>
      </w:pPr>
      <w:bookmarkStart w:id="39" w:name="OLE_LINK40"/>
      <w:bookmarkEnd w:id="38"/>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However, these within-subgroup significance patterns should not be interpreted as evidence that the two subgroups differ significantly, because the formal between-subgroup comparison was non-significant.</w:t>
      </w:r>
      <w:bookmarkEnd w:id="39"/>
    </w:p>
    <w:p w14:paraId="7259170E" w14:textId="2EA5541E"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73.8%]. Thus, the control-type comparison did not provide evidence of a statistically significant difference in pooled effect size, but it suggested that the passive-control studies were considerably more heterogeneous than the minimally active-control studies. This pattern is interpreted further in </w:t>
      </w:r>
      <w:r w:rsidR="00854C7A">
        <w:rPr>
          <w:rFonts w:hint="eastAsia"/>
        </w:rPr>
        <w:t>Chapter 5</w:t>
      </w:r>
      <w:r w:rsidRPr="009C37E9">
        <w:t>.</w:t>
      </w:r>
    </w:p>
    <w:p w14:paraId="6E43D485" w14:textId="37A3AE40" w:rsidR="00BF07C4" w:rsidRDefault="00E67E87" w:rsidP="000F6C5A">
      <w:pPr>
        <w:pStyle w:val="4"/>
      </w:pPr>
      <w:r w:rsidRPr="00E67E87">
        <w:t xml:space="preserve">4.5.1.2 Baseline Depression Severity </w:t>
      </w:r>
    </w:p>
    <w:p w14:paraId="28C01217" w14:textId="77777777" w:rsidR="00361E37" w:rsidRDefault="00014247" w:rsidP="00014247">
      <w:pPr>
        <w:spacing w:after="120" w:line="360" w:lineRule="auto"/>
        <w:ind w:firstLine="360"/>
        <w:jc w:val="both"/>
      </w:pPr>
      <w:r w:rsidRPr="00014247">
        <w:lastRenderedPageBreak/>
        <w:t>Studies were classified into two baseline severity strata based on each study’s reported pre-intervention mean and the corresponding clinical cutoff</w:t>
      </w:r>
      <w:r>
        <w:rPr>
          <w:rFonts w:hint="eastAsia"/>
        </w:rPr>
        <w:t xml:space="preserve">. </w:t>
      </w:r>
      <w:r w:rsidRPr="00014247">
        <w:t xml:space="preserve"> </w:t>
      </w:r>
      <w:r>
        <w:rPr>
          <w:rFonts w:hint="eastAsia"/>
        </w:rPr>
        <w:t>T</w:t>
      </w:r>
      <w:r w:rsidRPr="00014247">
        <w:t xml:space="preserve">en studies fell into the Low stratum, reflecting mild or mild-to-moderate baseline depression, and four into the High stratum, reflecting moderate or severe baseline depression. The test for subgroup differences showed no statistically significant difference between the two pooled subgroup effects, </w:t>
      </w:r>
      <w:r w:rsidRPr="008E3603">
        <w:rPr>
          <w:i/>
          <w:iCs/>
        </w:rPr>
        <w:t>Q</w:t>
      </w:r>
      <w:r w:rsidRPr="00014247">
        <w:t xml:space="preserve">(1) = 0.00, </w:t>
      </w:r>
      <w:r w:rsidRPr="008E3603">
        <w:rPr>
          <w:i/>
          <w:iCs/>
        </w:rPr>
        <w:t>p</w:t>
      </w:r>
      <w:r w:rsidRPr="00014247">
        <w:t xml:space="preserve"> = .953 (Table 5).</w:t>
      </w:r>
    </w:p>
    <w:p w14:paraId="02AAD1BF" w14:textId="6C76E870" w:rsidR="00014247" w:rsidRDefault="00014247" w:rsidP="00014247">
      <w:pPr>
        <w:spacing w:after="120" w:line="360" w:lineRule="auto"/>
        <w:ind w:firstLine="360"/>
        <w:jc w:val="both"/>
      </w:pPr>
      <w:r w:rsidRPr="00014247">
        <w:t xml:space="preserve"> In the Low stratum,</w:t>
      </w:r>
      <w:bookmarkStart w:id="40" w:name="OLE_LINK43"/>
      <w:r w:rsidRPr="00014247">
        <w:t xml:space="preserve"> the pooled Hedges’ g was 0.27, 95% CI [0.05, 0.49], </w:t>
      </w:r>
      <w:r w:rsidRPr="008E3603">
        <w:rPr>
          <w:i/>
          <w:iCs/>
        </w:rPr>
        <w:t>p</w:t>
      </w:r>
      <w:r w:rsidRPr="00014247">
        <w:t xml:space="preserve"> = .02</w:t>
      </w:r>
      <w:bookmarkEnd w:id="40"/>
      <w:r w:rsidRPr="00014247">
        <w:t xml:space="preserve">0, with the confidence interval excluding zero. In the High stratum, the pooled Hedges’ </w:t>
      </w:r>
      <w:r w:rsidRPr="008E3603">
        <w:rPr>
          <w:i/>
          <w:iCs/>
        </w:rPr>
        <w:t>g</w:t>
      </w:r>
      <w:r w:rsidRPr="00014247">
        <w:t xml:space="preserve"> was 0.29, 95% CI [-0.58, 1.15], </w:t>
      </w:r>
      <w:r w:rsidRPr="008E3603">
        <w:rPr>
          <w:i/>
          <w:iCs/>
        </w:rPr>
        <w:t>p</w:t>
      </w:r>
      <w:r w:rsidRPr="00014247">
        <w:t xml:space="preserve"> = .369, with the confidence interval crossing zero.</w:t>
      </w:r>
    </w:p>
    <w:p w14:paraId="4ED63F74" w14:textId="2337F03F"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(k = 4) and greater within-subgroup heterogeneity (</w:t>
      </w:r>
      <w:r w:rsidRPr="008E3603">
        <w:rPr>
          <w:i/>
          <w:iCs/>
        </w:rPr>
        <w:t>I</w:t>
      </w:r>
      <w:r w:rsidRPr="00014247">
        <w:t>² = 81.8%, 95% CI [52.8%, 93.0%]) relative to the Low stratum (</w:t>
      </w:r>
      <w:r w:rsidRPr="008E3603">
        <w:rPr>
          <w:i/>
          <w:iCs/>
        </w:rPr>
        <w:t>I</w:t>
      </w:r>
      <w:r w:rsidRPr="00014247">
        <w:t>² = 52.4%, 95% CI [2.5%, 76.8%]),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r w:rsidRPr="00E67E87">
        <w:t>4.5.2.1 Human Contact</w:t>
      </w:r>
    </w:p>
    <w:p w14:paraId="02FE6496" w14:textId="583BEEF6" w:rsidR="009B7CFF" w:rsidRDefault="009B7CFF" w:rsidP="00EC5FDE">
      <w:pPr>
        <w:spacing w:after="120" w:line="360" w:lineRule="auto"/>
        <w:ind w:firstLine="360"/>
        <w:jc w:val="both"/>
      </w:pPr>
      <w:r w:rsidRPr="009B7CFF">
        <w:t xml:space="preserve">Studies were classified by whether the intervention package included non-therapeutic human contact, defined as human-delivered reminders, monitoring calls, </w:t>
      </w:r>
      <w:r>
        <w:rPr>
          <w:rFonts w:hint="eastAsia"/>
        </w:rPr>
        <w:t xml:space="preserve">or </w:t>
      </w:r>
      <w:r w:rsidRPr="009B7CFF">
        <w:t>human encouragement during the intervention period (see Section 3.8.3). Four trials (Ackerson et al., 1998; Fleming et al., 2012; Ip et al., 2016; Rohde et al., 2015) included such contact, whereas ten trials relied solely on automated or technical support, or no non-therapeutic support at all. The Q-between test indicated no statistically significant difference between the two pooled subgroup effects, Q(1) = 0.32, p = .570 (Table 5).</w:t>
      </w:r>
    </w:p>
    <w:p w14:paraId="3634B835" w14:textId="77777777" w:rsidR="00854C7A" w:rsidRDefault="009B7CFF" w:rsidP="00EC5FDE">
      <w:pPr>
        <w:spacing w:after="120" w:line="360" w:lineRule="auto"/>
        <w:ind w:firstLine="360"/>
        <w:jc w:val="both"/>
      </w:pPr>
      <w:r w:rsidRPr="009B7CFF">
        <w:t>In the subgroup with human contact, the pooled Hedges' g was 0.41, 95% CI [-0.55, 1.38], p = .265, with the confidence interval crossing zero. In the subgroup without human contact, the pooled Hedges' g was 0.23, 95% CI [0.03, 0.44], p = .027, with the confidence interval excluding zero.</w:t>
      </w:r>
      <w:r w:rsidR="00361E37">
        <w:rPr>
          <w:rFonts w:hint="eastAsia"/>
        </w:rPr>
        <w:t xml:space="preserve"> </w:t>
      </w:r>
    </w:p>
    <w:p w14:paraId="55470DE2" w14:textId="70E63978" w:rsidR="00EC5FDE" w:rsidRPr="008E3603" w:rsidRDefault="00854C7A" w:rsidP="00EC5FDE">
      <w:pPr>
        <w:spacing w:after="120" w:line="360" w:lineRule="auto"/>
        <w:ind w:firstLine="360"/>
        <w:jc w:val="both"/>
      </w:pPr>
      <w:r w:rsidRPr="00854C7A">
        <w:t>The within-subgroup heterogeneity was higher in the subgroup with human contact (I² = 79.4%, 95% CI [45.1%, 92.3%]) than in the subgroup without (I² = 56.6%, 95% CI [12.2%, 78.6%]). Within the four trials including human contact, individual study effect estimates spanned a wide range, from g = 0.02 (Rohde et al., 2015) to g = 1.51 (Fleming et al., 2012)</w:t>
      </w:r>
      <w:r>
        <w:rPr>
          <w:rFonts w:hint="eastAsia"/>
        </w:rPr>
        <w:t>. T</w:t>
      </w:r>
      <w:r w:rsidRPr="00854C7A">
        <w:t xml:space="preserve">his dispersion, combined with the small number of studies (k = 4), produced the wide confidence interval [-0.55, 1.38] in the human-contact subgroup. The implications of this pattern are discussed further in </w:t>
      </w:r>
      <w:r>
        <w:rPr>
          <w:rFonts w:hint="eastAsia"/>
        </w:rPr>
        <w:t>Chapter 5.</w:t>
      </w:r>
      <w:r w:rsidR="00C11E26">
        <w:rPr>
          <w:rFonts w:hint="eastAsia"/>
        </w:rPr>
        <w:t xml:space="preserve"> </w:t>
      </w:r>
    </w:p>
    <w:p w14:paraId="42A09877" w14:textId="526770E7" w:rsidR="00E67E87" w:rsidRDefault="00E67E87" w:rsidP="000F6C5A">
      <w:pPr>
        <w:pStyle w:val="4"/>
      </w:pPr>
      <w:r w:rsidRPr="00E67E87">
        <w:lastRenderedPageBreak/>
        <w:t>4.5.2.2 CBT Components: Relaxation, Problem-Solving, and Homework</w:t>
      </w:r>
    </w:p>
    <w:p w14:paraId="3DE12AB4" w14:textId="77777777" w:rsidR="00780B81" w:rsidRDefault="00780B81" w:rsidP="006E03C5"/>
    <w:p w14:paraId="092CCFCD" w14:textId="3C090364" w:rsidR="00780B81" w:rsidRDefault="00334F69" w:rsidP="00334F69">
      <w:pPr>
        <w:spacing w:after="120" w:line="360" w:lineRule="auto"/>
        <w:ind w:firstLine="360"/>
        <w:jc w:val="both"/>
      </w:pPr>
      <w:r>
        <w:rPr>
          <w:rFonts w:hint="eastAsia"/>
        </w:rPr>
        <w:t xml:space="preserve">Across the three therapeutic </w:t>
      </w:r>
      <w:r>
        <w:t>component</w:t>
      </w:r>
      <w:r>
        <w:rPr>
          <w:rFonts w:hint="eastAsia"/>
        </w:rPr>
        <w:t xml:space="preserve"> contrasts (relaxation, problem-solving, homework), no between-subgroup differences reached significance (all </w:t>
      </w:r>
      <w:r w:rsidRPr="00334F69">
        <w:rPr>
          <w:rFonts w:hint="eastAsia"/>
          <w:i/>
          <w:iCs/>
        </w:rPr>
        <w:t>p</w:t>
      </w:r>
      <w:r>
        <w:rPr>
          <w:rFonts w:hint="eastAsia"/>
        </w:rPr>
        <w:t xml:space="preserve"> &gt; .15; Table 4). Nonetheless, all three followed the same direction, with component-present showing larger pooled effects than component-absent subgroups. This pattern was most pronounced for problem-solving and least so in relaxation. Problem-solving is most notable of all, </w:t>
      </w:r>
      <w:r>
        <w:t>because</w:t>
      </w:r>
      <w:r>
        <w:rPr>
          <w:rFonts w:hint="eastAsia"/>
        </w:rPr>
        <w:t xml:space="preserve"> it is also the only component whose effect size was significant amony absent and present groups.</w:t>
      </w:r>
      <w:r w:rsidR="001D4FC3">
        <w:rPr>
          <w:rFonts w:hint="eastAsia"/>
        </w:rPr>
        <w:t xml:space="preserve"> </w:t>
      </w:r>
      <w:r w:rsidR="001D4FC3" w:rsidRPr="001D4FC3">
        <w:t>Given the consistent direction and the high co-occurrence of components within programs, the cumulative association between number of components and effect size is examined directly in the component-count meta-regression below (Section 4.5.3)</w:t>
      </w:r>
      <w:r w:rsidR="001D4FC3">
        <w:rPr>
          <w:rFonts w:hint="eastAsia"/>
        </w:rPr>
        <w:t>.</w:t>
      </w:r>
    </w:p>
    <w:p w14:paraId="5B504040" w14:textId="58F3AE26" w:rsidR="00474714" w:rsidRDefault="001D4FC3" w:rsidP="001D4FC3">
      <w:pPr>
        <w:spacing w:after="120" w:line="360" w:lineRule="auto"/>
        <w:ind w:firstLine="360"/>
        <w:jc w:val="both"/>
      </w:pPr>
      <w:r w:rsidRPr="001D4FC3">
        <w:t>Within-subgroup heterogeneity remained moderate to substantial across all three component contrasts (I² = 41–74%; Table 4), and stratifying by component presence did not appreciably reduce overall heterogeneity (residual τ² ≈ .058–.068, comparable to the overall τ² of .055). This indicates that the presence or absence of any single component does not account for the between-study variability observed in the main analysis.</w:t>
      </w:r>
    </w:p>
    <w:bookmarkEnd w:id="10"/>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02718B1B" w14:textId="2F5DEE39" w:rsidR="00780B81" w:rsidRPr="00780B81" w:rsidRDefault="00780B81" w:rsidP="006E03C5">
      <w:pPr>
        <w:rPr>
          <w:b/>
          <w:bCs/>
        </w:rPr>
      </w:pPr>
      <w:r w:rsidRPr="00780B81">
        <w:rPr>
          <w:b/>
          <w:bCs/>
        </w:rPr>
        <w:t xml:space="preserve">Table </w:t>
      </w:r>
      <w:r w:rsidR="0020718F">
        <w:rPr>
          <w:rFonts w:hint="eastAsia"/>
          <w:b/>
          <w:bCs/>
        </w:rPr>
        <w:t>4</w:t>
      </w:r>
      <w:r w:rsidRPr="00780B81">
        <w:rPr>
          <w:b/>
          <w:bCs/>
        </w:rPr>
        <w:t xml:space="preserve">. Subgroup </w:t>
      </w:r>
      <w:bookmarkStart w:id="41" w:name="OLE_LINK46"/>
      <w:r w:rsidRPr="00780B81">
        <w:rPr>
          <w:b/>
          <w:bCs/>
        </w:rPr>
        <w:t>Analyses of the Pooled Post-Intervention Effect</w:t>
      </w:r>
      <w:bookmarkEnd w:id="41"/>
      <w:r w:rsidRPr="00780B81">
        <w:rPr>
          <w:b/>
          <w:bCs/>
        </w:rPr>
        <w:t xml:space="preserve"> (</w:t>
      </w:r>
      <w:r w:rsidRPr="00780B81">
        <w:rPr>
          <w:b/>
          <w:bCs/>
          <w:i/>
          <w:iCs/>
        </w:rPr>
        <w:t>k</w:t>
      </w:r>
      <w:r w:rsidRPr="00780B81">
        <w:rPr>
          <w:b/>
          <w:bCs/>
        </w:rPr>
        <w:t xml:space="preserve"> = 14)</w:t>
      </w:r>
    </w:p>
    <w:p w14:paraId="77B8771A" w14:textId="77777777" w:rsidR="00474714" w:rsidRDefault="00474714" w:rsidP="006E03C5"/>
    <w:tbl>
      <w:tblPr>
        <w:tblW w:w="9360" w:type="dxa"/>
        <w:jc w:val="center"/>
        <w:tblBorders>
          <w:top w:val="single" w:sz="12" w:space="0" w:color="auto"/>
          <w:bottom w:val="single" w:sz="12" w:space="0" w:color="auto"/>
        </w:tblBorders>
        <w:tblLook w:val="04A0" w:firstRow="1" w:lastRow="0" w:firstColumn="1" w:lastColumn="0" w:noHBand="0" w:noVBand="1"/>
      </w:tblPr>
      <w:tblGrid>
        <w:gridCol w:w="1570"/>
        <w:gridCol w:w="1205"/>
        <w:gridCol w:w="1144"/>
        <w:gridCol w:w="472"/>
        <w:gridCol w:w="961"/>
        <w:gridCol w:w="1165"/>
        <w:gridCol w:w="836"/>
        <w:gridCol w:w="1028"/>
        <w:gridCol w:w="979"/>
      </w:tblGrid>
      <w:tr w:rsidR="00780B81" w:rsidRPr="004D506F" w14:paraId="16325CA3" w14:textId="77777777" w:rsidTr="009114F9">
        <w:trPr>
          <w:trHeight w:hRule="exact" w:val="1418"/>
          <w:jc w:val="center"/>
        </w:trPr>
        <w:tc>
          <w:tcPr>
            <w:tcW w:w="1570" w:type="dxa"/>
            <w:tcBorders>
              <w:top w:val="single" w:sz="8" w:space="0" w:color="auto"/>
              <w:bottom w:val="single" w:sz="4" w:space="0" w:color="auto"/>
            </w:tcBorders>
            <w:shd w:val="clear" w:color="auto" w:fill="auto"/>
            <w:noWrap/>
            <w:vAlign w:val="center"/>
            <w:hideMark/>
          </w:tcPr>
          <w:p w14:paraId="6736C5C7" w14:textId="77777777" w:rsidR="00474714" w:rsidRPr="004D506F" w:rsidRDefault="00474714" w:rsidP="004861BD">
            <w:pPr>
              <w:widowControl/>
              <w:rPr>
                <w:rFonts w:eastAsia="DengXian"/>
                <w:b/>
                <w:bCs/>
                <w:color w:val="000000"/>
              </w:rPr>
            </w:pPr>
            <w:bookmarkStart w:id="42" w:name="OLE_LINK38"/>
            <w:r w:rsidRPr="004D506F">
              <w:rPr>
                <w:rFonts w:eastAsia="DengXian"/>
                <w:b/>
                <w:bCs/>
                <w:color w:val="000000"/>
              </w:rPr>
              <w:t>Tier</w:t>
            </w:r>
          </w:p>
        </w:tc>
        <w:tc>
          <w:tcPr>
            <w:tcW w:w="1203" w:type="dxa"/>
            <w:tcBorders>
              <w:top w:val="single" w:sz="8" w:space="0" w:color="auto"/>
              <w:bottom w:val="single" w:sz="4" w:space="0" w:color="auto"/>
            </w:tcBorders>
            <w:shd w:val="clear" w:color="auto" w:fill="auto"/>
            <w:noWrap/>
            <w:vAlign w:val="center"/>
            <w:hideMark/>
          </w:tcPr>
          <w:p w14:paraId="3B4E57E2" w14:textId="77777777" w:rsidR="00474714" w:rsidRPr="004D506F" w:rsidRDefault="00474714" w:rsidP="004861BD">
            <w:pPr>
              <w:widowControl/>
              <w:rPr>
                <w:rFonts w:eastAsia="DengXian"/>
                <w:b/>
                <w:bCs/>
                <w:color w:val="000000"/>
              </w:rPr>
            </w:pPr>
            <w:r w:rsidRPr="004D506F">
              <w:rPr>
                <w:rFonts w:eastAsia="DengXian"/>
                <w:b/>
                <w:bCs/>
                <w:color w:val="000000"/>
              </w:rPr>
              <w:t>Subgroup variable</w:t>
            </w:r>
          </w:p>
        </w:tc>
        <w:tc>
          <w:tcPr>
            <w:tcW w:w="1143" w:type="dxa"/>
            <w:tcBorders>
              <w:top w:val="single" w:sz="8" w:space="0" w:color="auto"/>
              <w:bottom w:val="single" w:sz="4" w:space="0" w:color="auto"/>
            </w:tcBorders>
            <w:shd w:val="clear" w:color="auto" w:fill="auto"/>
            <w:noWrap/>
            <w:vAlign w:val="center"/>
            <w:hideMark/>
          </w:tcPr>
          <w:p w14:paraId="478E44DB" w14:textId="77777777" w:rsidR="00474714" w:rsidRPr="004D506F" w:rsidRDefault="00474714" w:rsidP="004861BD">
            <w:pPr>
              <w:widowControl/>
              <w:rPr>
                <w:rFonts w:eastAsia="DengXian"/>
                <w:b/>
                <w:bCs/>
                <w:color w:val="000000"/>
              </w:rPr>
            </w:pPr>
            <w:r w:rsidRPr="004D506F">
              <w:rPr>
                <w:rFonts w:eastAsia="DengXian"/>
                <w:b/>
                <w:bCs/>
                <w:color w:val="000000"/>
              </w:rPr>
              <w:t>Level</w:t>
            </w:r>
          </w:p>
        </w:tc>
        <w:tc>
          <w:tcPr>
            <w:tcW w:w="472" w:type="dxa"/>
            <w:tcBorders>
              <w:top w:val="single" w:sz="8" w:space="0" w:color="auto"/>
              <w:bottom w:val="single" w:sz="4" w:space="0" w:color="auto"/>
            </w:tcBorders>
            <w:shd w:val="clear" w:color="auto" w:fill="auto"/>
            <w:noWrap/>
            <w:vAlign w:val="center"/>
            <w:hideMark/>
          </w:tcPr>
          <w:p w14:paraId="37F45189" w14:textId="77777777" w:rsidR="00474714" w:rsidRPr="004D506F" w:rsidRDefault="00474714" w:rsidP="004861BD">
            <w:pPr>
              <w:widowControl/>
              <w:rPr>
                <w:rFonts w:eastAsia="DengXian"/>
                <w:b/>
                <w:bCs/>
                <w:color w:val="000000"/>
              </w:rPr>
            </w:pPr>
            <w:r w:rsidRPr="004D506F">
              <w:rPr>
                <w:rFonts w:eastAsia="DengXian"/>
                <w:b/>
                <w:bCs/>
                <w:color w:val="000000"/>
              </w:rPr>
              <w:t>k</w:t>
            </w:r>
          </w:p>
        </w:tc>
        <w:tc>
          <w:tcPr>
            <w:tcW w:w="960" w:type="dxa"/>
            <w:tcBorders>
              <w:top w:val="single" w:sz="8" w:space="0" w:color="auto"/>
              <w:bottom w:val="single" w:sz="4" w:space="0" w:color="auto"/>
            </w:tcBorders>
            <w:shd w:val="clear" w:color="auto" w:fill="auto"/>
            <w:noWrap/>
            <w:vAlign w:val="center"/>
            <w:hideMark/>
          </w:tcPr>
          <w:p w14:paraId="32E8D5A7" w14:textId="77777777" w:rsidR="00474714" w:rsidRPr="004D506F" w:rsidRDefault="00474714" w:rsidP="004861BD">
            <w:pPr>
              <w:widowControl/>
              <w:rPr>
                <w:rFonts w:eastAsia="DengXian"/>
                <w:b/>
                <w:bCs/>
                <w:color w:val="000000"/>
              </w:rPr>
            </w:pPr>
            <w:r w:rsidRPr="004D506F">
              <w:rPr>
                <w:rFonts w:eastAsia="DengXian"/>
                <w:b/>
                <w:bCs/>
                <w:color w:val="000000"/>
              </w:rPr>
              <w:t>Hedges' g</w:t>
            </w:r>
          </w:p>
        </w:tc>
        <w:tc>
          <w:tcPr>
            <w:tcW w:w="1166" w:type="dxa"/>
            <w:tcBorders>
              <w:top w:val="single" w:sz="8" w:space="0" w:color="auto"/>
              <w:bottom w:val="single" w:sz="4" w:space="0" w:color="auto"/>
            </w:tcBorders>
            <w:shd w:val="clear" w:color="auto" w:fill="auto"/>
            <w:noWrap/>
            <w:vAlign w:val="center"/>
            <w:hideMark/>
          </w:tcPr>
          <w:p w14:paraId="29593C30" w14:textId="77777777" w:rsidR="00474714" w:rsidRPr="004D506F" w:rsidRDefault="00474714" w:rsidP="004861BD">
            <w:pPr>
              <w:widowControl/>
              <w:rPr>
                <w:rFonts w:eastAsia="DengXian"/>
                <w:b/>
                <w:bCs/>
                <w:color w:val="000000"/>
              </w:rPr>
            </w:pPr>
            <w:r w:rsidRPr="004D506F">
              <w:rPr>
                <w:rFonts w:eastAsia="DengXian"/>
                <w:b/>
                <w:bCs/>
                <w:color w:val="000000"/>
              </w:rPr>
              <w:t>95% CI</w:t>
            </w:r>
          </w:p>
        </w:tc>
        <w:tc>
          <w:tcPr>
            <w:tcW w:w="837" w:type="dxa"/>
            <w:tcBorders>
              <w:top w:val="single" w:sz="8" w:space="0" w:color="auto"/>
              <w:bottom w:val="single" w:sz="4" w:space="0" w:color="auto"/>
            </w:tcBorders>
            <w:shd w:val="clear" w:color="auto" w:fill="auto"/>
            <w:noWrap/>
            <w:vAlign w:val="center"/>
            <w:hideMark/>
          </w:tcPr>
          <w:p w14:paraId="5F66D314"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sz w:val="20"/>
                <w:szCs w:val="20"/>
                <w:vertAlign w:val="subscript"/>
              </w:rPr>
              <w:t>within</w:t>
            </w:r>
          </w:p>
        </w:tc>
        <w:tc>
          <w:tcPr>
            <w:tcW w:w="1029" w:type="dxa"/>
            <w:tcBorders>
              <w:top w:val="single" w:sz="8" w:space="0" w:color="auto"/>
              <w:bottom w:val="single" w:sz="4" w:space="0" w:color="auto"/>
            </w:tcBorders>
            <w:shd w:val="clear" w:color="auto" w:fill="auto"/>
            <w:noWrap/>
            <w:vAlign w:val="center"/>
            <w:hideMark/>
          </w:tcPr>
          <w:p w14:paraId="06BC97B6" w14:textId="77777777" w:rsidR="00474714" w:rsidRPr="004D506F" w:rsidRDefault="00474714" w:rsidP="004861BD">
            <w:pPr>
              <w:widowControl/>
              <w:rPr>
                <w:rFonts w:eastAsia="DengXian"/>
                <w:b/>
                <w:bCs/>
                <w:color w:val="000000"/>
              </w:rPr>
            </w:pPr>
            <w:r w:rsidRPr="004D506F">
              <w:rPr>
                <w:rFonts w:eastAsia="DengXian"/>
                <w:b/>
                <w:bCs/>
                <w:i/>
                <w:iCs/>
                <w:color w:val="000000"/>
              </w:rPr>
              <w:t>I</w:t>
            </w:r>
            <w:r w:rsidRPr="004D506F">
              <w:rPr>
                <w:rFonts w:eastAsia="DengXian" w:hint="eastAsia"/>
                <w:b/>
                <w:bCs/>
                <w:color w:val="000000"/>
                <w:vertAlign w:val="superscript"/>
              </w:rPr>
              <w:t>2</w:t>
            </w:r>
            <w:r w:rsidRPr="004D506F">
              <w:rPr>
                <w:rFonts w:eastAsia="DengXian"/>
                <w:b/>
                <w:bCs/>
                <w:color w:val="000000"/>
              </w:rPr>
              <w:t xml:space="preserve"> [95% CI]</w:t>
            </w:r>
          </w:p>
        </w:tc>
        <w:tc>
          <w:tcPr>
            <w:tcW w:w="980" w:type="dxa"/>
            <w:tcBorders>
              <w:top w:val="single" w:sz="8" w:space="0" w:color="auto"/>
              <w:bottom w:val="single" w:sz="4" w:space="0" w:color="auto"/>
            </w:tcBorders>
            <w:shd w:val="clear" w:color="auto" w:fill="auto"/>
            <w:noWrap/>
            <w:vAlign w:val="center"/>
            <w:hideMark/>
          </w:tcPr>
          <w:p w14:paraId="0C14D4BF"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vertAlign w:val="subscript"/>
              </w:rPr>
              <w:t>between</w:t>
            </w:r>
          </w:p>
        </w:tc>
      </w:tr>
      <w:tr w:rsidR="00780B81" w:rsidRPr="004D506F" w14:paraId="6D8F3AC2" w14:textId="77777777" w:rsidTr="009114F9">
        <w:trPr>
          <w:trHeight w:hRule="exact" w:val="1418"/>
          <w:jc w:val="center"/>
        </w:trPr>
        <w:tc>
          <w:tcPr>
            <w:tcW w:w="1570" w:type="dxa"/>
            <w:vMerge w:val="restart"/>
            <w:tcBorders>
              <w:top w:val="single" w:sz="4" w:space="0" w:color="auto"/>
              <w:bottom w:val="nil"/>
            </w:tcBorders>
            <w:shd w:val="clear" w:color="auto" w:fill="auto"/>
            <w:noWrap/>
            <w:vAlign w:val="center"/>
            <w:hideMark/>
          </w:tcPr>
          <w:p w14:paraId="04CF46D5" w14:textId="77777777" w:rsidR="00474714" w:rsidRPr="004D506F" w:rsidRDefault="00474714" w:rsidP="004861BD">
            <w:pPr>
              <w:widowControl/>
              <w:rPr>
                <w:rFonts w:eastAsia="DengXian"/>
                <w:color w:val="000000"/>
              </w:rPr>
            </w:pPr>
            <w:r w:rsidRPr="004D506F">
              <w:rPr>
                <w:rFonts w:eastAsia="DengXian"/>
                <w:color w:val="000000"/>
              </w:rPr>
              <w:t>Confirmatory</w:t>
            </w:r>
          </w:p>
          <w:p w14:paraId="25188400" w14:textId="647BFF6C" w:rsidR="00474714" w:rsidRPr="004D506F" w:rsidRDefault="00474714" w:rsidP="004861BD">
            <w:pPr>
              <w:rPr>
                <w:rFonts w:eastAsia="DengXian"/>
                <w:color w:val="000000"/>
              </w:rPr>
            </w:pPr>
          </w:p>
        </w:tc>
        <w:tc>
          <w:tcPr>
            <w:tcW w:w="1203" w:type="dxa"/>
            <w:vMerge w:val="restart"/>
            <w:tcBorders>
              <w:top w:val="single" w:sz="4" w:space="0" w:color="auto"/>
              <w:bottom w:val="nil"/>
            </w:tcBorders>
            <w:shd w:val="clear" w:color="auto" w:fill="auto"/>
            <w:noWrap/>
            <w:vAlign w:val="center"/>
            <w:hideMark/>
          </w:tcPr>
          <w:p w14:paraId="388CC2FA" w14:textId="447E6072" w:rsidR="00474714" w:rsidRPr="004D506F" w:rsidRDefault="00474714" w:rsidP="00474714">
            <w:pPr>
              <w:widowControl/>
              <w:rPr>
                <w:rFonts w:eastAsia="DengXian"/>
                <w:color w:val="000000"/>
              </w:rPr>
            </w:pPr>
            <w:r w:rsidRPr="004D506F">
              <w:rPr>
                <w:rFonts w:eastAsia="DengXian"/>
                <w:color w:val="000000"/>
              </w:rPr>
              <w:t>Control type</w:t>
            </w:r>
          </w:p>
        </w:tc>
        <w:tc>
          <w:tcPr>
            <w:tcW w:w="1143" w:type="dxa"/>
            <w:tcBorders>
              <w:top w:val="single" w:sz="4" w:space="0" w:color="auto"/>
              <w:bottom w:val="nil"/>
            </w:tcBorders>
            <w:shd w:val="clear" w:color="auto" w:fill="auto"/>
            <w:noWrap/>
            <w:vAlign w:val="center"/>
            <w:hideMark/>
          </w:tcPr>
          <w:p w14:paraId="0B20B588" w14:textId="77777777" w:rsidR="00474714" w:rsidRPr="004D506F" w:rsidRDefault="00474714" w:rsidP="004861BD">
            <w:pPr>
              <w:widowControl/>
              <w:rPr>
                <w:rFonts w:eastAsia="DengXian"/>
                <w:color w:val="000000"/>
              </w:rPr>
            </w:pPr>
            <w:r w:rsidRPr="004D506F">
              <w:rPr>
                <w:rFonts w:eastAsia="DengXian"/>
                <w:color w:val="000000"/>
              </w:rPr>
              <w:t>Passive</w:t>
            </w:r>
          </w:p>
        </w:tc>
        <w:tc>
          <w:tcPr>
            <w:tcW w:w="472" w:type="dxa"/>
            <w:tcBorders>
              <w:top w:val="single" w:sz="4" w:space="0" w:color="auto"/>
              <w:bottom w:val="nil"/>
            </w:tcBorders>
            <w:shd w:val="clear" w:color="auto" w:fill="auto"/>
            <w:noWrap/>
            <w:vAlign w:val="center"/>
            <w:hideMark/>
          </w:tcPr>
          <w:p w14:paraId="00E0EB8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single" w:sz="4" w:space="0" w:color="auto"/>
              <w:bottom w:val="nil"/>
            </w:tcBorders>
            <w:shd w:val="clear" w:color="auto" w:fill="auto"/>
            <w:noWrap/>
            <w:vAlign w:val="center"/>
            <w:hideMark/>
          </w:tcPr>
          <w:p w14:paraId="4FB8CB66" w14:textId="77777777" w:rsidR="00474714" w:rsidRPr="004D506F" w:rsidRDefault="00474714" w:rsidP="004861BD">
            <w:pPr>
              <w:widowControl/>
              <w:jc w:val="right"/>
              <w:rPr>
                <w:rFonts w:eastAsia="DengXian"/>
                <w:color w:val="000000"/>
              </w:rPr>
            </w:pPr>
            <w:r w:rsidRPr="004D506F">
              <w:rPr>
                <w:rFonts w:eastAsia="DengXian"/>
                <w:color w:val="000000"/>
              </w:rPr>
              <w:t>0.35</w:t>
            </w:r>
          </w:p>
        </w:tc>
        <w:tc>
          <w:tcPr>
            <w:tcW w:w="1166" w:type="dxa"/>
            <w:tcBorders>
              <w:top w:val="single" w:sz="4" w:space="0" w:color="auto"/>
              <w:bottom w:val="nil"/>
            </w:tcBorders>
            <w:shd w:val="clear" w:color="auto" w:fill="auto"/>
            <w:noWrap/>
            <w:vAlign w:val="center"/>
            <w:hideMark/>
          </w:tcPr>
          <w:p w14:paraId="7F5FDFB8" w14:textId="77777777" w:rsidR="00474714" w:rsidRPr="004D506F" w:rsidRDefault="00474714" w:rsidP="004861BD">
            <w:pPr>
              <w:widowControl/>
              <w:rPr>
                <w:rFonts w:eastAsia="DengXian"/>
                <w:color w:val="000000"/>
              </w:rPr>
            </w:pPr>
            <w:r w:rsidRPr="004D506F">
              <w:rPr>
                <w:rFonts w:eastAsia="DengXian"/>
                <w:color w:val="000000"/>
              </w:rPr>
              <w:t>[-0.13, 0.83]</w:t>
            </w:r>
          </w:p>
        </w:tc>
        <w:tc>
          <w:tcPr>
            <w:tcW w:w="837" w:type="dxa"/>
            <w:tcBorders>
              <w:top w:val="single" w:sz="4" w:space="0" w:color="auto"/>
              <w:bottom w:val="nil"/>
            </w:tcBorders>
            <w:shd w:val="clear" w:color="auto" w:fill="auto"/>
            <w:noWrap/>
            <w:vAlign w:val="center"/>
            <w:hideMark/>
          </w:tcPr>
          <w:p w14:paraId="1C168F15" w14:textId="27301C90" w:rsidR="00474714" w:rsidRPr="004D506F" w:rsidRDefault="00474714" w:rsidP="004861BD">
            <w:pPr>
              <w:widowControl/>
              <w:jc w:val="right"/>
              <w:rPr>
                <w:rFonts w:eastAsia="DengXian"/>
                <w:color w:val="000000"/>
              </w:rPr>
            </w:pPr>
            <w:r w:rsidRPr="004D506F">
              <w:rPr>
                <w:rFonts w:eastAsia="DengXian"/>
                <w:color w:val="000000"/>
              </w:rPr>
              <w:t>.123</w:t>
            </w:r>
          </w:p>
        </w:tc>
        <w:tc>
          <w:tcPr>
            <w:tcW w:w="1029" w:type="dxa"/>
            <w:tcBorders>
              <w:top w:val="single" w:sz="4" w:space="0" w:color="auto"/>
              <w:bottom w:val="nil"/>
            </w:tcBorders>
            <w:shd w:val="clear" w:color="auto" w:fill="auto"/>
            <w:noWrap/>
            <w:vAlign w:val="center"/>
            <w:hideMark/>
          </w:tcPr>
          <w:p w14:paraId="287BC836" w14:textId="77777777" w:rsidR="00474714" w:rsidRPr="004D506F" w:rsidRDefault="00474714" w:rsidP="004861BD">
            <w:pPr>
              <w:widowControl/>
              <w:rPr>
                <w:rFonts w:eastAsia="DengXian"/>
                <w:color w:val="000000"/>
              </w:rPr>
            </w:pPr>
            <w:r w:rsidRPr="004D506F">
              <w:rPr>
                <w:rFonts w:eastAsia="DengXian"/>
                <w:color w:val="000000"/>
              </w:rPr>
              <w:t>79.0% [56.7, 89.8]</w:t>
            </w:r>
          </w:p>
        </w:tc>
        <w:tc>
          <w:tcPr>
            <w:tcW w:w="980" w:type="dxa"/>
            <w:tcBorders>
              <w:top w:val="single" w:sz="4" w:space="0" w:color="auto"/>
              <w:bottom w:val="nil"/>
            </w:tcBorders>
            <w:shd w:val="clear" w:color="auto" w:fill="auto"/>
            <w:noWrap/>
            <w:vAlign w:val="center"/>
            <w:hideMark/>
          </w:tcPr>
          <w:p w14:paraId="2FBC8035" w14:textId="2308F2B8" w:rsidR="00474714" w:rsidRPr="004D506F" w:rsidRDefault="00474714" w:rsidP="004861BD">
            <w:pPr>
              <w:widowControl/>
              <w:jc w:val="right"/>
              <w:rPr>
                <w:rFonts w:eastAsia="DengXian"/>
                <w:color w:val="000000"/>
              </w:rPr>
            </w:pPr>
            <w:r w:rsidRPr="004D506F">
              <w:rPr>
                <w:rFonts w:eastAsia="DengXian"/>
                <w:color w:val="000000"/>
              </w:rPr>
              <w:t>.499</w:t>
            </w:r>
          </w:p>
        </w:tc>
      </w:tr>
      <w:tr w:rsidR="00780B81" w:rsidRPr="004D506F" w14:paraId="1E415BE8" w14:textId="77777777" w:rsidTr="009114F9">
        <w:trPr>
          <w:trHeight w:hRule="exact" w:val="1418"/>
          <w:jc w:val="center"/>
        </w:trPr>
        <w:tc>
          <w:tcPr>
            <w:tcW w:w="1570" w:type="dxa"/>
            <w:vMerge/>
            <w:tcBorders>
              <w:top w:val="nil"/>
              <w:bottom w:val="nil"/>
            </w:tcBorders>
            <w:shd w:val="clear" w:color="auto" w:fill="auto"/>
            <w:noWrap/>
            <w:vAlign w:val="center"/>
            <w:hideMark/>
          </w:tcPr>
          <w:p w14:paraId="2ACE0596" w14:textId="6A1A0F71" w:rsidR="00474714" w:rsidRPr="004D506F" w:rsidRDefault="00474714" w:rsidP="004861BD">
            <w:pPr>
              <w:rPr>
                <w:rFonts w:eastAsia="DengXian"/>
                <w:color w:val="000000"/>
              </w:rPr>
            </w:pPr>
          </w:p>
        </w:tc>
        <w:tc>
          <w:tcPr>
            <w:tcW w:w="1203" w:type="dxa"/>
            <w:vMerge/>
            <w:tcBorders>
              <w:top w:val="nil"/>
              <w:bottom w:val="nil"/>
            </w:tcBorders>
            <w:shd w:val="clear" w:color="auto" w:fill="auto"/>
            <w:noWrap/>
            <w:vAlign w:val="center"/>
            <w:hideMark/>
          </w:tcPr>
          <w:p w14:paraId="3CB90E8E" w14:textId="650E1C83" w:rsidR="00474714" w:rsidRPr="004D506F" w:rsidRDefault="00474714" w:rsidP="004861BD">
            <w:pPr>
              <w:widowControl/>
              <w:rPr>
                <w:rFonts w:eastAsia="DengXian"/>
                <w:color w:val="000000"/>
              </w:rPr>
            </w:pPr>
          </w:p>
        </w:tc>
        <w:tc>
          <w:tcPr>
            <w:tcW w:w="1143" w:type="dxa"/>
            <w:tcBorders>
              <w:top w:val="nil"/>
              <w:bottom w:val="nil"/>
            </w:tcBorders>
            <w:shd w:val="clear" w:color="auto" w:fill="auto"/>
            <w:noWrap/>
            <w:vAlign w:val="center"/>
            <w:hideMark/>
          </w:tcPr>
          <w:p w14:paraId="227026DE" w14:textId="77777777" w:rsidR="00474714" w:rsidRPr="004D506F" w:rsidRDefault="00474714" w:rsidP="004861BD">
            <w:pPr>
              <w:widowControl/>
              <w:rPr>
                <w:rFonts w:eastAsia="DengXian"/>
                <w:color w:val="000000"/>
              </w:rPr>
            </w:pPr>
            <w:r w:rsidRPr="004D506F">
              <w:rPr>
                <w:rFonts w:eastAsia="DengXian"/>
                <w:color w:val="000000"/>
              </w:rPr>
              <w:t>Minimally active</w:t>
            </w:r>
          </w:p>
        </w:tc>
        <w:tc>
          <w:tcPr>
            <w:tcW w:w="472" w:type="dxa"/>
            <w:tcBorders>
              <w:top w:val="nil"/>
              <w:bottom w:val="nil"/>
            </w:tcBorders>
            <w:shd w:val="clear" w:color="auto" w:fill="auto"/>
            <w:noWrap/>
            <w:vAlign w:val="center"/>
            <w:hideMark/>
          </w:tcPr>
          <w:p w14:paraId="438FDED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nil"/>
              <w:bottom w:val="nil"/>
            </w:tcBorders>
            <w:shd w:val="clear" w:color="auto" w:fill="auto"/>
            <w:noWrap/>
            <w:vAlign w:val="center"/>
            <w:hideMark/>
          </w:tcPr>
          <w:p w14:paraId="016520A0"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tcBorders>
              <w:top w:val="nil"/>
              <w:bottom w:val="nil"/>
            </w:tcBorders>
            <w:shd w:val="clear" w:color="auto" w:fill="auto"/>
            <w:noWrap/>
            <w:vAlign w:val="center"/>
            <w:hideMark/>
          </w:tcPr>
          <w:p w14:paraId="1FA13BEC" w14:textId="77777777" w:rsidR="00474714" w:rsidRPr="004D506F" w:rsidRDefault="00474714" w:rsidP="004861BD">
            <w:pPr>
              <w:widowControl/>
              <w:rPr>
                <w:rFonts w:eastAsia="DengXian"/>
                <w:color w:val="000000"/>
              </w:rPr>
            </w:pPr>
            <w:r w:rsidRPr="004D506F">
              <w:rPr>
                <w:rFonts w:eastAsia="DengXian"/>
                <w:color w:val="000000"/>
              </w:rPr>
              <w:t>[0.05, 0.37]</w:t>
            </w:r>
          </w:p>
        </w:tc>
        <w:tc>
          <w:tcPr>
            <w:tcW w:w="837" w:type="dxa"/>
            <w:tcBorders>
              <w:top w:val="nil"/>
              <w:bottom w:val="nil"/>
            </w:tcBorders>
            <w:shd w:val="clear" w:color="auto" w:fill="auto"/>
            <w:noWrap/>
            <w:vAlign w:val="center"/>
            <w:hideMark/>
          </w:tcPr>
          <w:p w14:paraId="07847D25" w14:textId="7BC48578" w:rsidR="00474714" w:rsidRPr="004D506F" w:rsidRDefault="00474714" w:rsidP="004861BD">
            <w:pPr>
              <w:widowControl/>
              <w:jc w:val="right"/>
              <w:rPr>
                <w:rFonts w:eastAsia="DengXian"/>
                <w:color w:val="000000"/>
              </w:rPr>
            </w:pPr>
            <w:r w:rsidRPr="004D506F">
              <w:rPr>
                <w:rFonts w:eastAsia="DengXian"/>
                <w:color w:val="000000"/>
              </w:rPr>
              <w:t>.019</w:t>
            </w:r>
          </w:p>
        </w:tc>
        <w:tc>
          <w:tcPr>
            <w:tcW w:w="2009" w:type="dxa"/>
            <w:gridSpan w:val="2"/>
            <w:tcBorders>
              <w:top w:val="nil"/>
              <w:bottom w:val="nil"/>
            </w:tcBorders>
            <w:shd w:val="clear" w:color="auto" w:fill="auto"/>
            <w:noWrap/>
            <w:vAlign w:val="center"/>
            <w:hideMark/>
          </w:tcPr>
          <w:p w14:paraId="00C19A19" w14:textId="77777777" w:rsidR="00474714" w:rsidRPr="004D506F" w:rsidRDefault="00474714" w:rsidP="004861BD">
            <w:pPr>
              <w:widowControl/>
              <w:rPr>
                <w:rFonts w:eastAsia="DengXian"/>
                <w:color w:val="000000"/>
              </w:rPr>
            </w:pPr>
            <w:r w:rsidRPr="004D506F">
              <w:rPr>
                <w:rFonts w:eastAsia="DengXian"/>
                <w:color w:val="000000"/>
              </w:rPr>
              <w:t>10.2% [0.0, 73.8]</w:t>
            </w:r>
          </w:p>
        </w:tc>
      </w:tr>
      <w:tr w:rsidR="00C87740" w:rsidRPr="004D506F" w14:paraId="2803E88F" w14:textId="77777777" w:rsidTr="009114F9">
        <w:trPr>
          <w:trHeight w:hRule="exact" w:val="1418"/>
          <w:jc w:val="center"/>
        </w:trPr>
        <w:tc>
          <w:tcPr>
            <w:tcW w:w="1570" w:type="dxa"/>
            <w:vMerge/>
            <w:tcBorders>
              <w:top w:val="nil"/>
              <w:bottom w:val="nil"/>
            </w:tcBorders>
            <w:shd w:val="clear" w:color="auto" w:fill="auto"/>
            <w:noWrap/>
            <w:vAlign w:val="center"/>
            <w:hideMark/>
          </w:tcPr>
          <w:p w14:paraId="4C6F928F" w14:textId="22A3CB32" w:rsidR="00474714" w:rsidRPr="004D506F" w:rsidRDefault="00474714" w:rsidP="004861BD">
            <w:pPr>
              <w:rPr>
                <w:rFonts w:eastAsia="DengXian"/>
                <w:color w:val="000000"/>
              </w:rPr>
            </w:pPr>
          </w:p>
        </w:tc>
        <w:tc>
          <w:tcPr>
            <w:tcW w:w="1203" w:type="dxa"/>
            <w:vMerge w:val="restart"/>
            <w:tcBorders>
              <w:top w:val="nil"/>
              <w:bottom w:val="nil"/>
            </w:tcBorders>
            <w:shd w:val="clear" w:color="auto" w:fill="auto"/>
            <w:noWrap/>
            <w:vAlign w:val="center"/>
            <w:hideMark/>
          </w:tcPr>
          <w:p w14:paraId="2330EFD5" w14:textId="77777777" w:rsidR="00474714" w:rsidRPr="004D506F" w:rsidRDefault="00474714" w:rsidP="004861BD">
            <w:pPr>
              <w:widowControl/>
              <w:rPr>
                <w:rFonts w:eastAsia="DengXian"/>
                <w:color w:val="000000"/>
              </w:rPr>
            </w:pPr>
            <w:r w:rsidRPr="004D506F">
              <w:rPr>
                <w:rFonts w:eastAsia="DengXian"/>
                <w:color w:val="000000"/>
              </w:rPr>
              <w:t>Baseline severity</w:t>
            </w:r>
          </w:p>
          <w:p w14:paraId="6F565947" w14:textId="651ECD95" w:rsidR="00474714" w:rsidRPr="004D506F" w:rsidRDefault="00474714" w:rsidP="004861BD">
            <w:pPr>
              <w:rPr>
                <w:rFonts w:eastAsia="DengXian"/>
                <w:color w:val="000000"/>
              </w:rPr>
            </w:pPr>
          </w:p>
        </w:tc>
        <w:tc>
          <w:tcPr>
            <w:tcW w:w="1143" w:type="dxa"/>
            <w:tcBorders>
              <w:top w:val="nil"/>
              <w:bottom w:val="nil"/>
            </w:tcBorders>
            <w:shd w:val="clear" w:color="auto" w:fill="auto"/>
            <w:noWrap/>
            <w:vAlign w:val="center"/>
            <w:hideMark/>
          </w:tcPr>
          <w:p w14:paraId="5EABF71F" w14:textId="77777777" w:rsidR="00474714" w:rsidRPr="004D506F" w:rsidRDefault="00474714" w:rsidP="004861BD">
            <w:pPr>
              <w:widowControl/>
              <w:rPr>
                <w:rFonts w:eastAsia="DengXian"/>
                <w:color w:val="000000"/>
              </w:rPr>
            </w:pPr>
            <w:r w:rsidRPr="004D506F">
              <w:rPr>
                <w:rFonts w:eastAsia="DengXian"/>
                <w:color w:val="000000"/>
              </w:rPr>
              <w:t>Low</w:t>
            </w:r>
          </w:p>
        </w:tc>
        <w:tc>
          <w:tcPr>
            <w:tcW w:w="472" w:type="dxa"/>
            <w:tcBorders>
              <w:top w:val="nil"/>
              <w:bottom w:val="nil"/>
            </w:tcBorders>
            <w:shd w:val="clear" w:color="auto" w:fill="auto"/>
            <w:noWrap/>
            <w:vAlign w:val="center"/>
            <w:hideMark/>
          </w:tcPr>
          <w:p w14:paraId="063443B2"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nil"/>
              <w:bottom w:val="nil"/>
            </w:tcBorders>
            <w:shd w:val="clear" w:color="auto" w:fill="auto"/>
            <w:noWrap/>
            <w:vAlign w:val="center"/>
            <w:hideMark/>
          </w:tcPr>
          <w:p w14:paraId="1E15B891" w14:textId="77777777" w:rsidR="00474714" w:rsidRPr="004D506F" w:rsidRDefault="00474714" w:rsidP="004861BD">
            <w:pPr>
              <w:widowControl/>
              <w:jc w:val="right"/>
              <w:rPr>
                <w:rFonts w:eastAsia="DengXian"/>
                <w:color w:val="000000"/>
              </w:rPr>
            </w:pPr>
            <w:r w:rsidRPr="004D506F">
              <w:rPr>
                <w:rFonts w:eastAsia="DengXian"/>
                <w:color w:val="000000"/>
              </w:rPr>
              <w:t>0.27</w:t>
            </w:r>
          </w:p>
        </w:tc>
        <w:tc>
          <w:tcPr>
            <w:tcW w:w="1166" w:type="dxa"/>
            <w:tcBorders>
              <w:top w:val="nil"/>
              <w:bottom w:val="nil"/>
            </w:tcBorders>
            <w:shd w:val="clear" w:color="auto" w:fill="auto"/>
            <w:noWrap/>
            <w:vAlign w:val="center"/>
            <w:hideMark/>
          </w:tcPr>
          <w:p w14:paraId="42564F4B" w14:textId="77777777" w:rsidR="00474714" w:rsidRPr="004D506F" w:rsidRDefault="00474714" w:rsidP="004861BD">
            <w:pPr>
              <w:widowControl/>
              <w:rPr>
                <w:rFonts w:eastAsia="DengXian"/>
                <w:color w:val="000000"/>
              </w:rPr>
            </w:pPr>
            <w:r w:rsidRPr="004D506F">
              <w:rPr>
                <w:rFonts w:eastAsia="DengXian"/>
                <w:color w:val="000000"/>
              </w:rPr>
              <w:t>[0.05, 0.49]</w:t>
            </w:r>
          </w:p>
        </w:tc>
        <w:tc>
          <w:tcPr>
            <w:tcW w:w="837" w:type="dxa"/>
            <w:tcBorders>
              <w:top w:val="nil"/>
              <w:bottom w:val="nil"/>
            </w:tcBorders>
            <w:shd w:val="clear" w:color="auto" w:fill="auto"/>
            <w:noWrap/>
            <w:vAlign w:val="center"/>
            <w:hideMark/>
          </w:tcPr>
          <w:p w14:paraId="042CC811" w14:textId="0B2F36D3" w:rsidR="00474714" w:rsidRPr="004D506F" w:rsidRDefault="00474714" w:rsidP="004861BD">
            <w:pPr>
              <w:widowControl/>
              <w:jc w:val="right"/>
              <w:rPr>
                <w:rFonts w:eastAsia="DengXian"/>
                <w:color w:val="000000"/>
              </w:rPr>
            </w:pPr>
            <w:r w:rsidRPr="004D506F">
              <w:rPr>
                <w:rFonts w:eastAsia="DengXian"/>
                <w:color w:val="000000"/>
              </w:rPr>
              <w:t>.02</w:t>
            </w:r>
            <w:r w:rsidR="00C87740">
              <w:rPr>
                <w:rFonts w:eastAsia="DengXian" w:hint="eastAsia"/>
                <w:color w:val="000000"/>
              </w:rPr>
              <w:t>0</w:t>
            </w:r>
          </w:p>
        </w:tc>
        <w:tc>
          <w:tcPr>
            <w:tcW w:w="1029" w:type="dxa"/>
            <w:tcBorders>
              <w:top w:val="nil"/>
              <w:bottom w:val="nil"/>
            </w:tcBorders>
            <w:shd w:val="clear" w:color="auto" w:fill="auto"/>
            <w:noWrap/>
            <w:vAlign w:val="center"/>
            <w:hideMark/>
          </w:tcPr>
          <w:p w14:paraId="4503E328" w14:textId="77777777" w:rsidR="00474714" w:rsidRPr="004D506F" w:rsidRDefault="00474714" w:rsidP="004861BD">
            <w:pPr>
              <w:widowControl/>
              <w:rPr>
                <w:rFonts w:eastAsia="DengXian"/>
                <w:color w:val="000000"/>
              </w:rPr>
            </w:pPr>
            <w:r w:rsidRPr="004D506F">
              <w:rPr>
                <w:rFonts w:eastAsia="DengXian"/>
                <w:color w:val="000000"/>
              </w:rPr>
              <w:t>52.4% [2.5, 76.8]</w:t>
            </w:r>
          </w:p>
        </w:tc>
        <w:tc>
          <w:tcPr>
            <w:tcW w:w="980" w:type="dxa"/>
            <w:tcBorders>
              <w:top w:val="nil"/>
              <w:bottom w:val="nil"/>
            </w:tcBorders>
            <w:shd w:val="clear" w:color="auto" w:fill="auto"/>
            <w:noWrap/>
            <w:vAlign w:val="center"/>
            <w:hideMark/>
          </w:tcPr>
          <w:p w14:paraId="412E4B1A" w14:textId="29543EEF" w:rsidR="00474714" w:rsidRPr="004D506F" w:rsidRDefault="00474714" w:rsidP="004861BD">
            <w:pPr>
              <w:widowControl/>
              <w:jc w:val="right"/>
              <w:rPr>
                <w:rFonts w:eastAsia="DengXian"/>
                <w:color w:val="000000"/>
              </w:rPr>
            </w:pPr>
            <w:r w:rsidRPr="004D506F">
              <w:rPr>
                <w:rFonts w:eastAsia="DengXian"/>
                <w:color w:val="000000"/>
              </w:rPr>
              <w:t>.953</w:t>
            </w:r>
          </w:p>
        </w:tc>
      </w:tr>
      <w:tr w:rsidR="00C87740" w:rsidRPr="004D506F" w14:paraId="6242E883" w14:textId="77777777" w:rsidTr="009114F9">
        <w:trPr>
          <w:trHeight w:hRule="exact" w:val="1418"/>
          <w:jc w:val="center"/>
        </w:trPr>
        <w:tc>
          <w:tcPr>
            <w:tcW w:w="1570" w:type="dxa"/>
            <w:vMerge/>
            <w:tcBorders>
              <w:top w:val="nil"/>
              <w:bottom w:val="single" w:sz="4" w:space="0" w:color="auto"/>
            </w:tcBorders>
            <w:shd w:val="clear" w:color="auto" w:fill="auto"/>
            <w:noWrap/>
            <w:vAlign w:val="center"/>
            <w:hideMark/>
          </w:tcPr>
          <w:p w14:paraId="38FD6DB2" w14:textId="1E6D08C7" w:rsidR="00474714" w:rsidRPr="004D506F" w:rsidRDefault="00474714" w:rsidP="004861BD">
            <w:pPr>
              <w:widowControl/>
              <w:rPr>
                <w:rFonts w:eastAsia="DengXian"/>
                <w:color w:val="000000"/>
              </w:rPr>
            </w:pPr>
          </w:p>
        </w:tc>
        <w:tc>
          <w:tcPr>
            <w:tcW w:w="1203" w:type="dxa"/>
            <w:vMerge/>
            <w:tcBorders>
              <w:top w:val="nil"/>
              <w:bottom w:val="single" w:sz="4" w:space="0" w:color="auto"/>
            </w:tcBorders>
            <w:shd w:val="clear" w:color="auto" w:fill="auto"/>
            <w:noWrap/>
            <w:vAlign w:val="center"/>
            <w:hideMark/>
          </w:tcPr>
          <w:p w14:paraId="6D6624E5" w14:textId="03BDCB67" w:rsidR="00474714" w:rsidRPr="004D506F" w:rsidRDefault="00474714" w:rsidP="004861BD">
            <w:pPr>
              <w:widowControl/>
              <w:rPr>
                <w:rFonts w:eastAsia="DengXian"/>
                <w:color w:val="000000"/>
              </w:rPr>
            </w:pPr>
          </w:p>
        </w:tc>
        <w:tc>
          <w:tcPr>
            <w:tcW w:w="1143" w:type="dxa"/>
            <w:tcBorders>
              <w:top w:val="nil"/>
              <w:bottom w:val="single" w:sz="4" w:space="0" w:color="auto"/>
            </w:tcBorders>
            <w:shd w:val="clear" w:color="auto" w:fill="auto"/>
            <w:noWrap/>
            <w:vAlign w:val="center"/>
            <w:hideMark/>
          </w:tcPr>
          <w:p w14:paraId="02A2603A" w14:textId="77777777" w:rsidR="00474714" w:rsidRPr="004D506F" w:rsidRDefault="00474714" w:rsidP="004861BD">
            <w:pPr>
              <w:widowControl/>
              <w:rPr>
                <w:rFonts w:eastAsia="DengXian"/>
                <w:color w:val="000000"/>
              </w:rPr>
            </w:pPr>
            <w:r w:rsidRPr="004D506F">
              <w:rPr>
                <w:rFonts w:eastAsia="DengXian"/>
                <w:color w:val="000000"/>
              </w:rPr>
              <w:t>High</w:t>
            </w:r>
          </w:p>
        </w:tc>
        <w:tc>
          <w:tcPr>
            <w:tcW w:w="472" w:type="dxa"/>
            <w:tcBorders>
              <w:top w:val="nil"/>
              <w:bottom w:val="single" w:sz="4" w:space="0" w:color="auto"/>
            </w:tcBorders>
            <w:shd w:val="clear" w:color="auto" w:fill="auto"/>
            <w:noWrap/>
            <w:vAlign w:val="center"/>
            <w:hideMark/>
          </w:tcPr>
          <w:p w14:paraId="2A524E70"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tcBorders>
              <w:top w:val="nil"/>
              <w:bottom w:val="single" w:sz="4" w:space="0" w:color="auto"/>
            </w:tcBorders>
            <w:shd w:val="clear" w:color="auto" w:fill="auto"/>
            <w:noWrap/>
            <w:vAlign w:val="center"/>
            <w:hideMark/>
          </w:tcPr>
          <w:p w14:paraId="3297EF77" w14:textId="77777777" w:rsidR="00474714" w:rsidRPr="004D506F" w:rsidRDefault="00474714" w:rsidP="004861BD">
            <w:pPr>
              <w:widowControl/>
              <w:jc w:val="right"/>
              <w:rPr>
                <w:rFonts w:eastAsia="DengXian"/>
                <w:color w:val="000000"/>
              </w:rPr>
            </w:pPr>
            <w:r w:rsidRPr="004D506F">
              <w:rPr>
                <w:rFonts w:eastAsia="DengXian"/>
                <w:color w:val="000000"/>
              </w:rPr>
              <w:t>0.29</w:t>
            </w:r>
          </w:p>
        </w:tc>
        <w:tc>
          <w:tcPr>
            <w:tcW w:w="1166" w:type="dxa"/>
            <w:tcBorders>
              <w:top w:val="nil"/>
              <w:bottom w:val="single" w:sz="4" w:space="0" w:color="auto"/>
            </w:tcBorders>
            <w:shd w:val="clear" w:color="auto" w:fill="auto"/>
            <w:noWrap/>
            <w:vAlign w:val="center"/>
            <w:hideMark/>
          </w:tcPr>
          <w:p w14:paraId="09CA6B5F" w14:textId="77777777" w:rsidR="00474714" w:rsidRPr="004D506F" w:rsidRDefault="00474714" w:rsidP="004861BD">
            <w:pPr>
              <w:widowControl/>
              <w:rPr>
                <w:rFonts w:eastAsia="DengXian"/>
                <w:color w:val="000000"/>
              </w:rPr>
            </w:pPr>
            <w:r w:rsidRPr="004D506F">
              <w:rPr>
                <w:rFonts w:eastAsia="DengXian"/>
                <w:color w:val="000000"/>
              </w:rPr>
              <w:t>[-0.58, 1.15]</w:t>
            </w:r>
          </w:p>
        </w:tc>
        <w:tc>
          <w:tcPr>
            <w:tcW w:w="837" w:type="dxa"/>
            <w:tcBorders>
              <w:top w:val="nil"/>
              <w:bottom w:val="single" w:sz="4" w:space="0" w:color="auto"/>
            </w:tcBorders>
            <w:shd w:val="clear" w:color="auto" w:fill="auto"/>
            <w:noWrap/>
            <w:vAlign w:val="center"/>
            <w:hideMark/>
          </w:tcPr>
          <w:p w14:paraId="3585C566" w14:textId="2D56FE24" w:rsidR="00474714" w:rsidRPr="004D506F" w:rsidRDefault="00474714" w:rsidP="004861BD">
            <w:pPr>
              <w:widowControl/>
              <w:jc w:val="right"/>
              <w:rPr>
                <w:rFonts w:eastAsia="DengXian"/>
                <w:color w:val="000000"/>
              </w:rPr>
            </w:pPr>
            <w:r w:rsidRPr="004D506F">
              <w:rPr>
                <w:rFonts w:eastAsia="DengXian"/>
                <w:color w:val="000000"/>
              </w:rPr>
              <w:t>.369</w:t>
            </w:r>
          </w:p>
        </w:tc>
        <w:tc>
          <w:tcPr>
            <w:tcW w:w="2009" w:type="dxa"/>
            <w:gridSpan w:val="2"/>
            <w:tcBorders>
              <w:top w:val="nil"/>
              <w:bottom w:val="single" w:sz="4" w:space="0" w:color="auto"/>
            </w:tcBorders>
            <w:shd w:val="clear" w:color="auto" w:fill="auto"/>
            <w:noWrap/>
            <w:vAlign w:val="center"/>
            <w:hideMark/>
          </w:tcPr>
          <w:p w14:paraId="67F2A222" w14:textId="77777777" w:rsidR="00474714" w:rsidRPr="004D506F" w:rsidRDefault="00474714" w:rsidP="004861BD">
            <w:pPr>
              <w:widowControl/>
              <w:rPr>
                <w:rFonts w:eastAsia="DengXian"/>
                <w:color w:val="000000"/>
              </w:rPr>
            </w:pPr>
            <w:r w:rsidRPr="004D506F">
              <w:rPr>
                <w:rFonts w:eastAsia="DengXian"/>
                <w:color w:val="000000"/>
              </w:rPr>
              <w:t>81.8% [52.8, 93.0]</w:t>
            </w:r>
          </w:p>
        </w:tc>
      </w:tr>
      <w:tr w:rsidR="009114F9" w:rsidRPr="004D506F" w14:paraId="2DEE7A91" w14:textId="77777777" w:rsidTr="009114F9">
        <w:trPr>
          <w:trHeight w:hRule="exact" w:val="1418"/>
          <w:jc w:val="center"/>
        </w:trPr>
        <w:tc>
          <w:tcPr>
            <w:tcW w:w="1570" w:type="dxa"/>
            <w:vMerge w:val="restart"/>
            <w:tcBorders>
              <w:top w:val="single" w:sz="4" w:space="0" w:color="auto"/>
            </w:tcBorders>
            <w:shd w:val="clear" w:color="auto" w:fill="auto"/>
            <w:noWrap/>
            <w:vAlign w:val="center"/>
            <w:hideMark/>
          </w:tcPr>
          <w:p w14:paraId="3BDED497" w14:textId="16BB60BA" w:rsidR="00474714" w:rsidRPr="004D506F" w:rsidRDefault="00474714" w:rsidP="00474714">
            <w:pPr>
              <w:widowControl/>
              <w:rPr>
                <w:rFonts w:eastAsia="DengXian"/>
                <w:color w:val="000000"/>
              </w:rPr>
            </w:pPr>
            <w:r w:rsidRPr="004D506F">
              <w:rPr>
                <w:rFonts w:eastAsia="DengXian"/>
                <w:color w:val="000000"/>
              </w:rPr>
              <w:t>Exploratory</w:t>
            </w:r>
          </w:p>
        </w:tc>
        <w:tc>
          <w:tcPr>
            <w:tcW w:w="1203" w:type="dxa"/>
            <w:vMerge w:val="restart"/>
            <w:tcBorders>
              <w:top w:val="single" w:sz="4" w:space="0" w:color="auto"/>
            </w:tcBorders>
            <w:shd w:val="clear" w:color="auto" w:fill="auto"/>
            <w:noWrap/>
            <w:vAlign w:val="center"/>
            <w:hideMark/>
          </w:tcPr>
          <w:p w14:paraId="6E8E6704" w14:textId="6A2FEC7B" w:rsidR="00474714" w:rsidRPr="004D506F" w:rsidRDefault="00474714" w:rsidP="00474714">
            <w:pPr>
              <w:widowControl/>
              <w:rPr>
                <w:rFonts w:eastAsia="DengXian"/>
                <w:color w:val="000000"/>
              </w:rPr>
            </w:pPr>
            <w:r w:rsidRPr="004D506F">
              <w:rPr>
                <w:rFonts w:eastAsia="DengXian"/>
                <w:color w:val="000000"/>
              </w:rPr>
              <w:t>Human contact</w:t>
            </w:r>
          </w:p>
        </w:tc>
        <w:tc>
          <w:tcPr>
            <w:tcW w:w="1143" w:type="dxa"/>
            <w:tcBorders>
              <w:top w:val="single" w:sz="4" w:space="0" w:color="auto"/>
            </w:tcBorders>
            <w:shd w:val="clear" w:color="auto" w:fill="auto"/>
            <w:noWrap/>
            <w:vAlign w:val="center"/>
            <w:hideMark/>
          </w:tcPr>
          <w:p w14:paraId="6812ED33" w14:textId="77777777" w:rsidR="00474714" w:rsidRPr="004D506F" w:rsidRDefault="00474714" w:rsidP="004861BD">
            <w:pPr>
              <w:widowControl/>
              <w:rPr>
                <w:rFonts w:eastAsia="DengXian"/>
                <w:color w:val="000000"/>
              </w:rPr>
            </w:pPr>
            <w:r w:rsidRPr="004D506F">
              <w:rPr>
                <w:rFonts w:eastAsia="DengXian"/>
                <w:color w:val="000000"/>
              </w:rPr>
              <w:t>No</w:t>
            </w:r>
          </w:p>
        </w:tc>
        <w:tc>
          <w:tcPr>
            <w:tcW w:w="472" w:type="dxa"/>
            <w:tcBorders>
              <w:top w:val="single" w:sz="4" w:space="0" w:color="auto"/>
            </w:tcBorders>
            <w:shd w:val="clear" w:color="auto" w:fill="auto"/>
            <w:noWrap/>
            <w:vAlign w:val="center"/>
            <w:hideMark/>
          </w:tcPr>
          <w:p w14:paraId="3922BB55"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single" w:sz="4" w:space="0" w:color="auto"/>
            </w:tcBorders>
            <w:shd w:val="clear" w:color="auto" w:fill="auto"/>
            <w:noWrap/>
            <w:vAlign w:val="center"/>
            <w:hideMark/>
          </w:tcPr>
          <w:p w14:paraId="047984BF" w14:textId="77777777" w:rsidR="00474714" w:rsidRPr="004D506F" w:rsidRDefault="00474714" w:rsidP="004861BD">
            <w:pPr>
              <w:widowControl/>
              <w:jc w:val="right"/>
              <w:rPr>
                <w:rFonts w:eastAsia="DengXian"/>
                <w:color w:val="000000"/>
              </w:rPr>
            </w:pPr>
            <w:r w:rsidRPr="004D506F">
              <w:rPr>
                <w:rFonts w:eastAsia="DengXian"/>
                <w:color w:val="000000"/>
              </w:rPr>
              <w:t>0.23</w:t>
            </w:r>
          </w:p>
        </w:tc>
        <w:tc>
          <w:tcPr>
            <w:tcW w:w="1166" w:type="dxa"/>
            <w:tcBorders>
              <w:top w:val="single" w:sz="4" w:space="0" w:color="auto"/>
            </w:tcBorders>
            <w:shd w:val="clear" w:color="auto" w:fill="auto"/>
            <w:noWrap/>
            <w:vAlign w:val="center"/>
            <w:hideMark/>
          </w:tcPr>
          <w:p w14:paraId="44E65732" w14:textId="77777777" w:rsidR="00474714" w:rsidRPr="004D506F" w:rsidRDefault="00474714" w:rsidP="004861BD">
            <w:pPr>
              <w:widowControl/>
              <w:rPr>
                <w:rFonts w:eastAsia="DengXian"/>
                <w:color w:val="000000"/>
              </w:rPr>
            </w:pPr>
            <w:r w:rsidRPr="004D506F">
              <w:rPr>
                <w:rFonts w:eastAsia="DengXian"/>
                <w:color w:val="000000"/>
              </w:rPr>
              <w:t>[0.03, 0.44]</w:t>
            </w:r>
          </w:p>
        </w:tc>
        <w:tc>
          <w:tcPr>
            <w:tcW w:w="837" w:type="dxa"/>
            <w:tcBorders>
              <w:top w:val="single" w:sz="4" w:space="0" w:color="auto"/>
            </w:tcBorders>
            <w:shd w:val="clear" w:color="auto" w:fill="auto"/>
            <w:noWrap/>
            <w:vAlign w:val="center"/>
            <w:hideMark/>
          </w:tcPr>
          <w:p w14:paraId="53AC01C3" w14:textId="7D607B79" w:rsidR="00474714" w:rsidRPr="004D506F" w:rsidRDefault="00474714" w:rsidP="004861BD">
            <w:pPr>
              <w:widowControl/>
              <w:jc w:val="right"/>
              <w:rPr>
                <w:rFonts w:eastAsia="DengXian"/>
                <w:color w:val="000000"/>
              </w:rPr>
            </w:pPr>
            <w:r w:rsidRPr="004D506F">
              <w:rPr>
                <w:rFonts w:eastAsia="DengXian"/>
                <w:color w:val="000000"/>
              </w:rPr>
              <w:t>.027</w:t>
            </w:r>
          </w:p>
        </w:tc>
        <w:tc>
          <w:tcPr>
            <w:tcW w:w="1029" w:type="dxa"/>
            <w:tcBorders>
              <w:top w:val="single" w:sz="4" w:space="0" w:color="auto"/>
            </w:tcBorders>
            <w:shd w:val="clear" w:color="auto" w:fill="auto"/>
            <w:noWrap/>
            <w:vAlign w:val="center"/>
            <w:hideMark/>
          </w:tcPr>
          <w:p w14:paraId="08CC8590" w14:textId="77777777" w:rsidR="00474714" w:rsidRPr="004D506F" w:rsidRDefault="00474714" w:rsidP="004861BD">
            <w:pPr>
              <w:widowControl/>
              <w:rPr>
                <w:rFonts w:eastAsia="DengXian"/>
                <w:color w:val="000000"/>
              </w:rPr>
            </w:pPr>
            <w:r w:rsidRPr="004D506F">
              <w:rPr>
                <w:rFonts w:eastAsia="DengXian"/>
                <w:color w:val="000000"/>
              </w:rPr>
              <w:t>56.6% [12.2, 78.6]</w:t>
            </w:r>
          </w:p>
        </w:tc>
        <w:tc>
          <w:tcPr>
            <w:tcW w:w="980" w:type="dxa"/>
            <w:tcBorders>
              <w:top w:val="single" w:sz="4" w:space="0" w:color="auto"/>
            </w:tcBorders>
            <w:shd w:val="clear" w:color="auto" w:fill="auto"/>
            <w:noWrap/>
            <w:vAlign w:val="center"/>
            <w:hideMark/>
          </w:tcPr>
          <w:p w14:paraId="292C921F" w14:textId="176BAFF0" w:rsidR="00474714" w:rsidRPr="004D506F" w:rsidRDefault="00474714" w:rsidP="004861BD">
            <w:pPr>
              <w:widowControl/>
              <w:jc w:val="right"/>
              <w:rPr>
                <w:rFonts w:eastAsia="DengXian"/>
                <w:color w:val="000000"/>
              </w:rPr>
            </w:pPr>
            <w:r w:rsidRPr="004D506F">
              <w:rPr>
                <w:rFonts w:eastAsia="DengXian"/>
                <w:color w:val="000000"/>
              </w:rPr>
              <w:t>.57</w:t>
            </w:r>
            <w:r w:rsidR="00C87740">
              <w:rPr>
                <w:rFonts w:eastAsia="DengXian" w:hint="eastAsia"/>
                <w:color w:val="000000"/>
              </w:rPr>
              <w:t>0</w:t>
            </w:r>
          </w:p>
        </w:tc>
      </w:tr>
      <w:tr w:rsidR="009114F9" w:rsidRPr="004D506F" w14:paraId="00522C09" w14:textId="77777777" w:rsidTr="009114F9">
        <w:trPr>
          <w:trHeight w:hRule="exact" w:val="1418"/>
          <w:jc w:val="center"/>
        </w:trPr>
        <w:tc>
          <w:tcPr>
            <w:tcW w:w="1570" w:type="dxa"/>
            <w:vMerge/>
            <w:shd w:val="clear" w:color="auto" w:fill="auto"/>
            <w:noWrap/>
            <w:vAlign w:val="center"/>
            <w:hideMark/>
          </w:tcPr>
          <w:p w14:paraId="30E0D535" w14:textId="35F82F1B" w:rsidR="00474714" w:rsidRPr="004D506F" w:rsidRDefault="00474714" w:rsidP="004861BD">
            <w:pPr>
              <w:rPr>
                <w:rFonts w:eastAsia="DengXian"/>
                <w:color w:val="000000"/>
              </w:rPr>
            </w:pPr>
          </w:p>
        </w:tc>
        <w:tc>
          <w:tcPr>
            <w:tcW w:w="1203" w:type="dxa"/>
            <w:vMerge/>
            <w:shd w:val="clear" w:color="auto" w:fill="auto"/>
            <w:noWrap/>
            <w:vAlign w:val="center"/>
            <w:hideMark/>
          </w:tcPr>
          <w:p w14:paraId="3C602580" w14:textId="4C2091D5" w:rsidR="00474714" w:rsidRPr="004D506F" w:rsidRDefault="00474714" w:rsidP="004861BD">
            <w:pPr>
              <w:widowControl/>
              <w:rPr>
                <w:rFonts w:eastAsia="DengXian"/>
                <w:color w:val="000000"/>
              </w:rPr>
            </w:pPr>
          </w:p>
        </w:tc>
        <w:tc>
          <w:tcPr>
            <w:tcW w:w="1143" w:type="dxa"/>
            <w:shd w:val="clear" w:color="auto" w:fill="auto"/>
            <w:noWrap/>
            <w:vAlign w:val="center"/>
            <w:hideMark/>
          </w:tcPr>
          <w:p w14:paraId="4F8B71C5" w14:textId="77777777" w:rsidR="00474714" w:rsidRPr="004D506F" w:rsidRDefault="00474714" w:rsidP="004861BD">
            <w:pPr>
              <w:widowControl/>
              <w:rPr>
                <w:rFonts w:eastAsia="DengXian"/>
                <w:color w:val="000000"/>
              </w:rPr>
            </w:pPr>
            <w:r w:rsidRPr="004D506F">
              <w:rPr>
                <w:rFonts w:eastAsia="DengXian"/>
                <w:color w:val="000000"/>
              </w:rPr>
              <w:t>Yes</w:t>
            </w:r>
          </w:p>
        </w:tc>
        <w:tc>
          <w:tcPr>
            <w:tcW w:w="472" w:type="dxa"/>
            <w:shd w:val="clear" w:color="auto" w:fill="auto"/>
            <w:noWrap/>
            <w:vAlign w:val="center"/>
            <w:hideMark/>
          </w:tcPr>
          <w:p w14:paraId="33987D57"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shd w:val="clear" w:color="auto" w:fill="auto"/>
            <w:noWrap/>
            <w:vAlign w:val="center"/>
            <w:hideMark/>
          </w:tcPr>
          <w:p w14:paraId="7C0D4639" w14:textId="77777777" w:rsidR="00474714" w:rsidRPr="004D506F" w:rsidRDefault="00474714" w:rsidP="004861BD">
            <w:pPr>
              <w:widowControl/>
              <w:jc w:val="right"/>
              <w:rPr>
                <w:rFonts w:eastAsia="DengXian"/>
                <w:color w:val="000000"/>
              </w:rPr>
            </w:pPr>
            <w:r w:rsidRPr="004D506F">
              <w:rPr>
                <w:rFonts w:eastAsia="DengXian"/>
                <w:color w:val="000000"/>
              </w:rPr>
              <w:t>0.41</w:t>
            </w:r>
          </w:p>
        </w:tc>
        <w:tc>
          <w:tcPr>
            <w:tcW w:w="1166" w:type="dxa"/>
            <w:shd w:val="clear" w:color="auto" w:fill="auto"/>
            <w:noWrap/>
            <w:vAlign w:val="center"/>
            <w:hideMark/>
          </w:tcPr>
          <w:p w14:paraId="244BEDD2" w14:textId="77777777" w:rsidR="00474714" w:rsidRPr="004D506F" w:rsidRDefault="00474714" w:rsidP="004861BD">
            <w:pPr>
              <w:widowControl/>
              <w:rPr>
                <w:rFonts w:eastAsia="DengXian"/>
                <w:color w:val="000000"/>
              </w:rPr>
            </w:pPr>
            <w:r w:rsidRPr="004D506F">
              <w:rPr>
                <w:rFonts w:eastAsia="DengXian"/>
                <w:color w:val="000000"/>
              </w:rPr>
              <w:t>[-0.55, 1.38]</w:t>
            </w:r>
          </w:p>
        </w:tc>
        <w:tc>
          <w:tcPr>
            <w:tcW w:w="837" w:type="dxa"/>
            <w:shd w:val="clear" w:color="auto" w:fill="auto"/>
            <w:noWrap/>
            <w:vAlign w:val="center"/>
            <w:hideMark/>
          </w:tcPr>
          <w:p w14:paraId="0FEF6789" w14:textId="796DCD56" w:rsidR="00474714" w:rsidRPr="004D506F" w:rsidRDefault="00474714" w:rsidP="004861BD">
            <w:pPr>
              <w:widowControl/>
              <w:jc w:val="right"/>
              <w:rPr>
                <w:rFonts w:eastAsia="DengXian"/>
                <w:color w:val="000000"/>
              </w:rPr>
            </w:pPr>
            <w:r w:rsidRPr="004D506F">
              <w:rPr>
                <w:rFonts w:eastAsia="DengXian"/>
                <w:color w:val="000000"/>
              </w:rPr>
              <w:t>.265</w:t>
            </w:r>
          </w:p>
        </w:tc>
        <w:tc>
          <w:tcPr>
            <w:tcW w:w="2009" w:type="dxa"/>
            <w:gridSpan w:val="2"/>
            <w:shd w:val="clear" w:color="auto" w:fill="auto"/>
            <w:noWrap/>
            <w:vAlign w:val="center"/>
            <w:hideMark/>
          </w:tcPr>
          <w:p w14:paraId="0553192A" w14:textId="77777777" w:rsidR="00C87740" w:rsidRDefault="00474714" w:rsidP="004861BD">
            <w:pPr>
              <w:widowControl/>
              <w:rPr>
                <w:rFonts w:eastAsia="DengXian"/>
                <w:color w:val="000000"/>
              </w:rPr>
            </w:pPr>
            <w:r w:rsidRPr="004D506F">
              <w:rPr>
                <w:rFonts w:eastAsia="DengXian"/>
                <w:color w:val="000000"/>
              </w:rPr>
              <w:t xml:space="preserve">79.4% </w:t>
            </w:r>
          </w:p>
          <w:p w14:paraId="6E63A8DE" w14:textId="05F78FC5" w:rsidR="00474714" w:rsidRPr="004D506F" w:rsidRDefault="00474714" w:rsidP="004861BD">
            <w:pPr>
              <w:widowControl/>
              <w:rPr>
                <w:rFonts w:eastAsia="DengXian"/>
                <w:color w:val="000000"/>
              </w:rPr>
            </w:pPr>
            <w:r w:rsidRPr="004D506F">
              <w:rPr>
                <w:rFonts w:eastAsia="DengXian"/>
                <w:color w:val="000000"/>
              </w:rPr>
              <w:t>[45.1, 92.3]</w:t>
            </w:r>
          </w:p>
        </w:tc>
      </w:tr>
      <w:tr w:rsidR="009114F9" w:rsidRPr="004D506F" w14:paraId="03578497" w14:textId="77777777" w:rsidTr="009114F9">
        <w:trPr>
          <w:trHeight w:hRule="exact" w:val="1418"/>
          <w:jc w:val="center"/>
        </w:trPr>
        <w:tc>
          <w:tcPr>
            <w:tcW w:w="1570" w:type="dxa"/>
            <w:vMerge/>
            <w:shd w:val="clear" w:color="auto" w:fill="auto"/>
            <w:noWrap/>
            <w:vAlign w:val="center"/>
            <w:hideMark/>
          </w:tcPr>
          <w:p w14:paraId="6B701196" w14:textId="10B2005D"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455F89CD" w14:textId="18EB728D" w:rsidR="00474714" w:rsidRPr="004D506F" w:rsidRDefault="00474714" w:rsidP="00474714">
            <w:pPr>
              <w:widowControl/>
              <w:rPr>
                <w:rFonts w:eastAsia="DengXian"/>
                <w:color w:val="000000"/>
              </w:rPr>
            </w:pPr>
            <w:r w:rsidRPr="004D506F">
              <w:rPr>
                <w:rFonts w:eastAsia="DengXian"/>
                <w:color w:val="000000"/>
              </w:rPr>
              <w:t>Relaxation</w:t>
            </w:r>
          </w:p>
        </w:tc>
        <w:tc>
          <w:tcPr>
            <w:tcW w:w="1143" w:type="dxa"/>
            <w:shd w:val="clear" w:color="auto" w:fill="auto"/>
            <w:noWrap/>
            <w:vAlign w:val="center"/>
            <w:hideMark/>
          </w:tcPr>
          <w:p w14:paraId="7D364B52"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26F47E6E"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0CA2FC55" w14:textId="77777777" w:rsidR="00474714" w:rsidRPr="004D506F" w:rsidRDefault="00474714" w:rsidP="004861BD">
            <w:pPr>
              <w:widowControl/>
              <w:jc w:val="right"/>
              <w:rPr>
                <w:rFonts w:eastAsia="DengXian"/>
                <w:color w:val="000000"/>
              </w:rPr>
            </w:pPr>
            <w:r w:rsidRPr="004D506F">
              <w:rPr>
                <w:rFonts w:eastAsia="DengXian"/>
                <w:color w:val="000000"/>
              </w:rPr>
              <w:t>0.34</w:t>
            </w:r>
          </w:p>
        </w:tc>
        <w:tc>
          <w:tcPr>
            <w:tcW w:w="1166" w:type="dxa"/>
            <w:shd w:val="clear" w:color="auto" w:fill="auto"/>
            <w:noWrap/>
            <w:vAlign w:val="center"/>
            <w:hideMark/>
          </w:tcPr>
          <w:p w14:paraId="63B70F76" w14:textId="77777777" w:rsidR="00474714" w:rsidRPr="004D506F" w:rsidRDefault="00474714" w:rsidP="004861BD">
            <w:pPr>
              <w:widowControl/>
              <w:rPr>
                <w:rFonts w:eastAsia="DengXian"/>
                <w:color w:val="000000"/>
              </w:rPr>
            </w:pPr>
            <w:r w:rsidRPr="004D506F">
              <w:rPr>
                <w:rFonts w:eastAsia="DengXian"/>
                <w:color w:val="000000"/>
              </w:rPr>
              <w:t>[-0.01, 0.69]</w:t>
            </w:r>
          </w:p>
        </w:tc>
        <w:tc>
          <w:tcPr>
            <w:tcW w:w="837" w:type="dxa"/>
            <w:shd w:val="clear" w:color="auto" w:fill="auto"/>
            <w:noWrap/>
            <w:vAlign w:val="center"/>
            <w:hideMark/>
          </w:tcPr>
          <w:p w14:paraId="00D8FFC2" w14:textId="046B4A2A" w:rsidR="00474714" w:rsidRPr="004D506F" w:rsidRDefault="00474714" w:rsidP="004861BD">
            <w:pPr>
              <w:widowControl/>
              <w:jc w:val="right"/>
              <w:rPr>
                <w:rFonts w:eastAsia="DengXian"/>
                <w:color w:val="000000"/>
              </w:rPr>
            </w:pPr>
            <w:r w:rsidRPr="004D506F">
              <w:rPr>
                <w:rFonts w:eastAsia="DengXian"/>
                <w:color w:val="000000"/>
              </w:rPr>
              <w:t>.056</w:t>
            </w:r>
          </w:p>
        </w:tc>
        <w:tc>
          <w:tcPr>
            <w:tcW w:w="1029" w:type="dxa"/>
            <w:shd w:val="clear" w:color="auto" w:fill="auto"/>
            <w:noWrap/>
            <w:vAlign w:val="center"/>
            <w:hideMark/>
          </w:tcPr>
          <w:p w14:paraId="1FD85972" w14:textId="09DBDE9B" w:rsidR="00474714" w:rsidRPr="004D506F" w:rsidRDefault="00474714" w:rsidP="004861BD">
            <w:pPr>
              <w:widowControl/>
              <w:rPr>
                <w:rFonts w:eastAsia="DengXian"/>
                <w:color w:val="000000"/>
              </w:rPr>
            </w:pPr>
            <w:r w:rsidRPr="004D506F">
              <w:rPr>
                <w:rFonts w:eastAsia="DengXian"/>
                <w:color w:val="000000"/>
              </w:rPr>
              <w:t>55.9% [2.8, 80.0]</w:t>
            </w:r>
          </w:p>
        </w:tc>
        <w:tc>
          <w:tcPr>
            <w:tcW w:w="980" w:type="dxa"/>
            <w:shd w:val="clear" w:color="auto" w:fill="auto"/>
            <w:noWrap/>
            <w:vAlign w:val="center"/>
            <w:hideMark/>
          </w:tcPr>
          <w:p w14:paraId="49EC2515" w14:textId="194954BE" w:rsidR="00474714" w:rsidRPr="004D506F" w:rsidRDefault="00474714" w:rsidP="004861BD">
            <w:pPr>
              <w:widowControl/>
              <w:jc w:val="right"/>
              <w:rPr>
                <w:rFonts w:eastAsia="DengXian"/>
                <w:color w:val="000000"/>
              </w:rPr>
            </w:pPr>
            <w:r w:rsidRPr="004D506F">
              <w:rPr>
                <w:rFonts w:eastAsia="DengXian"/>
                <w:color w:val="000000"/>
              </w:rPr>
              <w:t>.534</w:t>
            </w:r>
          </w:p>
        </w:tc>
      </w:tr>
      <w:tr w:rsidR="009114F9" w:rsidRPr="004D506F" w14:paraId="041D540C" w14:textId="77777777" w:rsidTr="009114F9">
        <w:trPr>
          <w:trHeight w:hRule="exact" w:val="1418"/>
          <w:jc w:val="center"/>
        </w:trPr>
        <w:tc>
          <w:tcPr>
            <w:tcW w:w="1570" w:type="dxa"/>
            <w:vMerge/>
            <w:shd w:val="clear" w:color="auto" w:fill="auto"/>
            <w:noWrap/>
            <w:vAlign w:val="center"/>
            <w:hideMark/>
          </w:tcPr>
          <w:p w14:paraId="4F864A81" w14:textId="2EDBDBBB" w:rsidR="00474714" w:rsidRPr="004D506F" w:rsidRDefault="00474714" w:rsidP="004861BD">
            <w:pPr>
              <w:rPr>
                <w:rFonts w:eastAsia="DengXian"/>
                <w:color w:val="000000"/>
              </w:rPr>
            </w:pPr>
          </w:p>
        </w:tc>
        <w:tc>
          <w:tcPr>
            <w:tcW w:w="1203" w:type="dxa"/>
            <w:vMerge/>
            <w:shd w:val="clear" w:color="auto" w:fill="auto"/>
            <w:noWrap/>
            <w:vAlign w:val="center"/>
            <w:hideMark/>
          </w:tcPr>
          <w:p w14:paraId="6DE512CC" w14:textId="543762D8" w:rsidR="00474714" w:rsidRPr="004D506F" w:rsidRDefault="00474714" w:rsidP="004861BD">
            <w:pPr>
              <w:widowControl/>
              <w:rPr>
                <w:rFonts w:eastAsia="DengXian"/>
                <w:color w:val="000000"/>
              </w:rPr>
            </w:pPr>
          </w:p>
        </w:tc>
        <w:tc>
          <w:tcPr>
            <w:tcW w:w="1143" w:type="dxa"/>
            <w:shd w:val="clear" w:color="auto" w:fill="auto"/>
            <w:noWrap/>
            <w:vAlign w:val="center"/>
            <w:hideMark/>
          </w:tcPr>
          <w:p w14:paraId="080F1772"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4603234A"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shd w:val="clear" w:color="auto" w:fill="auto"/>
            <w:noWrap/>
            <w:vAlign w:val="center"/>
            <w:hideMark/>
          </w:tcPr>
          <w:p w14:paraId="016DB48A"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shd w:val="clear" w:color="auto" w:fill="auto"/>
            <w:noWrap/>
            <w:vAlign w:val="center"/>
            <w:hideMark/>
          </w:tcPr>
          <w:p w14:paraId="68B3BFC3" w14:textId="77777777" w:rsidR="00474714" w:rsidRPr="004D506F" w:rsidRDefault="00474714" w:rsidP="004861BD">
            <w:pPr>
              <w:widowControl/>
              <w:rPr>
                <w:rFonts w:eastAsia="DengXian"/>
                <w:color w:val="000000"/>
              </w:rPr>
            </w:pPr>
            <w:r w:rsidRPr="004D506F">
              <w:rPr>
                <w:rFonts w:eastAsia="DengXian"/>
                <w:color w:val="000000"/>
              </w:rPr>
              <w:t>[-0.13, 0.55]</w:t>
            </w:r>
          </w:p>
        </w:tc>
        <w:tc>
          <w:tcPr>
            <w:tcW w:w="837" w:type="dxa"/>
            <w:shd w:val="clear" w:color="auto" w:fill="auto"/>
            <w:noWrap/>
            <w:vAlign w:val="center"/>
            <w:hideMark/>
          </w:tcPr>
          <w:p w14:paraId="52D08D6E" w14:textId="77777777" w:rsidR="00474714" w:rsidRPr="004D506F" w:rsidRDefault="00474714" w:rsidP="004861BD">
            <w:pPr>
              <w:widowControl/>
              <w:jc w:val="right"/>
              <w:rPr>
                <w:rFonts w:eastAsia="DengXian"/>
                <w:color w:val="000000"/>
              </w:rPr>
            </w:pPr>
            <w:r w:rsidRPr="004D506F">
              <w:rPr>
                <w:rFonts w:eastAsia="DengXian"/>
                <w:color w:val="000000"/>
              </w:rPr>
              <w:t>0.167</w:t>
            </w:r>
          </w:p>
        </w:tc>
        <w:tc>
          <w:tcPr>
            <w:tcW w:w="2009" w:type="dxa"/>
            <w:gridSpan w:val="2"/>
            <w:shd w:val="clear" w:color="auto" w:fill="auto"/>
            <w:noWrap/>
            <w:vAlign w:val="center"/>
            <w:hideMark/>
          </w:tcPr>
          <w:p w14:paraId="25CEA85A" w14:textId="77777777" w:rsidR="00474714" w:rsidRPr="004D506F" w:rsidRDefault="00474714" w:rsidP="004861BD">
            <w:pPr>
              <w:widowControl/>
              <w:rPr>
                <w:rFonts w:eastAsia="DengXian"/>
                <w:color w:val="000000"/>
              </w:rPr>
            </w:pPr>
            <w:r w:rsidRPr="004D506F">
              <w:rPr>
                <w:rFonts w:eastAsia="DengXian"/>
                <w:color w:val="000000"/>
              </w:rPr>
              <w:t>73.7% [39.7, 88.5]</w:t>
            </w:r>
          </w:p>
        </w:tc>
      </w:tr>
      <w:tr w:rsidR="009114F9" w:rsidRPr="004D506F" w14:paraId="470765DA" w14:textId="77777777" w:rsidTr="009114F9">
        <w:trPr>
          <w:trHeight w:hRule="exact" w:val="1418"/>
          <w:jc w:val="center"/>
        </w:trPr>
        <w:tc>
          <w:tcPr>
            <w:tcW w:w="1570" w:type="dxa"/>
            <w:vMerge/>
            <w:shd w:val="clear" w:color="auto" w:fill="auto"/>
            <w:noWrap/>
            <w:vAlign w:val="center"/>
            <w:hideMark/>
          </w:tcPr>
          <w:p w14:paraId="742E118B" w14:textId="754FB4F4"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266402C0" w14:textId="5BC2B13E" w:rsidR="00474714" w:rsidRPr="004D506F" w:rsidRDefault="00474714" w:rsidP="00474714">
            <w:pPr>
              <w:widowControl/>
              <w:rPr>
                <w:rFonts w:eastAsia="DengXian"/>
                <w:color w:val="000000"/>
              </w:rPr>
            </w:pPr>
            <w:r w:rsidRPr="004D506F">
              <w:rPr>
                <w:rFonts w:eastAsia="DengXian"/>
                <w:color w:val="000000"/>
              </w:rPr>
              <w:t>Problem-solving</w:t>
            </w:r>
          </w:p>
        </w:tc>
        <w:tc>
          <w:tcPr>
            <w:tcW w:w="1143" w:type="dxa"/>
            <w:shd w:val="clear" w:color="auto" w:fill="auto"/>
            <w:noWrap/>
            <w:vAlign w:val="center"/>
            <w:hideMark/>
          </w:tcPr>
          <w:p w14:paraId="65CA3FF6"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1B04B3C2" w14:textId="77777777" w:rsidR="00474714" w:rsidRPr="004D506F" w:rsidRDefault="00474714" w:rsidP="004861BD">
            <w:pPr>
              <w:widowControl/>
              <w:jc w:val="right"/>
              <w:rPr>
                <w:rFonts w:eastAsia="DengXian"/>
                <w:color w:val="000000"/>
              </w:rPr>
            </w:pPr>
            <w:r w:rsidRPr="004D506F">
              <w:rPr>
                <w:rFonts w:eastAsia="DengXian"/>
                <w:color w:val="000000"/>
              </w:rPr>
              <w:t>9</w:t>
            </w:r>
          </w:p>
        </w:tc>
        <w:tc>
          <w:tcPr>
            <w:tcW w:w="960" w:type="dxa"/>
            <w:shd w:val="clear" w:color="auto" w:fill="auto"/>
            <w:noWrap/>
            <w:vAlign w:val="center"/>
            <w:hideMark/>
          </w:tcPr>
          <w:p w14:paraId="1E70E8D4" w14:textId="77777777" w:rsidR="00474714" w:rsidRPr="004D506F" w:rsidRDefault="00474714" w:rsidP="004861BD">
            <w:pPr>
              <w:widowControl/>
              <w:jc w:val="right"/>
              <w:rPr>
                <w:rFonts w:eastAsia="DengXian"/>
                <w:color w:val="000000"/>
              </w:rPr>
            </w:pPr>
            <w:r w:rsidRPr="004D506F">
              <w:rPr>
                <w:rFonts w:eastAsia="DengXian"/>
                <w:color w:val="000000"/>
              </w:rPr>
              <w:t>0.37</w:t>
            </w:r>
          </w:p>
        </w:tc>
        <w:tc>
          <w:tcPr>
            <w:tcW w:w="1166" w:type="dxa"/>
            <w:shd w:val="clear" w:color="auto" w:fill="auto"/>
            <w:noWrap/>
            <w:vAlign w:val="center"/>
            <w:hideMark/>
          </w:tcPr>
          <w:p w14:paraId="6CA0CE33" w14:textId="77777777" w:rsidR="00474714" w:rsidRPr="004D506F" w:rsidRDefault="00474714" w:rsidP="004861BD">
            <w:pPr>
              <w:widowControl/>
              <w:rPr>
                <w:rFonts w:eastAsia="DengXian"/>
                <w:color w:val="000000"/>
              </w:rPr>
            </w:pPr>
            <w:r w:rsidRPr="004D506F">
              <w:rPr>
                <w:rFonts w:eastAsia="DengXian"/>
                <w:color w:val="000000"/>
              </w:rPr>
              <w:t>[0.05, 0.69]</w:t>
            </w:r>
          </w:p>
        </w:tc>
        <w:tc>
          <w:tcPr>
            <w:tcW w:w="837" w:type="dxa"/>
            <w:shd w:val="clear" w:color="auto" w:fill="auto"/>
            <w:noWrap/>
            <w:vAlign w:val="center"/>
            <w:hideMark/>
          </w:tcPr>
          <w:p w14:paraId="70137BC7" w14:textId="77777777" w:rsidR="00474714" w:rsidRPr="004D506F" w:rsidRDefault="00474714" w:rsidP="004861BD">
            <w:pPr>
              <w:widowControl/>
              <w:jc w:val="right"/>
              <w:rPr>
                <w:rFonts w:eastAsia="DengXian"/>
                <w:color w:val="000000"/>
              </w:rPr>
            </w:pPr>
            <w:r w:rsidRPr="004D506F">
              <w:rPr>
                <w:rFonts w:eastAsia="DengXian"/>
                <w:color w:val="000000"/>
              </w:rPr>
              <w:t>0.03</w:t>
            </w:r>
          </w:p>
        </w:tc>
        <w:tc>
          <w:tcPr>
            <w:tcW w:w="1029" w:type="dxa"/>
            <w:shd w:val="clear" w:color="auto" w:fill="auto"/>
            <w:noWrap/>
            <w:vAlign w:val="center"/>
            <w:hideMark/>
          </w:tcPr>
          <w:p w14:paraId="368067DF" w14:textId="77777777" w:rsidR="00474714" w:rsidRPr="004D506F" w:rsidRDefault="00474714" w:rsidP="004861BD">
            <w:pPr>
              <w:widowControl/>
              <w:rPr>
                <w:rFonts w:eastAsia="DengXian"/>
                <w:color w:val="000000"/>
              </w:rPr>
            </w:pPr>
            <w:r w:rsidRPr="004D506F">
              <w:rPr>
                <w:rFonts w:eastAsia="DengXian"/>
                <w:color w:val="000000"/>
              </w:rPr>
              <w:t>69.2% [38.4, 84.6]</w:t>
            </w:r>
          </w:p>
        </w:tc>
        <w:tc>
          <w:tcPr>
            <w:tcW w:w="980" w:type="dxa"/>
            <w:shd w:val="clear" w:color="auto" w:fill="auto"/>
            <w:noWrap/>
            <w:vAlign w:val="center"/>
            <w:hideMark/>
          </w:tcPr>
          <w:p w14:paraId="771DA31C" w14:textId="2D44CC99" w:rsidR="00474714" w:rsidRPr="004D506F" w:rsidRDefault="00474714" w:rsidP="004861BD">
            <w:pPr>
              <w:widowControl/>
              <w:jc w:val="right"/>
              <w:rPr>
                <w:rFonts w:eastAsia="DengXian"/>
                <w:color w:val="000000"/>
              </w:rPr>
            </w:pPr>
            <w:r w:rsidRPr="004D506F">
              <w:rPr>
                <w:rFonts w:eastAsia="DengXian"/>
                <w:color w:val="000000"/>
              </w:rPr>
              <w:t>.159</w:t>
            </w:r>
          </w:p>
        </w:tc>
      </w:tr>
      <w:tr w:rsidR="009114F9" w:rsidRPr="004D506F" w14:paraId="6FB57A7B" w14:textId="77777777" w:rsidTr="009114F9">
        <w:trPr>
          <w:trHeight w:hRule="exact" w:val="1418"/>
          <w:jc w:val="center"/>
        </w:trPr>
        <w:tc>
          <w:tcPr>
            <w:tcW w:w="1570" w:type="dxa"/>
            <w:vMerge/>
            <w:shd w:val="clear" w:color="auto" w:fill="auto"/>
            <w:noWrap/>
            <w:vAlign w:val="center"/>
            <w:hideMark/>
          </w:tcPr>
          <w:p w14:paraId="01DB3FA1" w14:textId="0AD3C67D" w:rsidR="00474714" w:rsidRPr="004D506F" w:rsidRDefault="00474714" w:rsidP="004861BD">
            <w:pPr>
              <w:rPr>
                <w:rFonts w:eastAsia="DengXian"/>
                <w:color w:val="000000"/>
              </w:rPr>
            </w:pPr>
          </w:p>
        </w:tc>
        <w:tc>
          <w:tcPr>
            <w:tcW w:w="1203" w:type="dxa"/>
            <w:vMerge/>
            <w:shd w:val="clear" w:color="auto" w:fill="auto"/>
            <w:noWrap/>
            <w:vAlign w:val="center"/>
            <w:hideMark/>
          </w:tcPr>
          <w:p w14:paraId="5324B863" w14:textId="35F4B5B2" w:rsidR="00474714" w:rsidRPr="004D506F" w:rsidRDefault="00474714" w:rsidP="004861BD">
            <w:pPr>
              <w:widowControl/>
              <w:rPr>
                <w:rFonts w:eastAsia="DengXian"/>
                <w:color w:val="000000"/>
              </w:rPr>
            </w:pPr>
          </w:p>
        </w:tc>
        <w:tc>
          <w:tcPr>
            <w:tcW w:w="1143" w:type="dxa"/>
            <w:shd w:val="clear" w:color="auto" w:fill="auto"/>
            <w:noWrap/>
            <w:vAlign w:val="center"/>
            <w:hideMark/>
          </w:tcPr>
          <w:p w14:paraId="42C290F3"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3D3F82BC" w14:textId="77777777" w:rsidR="00474714" w:rsidRPr="004D506F" w:rsidRDefault="00474714" w:rsidP="004861BD">
            <w:pPr>
              <w:widowControl/>
              <w:jc w:val="right"/>
              <w:rPr>
                <w:rFonts w:eastAsia="DengXian"/>
                <w:color w:val="000000"/>
              </w:rPr>
            </w:pPr>
            <w:r w:rsidRPr="004D506F">
              <w:rPr>
                <w:rFonts w:eastAsia="DengXian"/>
                <w:color w:val="000000"/>
              </w:rPr>
              <w:t>5</w:t>
            </w:r>
          </w:p>
        </w:tc>
        <w:tc>
          <w:tcPr>
            <w:tcW w:w="960" w:type="dxa"/>
            <w:shd w:val="clear" w:color="auto" w:fill="auto"/>
            <w:noWrap/>
            <w:vAlign w:val="center"/>
            <w:hideMark/>
          </w:tcPr>
          <w:p w14:paraId="48873293" w14:textId="77777777" w:rsidR="00474714" w:rsidRPr="004D506F" w:rsidRDefault="00474714" w:rsidP="004861BD">
            <w:pPr>
              <w:widowControl/>
              <w:jc w:val="right"/>
              <w:rPr>
                <w:rFonts w:eastAsia="DengXian"/>
                <w:color w:val="000000"/>
              </w:rPr>
            </w:pPr>
            <w:r w:rsidRPr="004D506F">
              <w:rPr>
                <w:rFonts w:eastAsia="DengXian"/>
                <w:color w:val="000000"/>
              </w:rPr>
              <w:t>0.13</w:t>
            </w:r>
          </w:p>
        </w:tc>
        <w:tc>
          <w:tcPr>
            <w:tcW w:w="1166" w:type="dxa"/>
            <w:shd w:val="clear" w:color="auto" w:fill="auto"/>
            <w:noWrap/>
            <w:vAlign w:val="center"/>
            <w:hideMark/>
          </w:tcPr>
          <w:p w14:paraId="05AC07CC" w14:textId="77777777" w:rsidR="00474714" w:rsidRPr="004D506F" w:rsidRDefault="00474714" w:rsidP="004861BD">
            <w:pPr>
              <w:widowControl/>
              <w:rPr>
                <w:rFonts w:eastAsia="DengXian"/>
                <w:color w:val="000000"/>
              </w:rPr>
            </w:pPr>
            <w:r w:rsidRPr="004D506F">
              <w:rPr>
                <w:rFonts w:eastAsia="DengXian"/>
                <w:color w:val="000000"/>
              </w:rPr>
              <w:t>[-0.12, 0.39]</w:t>
            </w:r>
          </w:p>
        </w:tc>
        <w:tc>
          <w:tcPr>
            <w:tcW w:w="837" w:type="dxa"/>
            <w:shd w:val="clear" w:color="auto" w:fill="auto"/>
            <w:noWrap/>
            <w:vAlign w:val="center"/>
            <w:hideMark/>
          </w:tcPr>
          <w:p w14:paraId="33B3E125" w14:textId="77777777" w:rsidR="00474714" w:rsidRPr="004D506F" w:rsidRDefault="00474714" w:rsidP="004861BD">
            <w:pPr>
              <w:widowControl/>
              <w:jc w:val="right"/>
              <w:rPr>
                <w:rFonts w:eastAsia="DengXian"/>
                <w:color w:val="000000"/>
              </w:rPr>
            </w:pPr>
            <w:r w:rsidRPr="004D506F">
              <w:rPr>
                <w:rFonts w:eastAsia="DengXian"/>
                <w:color w:val="000000"/>
              </w:rPr>
              <w:t>0.227</w:t>
            </w:r>
          </w:p>
        </w:tc>
        <w:tc>
          <w:tcPr>
            <w:tcW w:w="2009" w:type="dxa"/>
            <w:gridSpan w:val="2"/>
            <w:shd w:val="clear" w:color="auto" w:fill="auto"/>
            <w:noWrap/>
            <w:vAlign w:val="center"/>
            <w:hideMark/>
          </w:tcPr>
          <w:p w14:paraId="16D11F96" w14:textId="77777777" w:rsidR="00474714" w:rsidRPr="004D506F" w:rsidRDefault="00474714" w:rsidP="004861BD">
            <w:pPr>
              <w:widowControl/>
              <w:rPr>
                <w:rFonts w:eastAsia="DengXian"/>
                <w:color w:val="000000"/>
              </w:rPr>
            </w:pPr>
            <w:r w:rsidRPr="004D506F">
              <w:rPr>
                <w:rFonts w:eastAsia="DengXian"/>
                <w:color w:val="000000"/>
              </w:rPr>
              <w:t>41.2% [0.0, 78.3]</w:t>
            </w:r>
          </w:p>
        </w:tc>
      </w:tr>
      <w:tr w:rsidR="009114F9" w:rsidRPr="004D506F" w14:paraId="4E601622" w14:textId="77777777" w:rsidTr="009114F9">
        <w:trPr>
          <w:trHeight w:hRule="exact" w:val="1418"/>
          <w:jc w:val="center"/>
        </w:trPr>
        <w:tc>
          <w:tcPr>
            <w:tcW w:w="1570" w:type="dxa"/>
            <w:vMerge/>
            <w:shd w:val="clear" w:color="auto" w:fill="auto"/>
            <w:noWrap/>
            <w:vAlign w:val="center"/>
            <w:hideMark/>
          </w:tcPr>
          <w:p w14:paraId="2028BB58" w14:textId="67DD2297"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55A7DFC8" w14:textId="6658DF0F" w:rsidR="00474714" w:rsidRPr="004D506F" w:rsidRDefault="00474714" w:rsidP="00474714">
            <w:pPr>
              <w:widowControl/>
              <w:rPr>
                <w:rFonts w:eastAsia="DengXian"/>
                <w:color w:val="000000"/>
              </w:rPr>
            </w:pPr>
            <w:r w:rsidRPr="004D506F">
              <w:rPr>
                <w:rFonts w:eastAsia="DengXian"/>
                <w:color w:val="000000"/>
              </w:rPr>
              <w:t>Homework</w:t>
            </w:r>
          </w:p>
        </w:tc>
        <w:tc>
          <w:tcPr>
            <w:tcW w:w="1143" w:type="dxa"/>
            <w:shd w:val="clear" w:color="auto" w:fill="auto"/>
            <w:noWrap/>
            <w:vAlign w:val="center"/>
            <w:hideMark/>
          </w:tcPr>
          <w:p w14:paraId="2440DA11"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66FA92EB"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35E32BEC" w14:textId="77777777" w:rsidR="00474714" w:rsidRPr="004D506F" w:rsidRDefault="00474714" w:rsidP="004861BD">
            <w:pPr>
              <w:widowControl/>
              <w:jc w:val="right"/>
              <w:rPr>
                <w:rFonts w:eastAsia="DengXian"/>
                <w:color w:val="000000"/>
              </w:rPr>
            </w:pPr>
            <w:r w:rsidRPr="004D506F">
              <w:rPr>
                <w:rFonts w:eastAsia="DengXian"/>
                <w:color w:val="000000"/>
              </w:rPr>
              <w:t>0.38</w:t>
            </w:r>
          </w:p>
        </w:tc>
        <w:tc>
          <w:tcPr>
            <w:tcW w:w="1166" w:type="dxa"/>
            <w:shd w:val="clear" w:color="auto" w:fill="auto"/>
            <w:noWrap/>
            <w:vAlign w:val="center"/>
            <w:hideMark/>
          </w:tcPr>
          <w:p w14:paraId="6718BB73" w14:textId="77777777" w:rsidR="00474714" w:rsidRPr="004D506F" w:rsidRDefault="00474714" w:rsidP="004861BD">
            <w:pPr>
              <w:widowControl/>
              <w:rPr>
                <w:rFonts w:eastAsia="DengXian"/>
                <w:color w:val="000000"/>
              </w:rPr>
            </w:pPr>
            <w:r w:rsidRPr="004D506F">
              <w:rPr>
                <w:rFonts w:eastAsia="DengXian"/>
                <w:color w:val="000000"/>
              </w:rPr>
              <w:t>[-0.01, 0.77]</w:t>
            </w:r>
          </w:p>
        </w:tc>
        <w:tc>
          <w:tcPr>
            <w:tcW w:w="837" w:type="dxa"/>
            <w:shd w:val="clear" w:color="auto" w:fill="auto"/>
            <w:noWrap/>
            <w:vAlign w:val="center"/>
            <w:hideMark/>
          </w:tcPr>
          <w:p w14:paraId="3ADC05E4" w14:textId="77777777" w:rsidR="00474714" w:rsidRPr="004D506F" w:rsidRDefault="00474714" w:rsidP="004861BD">
            <w:pPr>
              <w:widowControl/>
              <w:jc w:val="right"/>
              <w:rPr>
                <w:rFonts w:eastAsia="DengXian"/>
                <w:color w:val="000000"/>
              </w:rPr>
            </w:pPr>
            <w:r w:rsidRPr="004D506F">
              <w:rPr>
                <w:rFonts w:eastAsia="DengXian"/>
                <w:color w:val="000000"/>
              </w:rPr>
              <w:t>0.056</w:t>
            </w:r>
          </w:p>
        </w:tc>
        <w:tc>
          <w:tcPr>
            <w:tcW w:w="1029" w:type="dxa"/>
            <w:shd w:val="clear" w:color="auto" w:fill="auto"/>
            <w:noWrap/>
            <w:vAlign w:val="center"/>
            <w:hideMark/>
          </w:tcPr>
          <w:p w14:paraId="25DAD0E0" w14:textId="77777777" w:rsidR="00474714" w:rsidRPr="004D506F" w:rsidRDefault="00474714" w:rsidP="004861BD">
            <w:pPr>
              <w:widowControl/>
              <w:rPr>
                <w:rFonts w:eastAsia="DengXian"/>
                <w:color w:val="000000"/>
              </w:rPr>
            </w:pPr>
            <w:r w:rsidRPr="004D506F">
              <w:rPr>
                <w:rFonts w:eastAsia="DengXian"/>
                <w:color w:val="000000"/>
              </w:rPr>
              <w:t>72.6% [44.0, 86.6]</w:t>
            </w:r>
          </w:p>
        </w:tc>
        <w:tc>
          <w:tcPr>
            <w:tcW w:w="980" w:type="dxa"/>
            <w:shd w:val="clear" w:color="auto" w:fill="auto"/>
            <w:noWrap/>
            <w:vAlign w:val="center"/>
            <w:hideMark/>
          </w:tcPr>
          <w:p w14:paraId="568BDB12" w14:textId="4369DFAD" w:rsidR="00474714" w:rsidRPr="004D506F" w:rsidRDefault="00474714" w:rsidP="004861BD">
            <w:pPr>
              <w:widowControl/>
              <w:jc w:val="right"/>
              <w:rPr>
                <w:rFonts w:eastAsia="DengXian"/>
                <w:color w:val="000000"/>
              </w:rPr>
            </w:pPr>
            <w:r w:rsidRPr="004D506F">
              <w:rPr>
                <w:rFonts w:eastAsia="DengXian"/>
                <w:color w:val="000000"/>
              </w:rPr>
              <w:t>.267</w:t>
            </w:r>
          </w:p>
        </w:tc>
      </w:tr>
      <w:tr w:rsidR="009114F9" w:rsidRPr="004D506F" w14:paraId="03315178" w14:textId="77777777" w:rsidTr="009114F9">
        <w:trPr>
          <w:trHeight w:hRule="exact" w:val="1418"/>
          <w:jc w:val="center"/>
        </w:trPr>
        <w:tc>
          <w:tcPr>
            <w:tcW w:w="1570" w:type="dxa"/>
            <w:vMerge/>
            <w:tcBorders>
              <w:bottom w:val="single" w:sz="8" w:space="0" w:color="auto"/>
            </w:tcBorders>
            <w:shd w:val="clear" w:color="auto" w:fill="auto"/>
            <w:noWrap/>
            <w:vAlign w:val="center"/>
            <w:hideMark/>
          </w:tcPr>
          <w:p w14:paraId="573DF2F6" w14:textId="1F5F05AE" w:rsidR="00474714" w:rsidRPr="004D506F" w:rsidRDefault="00474714" w:rsidP="004861BD">
            <w:pPr>
              <w:widowControl/>
              <w:rPr>
                <w:rFonts w:eastAsia="DengXian"/>
                <w:color w:val="000000"/>
              </w:rPr>
            </w:pPr>
          </w:p>
        </w:tc>
        <w:tc>
          <w:tcPr>
            <w:tcW w:w="1203" w:type="dxa"/>
            <w:vMerge/>
            <w:tcBorders>
              <w:bottom w:val="single" w:sz="8" w:space="0" w:color="auto"/>
            </w:tcBorders>
            <w:shd w:val="clear" w:color="auto" w:fill="auto"/>
            <w:noWrap/>
            <w:vAlign w:val="center"/>
            <w:hideMark/>
          </w:tcPr>
          <w:p w14:paraId="7E9EB4AF" w14:textId="6C73E112" w:rsidR="00474714" w:rsidRPr="004D506F" w:rsidRDefault="00474714" w:rsidP="004861BD">
            <w:pPr>
              <w:widowControl/>
              <w:rPr>
                <w:rFonts w:eastAsia="DengXian"/>
                <w:color w:val="000000"/>
              </w:rPr>
            </w:pPr>
          </w:p>
        </w:tc>
        <w:tc>
          <w:tcPr>
            <w:tcW w:w="1143" w:type="dxa"/>
            <w:tcBorders>
              <w:bottom w:val="single" w:sz="8" w:space="0" w:color="auto"/>
            </w:tcBorders>
            <w:shd w:val="clear" w:color="auto" w:fill="auto"/>
            <w:noWrap/>
            <w:vAlign w:val="center"/>
            <w:hideMark/>
          </w:tcPr>
          <w:p w14:paraId="29869E4D"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tcBorders>
              <w:bottom w:val="single" w:sz="8" w:space="0" w:color="auto"/>
            </w:tcBorders>
            <w:shd w:val="clear" w:color="auto" w:fill="auto"/>
            <w:noWrap/>
            <w:vAlign w:val="center"/>
            <w:hideMark/>
          </w:tcPr>
          <w:p w14:paraId="2C73CC36"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tcBorders>
              <w:bottom w:val="single" w:sz="8" w:space="0" w:color="auto"/>
            </w:tcBorders>
            <w:shd w:val="clear" w:color="auto" w:fill="auto"/>
            <w:noWrap/>
            <w:vAlign w:val="center"/>
            <w:hideMark/>
          </w:tcPr>
          <w:p w14:paraId="716DFE18" w14:textId="77777777" w:rsidR="00474714" w:rsidRPr="004D506F" w:rsidRDefault="00474714" w:rsidP="004861BD">
            <w:pPr>
              <w:widowControl/>
              <w:jc w:val="right"/>
              <w:rPr>
                <w:rFonts w:eastAsia="DengXian"/>
                <w:color w:val="000000"/>
              </w:rPr>
            </w:pPr>
            <w:r w:rsidRPr="004D506F">
              <w:rPr>
                <w:rFonts w:eastAsia="DengXian"/>
                <w:color w:val="000000"/>
              </w:rPr>
              <w:t>0.17</w:t>
            </w:r>
          </w:p>
        </w:tc>
        <w:tc>
          <w:tcPr>
            <w:tcW w:w="1166" w:type="dxa"/>
            <w:tcBorders>
              <w:bottom w:val="single" w:sz="8" w:space="0" w:color="auto"/>
            </w:tcBorders>
            <w:shd w:val="clear" w:color="auto" w:fill="auto"/>
            <w:noWrap/>
            <w:vAlign w:val="center"/>
            <w:hideMark/>
          </w:tcPr>
          <w:p w14:paraId="23B9CDB1" w14:textId="77777777" w:rsidR="00474714" w:rsidRPr="004D506F" w:rsidRDefault="00474714" w:rsidP="004861BD">
            <w:pPr>
              <w:widowControl/>
              <w:rPr>
                <w:rFonts w:eastAsia="DengXian"/>
                <w:color w:val="000000"/>
              </w:rPr>
            </w:pPr>
            <w:r w:rsidRPr="004D506F">
              <w:rPr>
                <w:rFonts w:eastAsia="DengXian"/>
                <w:color w:val="000000"/>
              </w:rPr>
              <w:t>[-0.04, 0.39]</w:t>
            </w:r>
          </w:p>
        </w:tc>
        <w:tc>
          <w:tcPr>
            <w:tcW w:w="837" w:type="dxa"/>
            <w:tcBorders>
              <w:bottom w:val="single" w:sz="8" w:space="0" w:color="auto"/>
            </w:tcBorders>
            <w:shd w:val="clear" w:color="auto" w:fill="auto"/>
            <w:noWrap/>
            <w:vAlign w:val="center"/>
            <w:hideMark/>
          </w:tcPr>
          <w:p w14:paraId="2A14B33A" w14:textId="77777777" w:rsidR="00474714" w:rsidRPr="004D506F" w:rsidRDefault="00474714" w:rsidP="004861BD">
            <w:pPr>
              <w:widowControl/>
              <w:jc w:val="right"/>
              <w:rPr>
                <w:rFonts w:eastAsia="DengXian"/>
                <w:color w:val="000000"/>
              </w:rPr>
            </w:pPr>
            <w:r w:rsidRPr="004D506F">
              <w:rPr>
                <w:rFonts w:eastAsia="DengXian"/>
                <w:color w:val="000000"/>
              </w:rPr>
              <w:t>0.094</w:t>
            </w:r>
          </w:p>
        </w:tc>
        <w:tc>
          <w:tcPr>
            <w:tcW w:w="2009" w:type="dxa"/>
            <w:gridSpan w:val="2"/>
            <w:tcBorders>
              <w:bottom w:val="single" w:sz="8" w:space="0" w:color="auto"/>
            </w:tcBorders>
            <w:shd w:val="clear" w:color="auto" w:fill="auto"/>
            <w:noWrap/>
            <w:vAlign w:val="center"/>
            <w:hideMark/>
          </w:tcPr>
          <w:p w14:paraId="772C8D30" w14:textId="77777777" w:rsidR="00474714" w:rsidRPr="004D506F" w:rsidRDefault="00474714" w:rsidP="004861BD">
            <w:pPr>
              <w:widowControl/>
              <w:rPr>
                <w:rFonts w:eastAsia="DengXian"/>
                <w:color w:val="000000"/>
              </w:rPr>
            </w:pPr>
            <w:r w:rsidRPr="004D506F">
              <w:rPr>
                <w:rFonts w:eastAsia="DengXian"/>
                <w:color w:val="000000"/>
              </w:rPr>
              <w:t>45.7% [0.0, 78.5]</w:t>
            </w:r>
          </w:p>
        </w:tc>
      </w:tr>
      <w:bookmarkEnd w:id="42"/>
    </w:tbl>
    <w:p w14:paraId="79598DC0" w14:textId="77777777" w:rsidR="009114F9" w:rsidRDefault="009114F9" w:rsidP="009114F9"/>
    <w:p w14:paraId="622172F7" w14:textId="00813EF9" w:rsidR="009114F9" w:rsidRPr="009114F9" w:rsidRDefault="009114F9" w:rsidP="009114F9">
      <w:r w:rsidRPr="009114F9">
        <w:rPr>
          <w:i/>
          <w:iCs/>
        </w:rPr>
        <w:t>Note</w:t>
      </w:r>
      <w:r w:rsidRPr="009114F9">
        <w:t>. k = number of studies; g = Hedges' g; CI = confidence interval; I² = proportion of total variance attributable to between-study heterogeneity. Pooled estimates were computed using a random-effects model with restricted maximum-likelihood (REML) estimator and Hartung-Knapp adjustment. Within each subgroup analysis, a common between-study variance (τ²) was assumed across the two subgroup levels via the tau.common = TRUE option, consistent with the recommendation that subgroup-specific τ² estimates are u</w:t>
      </w:r>
      <w:r w:rsidRPr="009114F9">
        <w:rPr>
          <w:rFonts w:hint="eastAsia"/>
        </w:rPr>
        <w:t xml:space="preserve">nstable when within-subgroup k </w:t>
      </w:r>
      <w:r w:rsidRPr="009114F9">
        <w:rPr>
          <w:rFonts w:hint="eastAsia"/>
        </w:rPr>
        <w:t>≤</w:t>
      </w:r>
      <w:r w:rsidRPr="009114F9">
        <w:rPr>
          <w:rFonts w:hint="eastAsia"/>
        </w:rPr>
        <w:t xml:space="preserve"> 5 (Borenstein et al., 2011). Residual </w:t>
      </w:r>
      <w:r w:rsidRPr="009114F9">
        <w:rPr>
          <w:rFonts w:hint="eastAsia"/>
        </w:rPr>
        <w:t>τ²</w:t>
      </w:r>
      <w:r w:rsidRPr="009114F9">
        <w:rPr>
          <w:rFonts w:hint="eastAsia"/>
        </w:rPr>
        <w:t xml:space="preserve"> estimates ranged from 0.058 to 0.077 across the six subgroup analyses. I</w:t>
      </w:r>
      <w:r w:rsidRPr="009114F9">
        <w:rPr>
          <w:rFonts w:hint="eastAsia"/>
        </w:rPr>
        <w:t>²</w:t>
      </w:r>
      <w:r w:rsidRPr="009114F9">
        <w:rPr>
          <w:rFonts w:hint="eastAsia"/>
        </w:rPr>
        <w:t xml:space="preserve"> 95% confidence intervals were computed via the Q-profile method (Viechtbauer, 2007). Confirmatory subgroup a</w:t>
      </w:r>
      <w:r w:rsidRPr="009114F9">
        <w:t>nalyses were pre-specified as primary tests in Section 3.8.3; exploratory analyses were pre-specified as hypothesis-generating. Bohr et al. (2023) was excluded from the main analysis (see Section 4.2.1); a sensitivity analysis including this study is reported in Section 4.6.</w:t>
      </w:r>
    </w:p>
    <w:p w14:paraId="38445E20" w14:textId="77777777" w:rsidR="009114F9" w:rsidRPr="009114F9" w:rsidRDefault="009114F9" w:rsidP="009114F9"/>
    <w:p w14:paraId="31DBB6C9" w14:textId="77777777" w:rsidR="009114F9" w:rsidRPr="009114F9" w:rsidRDefault="009114F9" w:rsidP="009114F9">
      <w:r w:rsidRPr="009114F9">
        <w:t>ᵃ Within-subgroup test of the pooled effect against zero.</w:t>
      </w:r>
    </w:p>
    <w:p w14:paraId="760E6C62" w14:textId="77777777" w:rsidR="009114F9" w:rsidRDefault="009114F9" w:rsidP="009114F9">
      <w:pPr>
        <w:rPr>
          <w:b/>
          <w:bCs/>
        </w:rPr>
      </w:pPr>
      <w:r w:rsidRPr="009114F9">
        <w:t>ᵇ Test for between-subgroup differences using the Q-statistic from a mixed-effects subgroup model.</w:t>
      </w:r>
    </w:p>
    <w:p w14:paraId="742D6B1E" w14:textId="73E77125" w:rsidR="00B715E8" w:rsidRPr="00FD4E54" w:rsidRDefault="006E03C5" w:rsidP="00FD4E54">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0D373DEF" w14:textId="77777777" w:rsidR="006600E2" w:rsidRDefault="006600E2" w:rsidP="00C52AB6"/>
    <w:p w14:paraId="3A024E79" w14:textId="73115033"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Harting-Knapp adjustment) as the main analysis.</w:t>
      </w:r>
    </w:p>
    <w:p w14:paraId="49BF9442" w14:textId="5C4B6C48" w:rsidR="00B715E8" w:rsidRDefault="00374DE5" w:rsidP="00FD4E54">
      <w:pPr>
        <w:spacing w:after="120" w:line="360" w:lineRule="auto"/>
        <w:ind w:firstLine="360"/>
        <w:jc w:val="both"/>
      </w:pPr>
      <w:r w:rsidRPr="00374DE5">
        <w:t>The regression slope was β = 0.070 (SE = 0.057, 95% CI [−0.055, 0.195], p = .246), indicating that effect size was estimated to increase by 0.070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13F70438" w:rsidR="00765C2E" w:rsidRDefault="00FD4E54" w:rsidP="00FD4E54">
      <w:pPr>
        <w:spacing w:after="120" w:line="360" w:lineRule="auto"/>
        <w:ind w:firstLine="360"/>
        <w:jc w:val="both"/>
      </w:pPr>
      <w:r w:rsidRPr="00FD4E54">
        <w:t xml:space="preserve">Consistent with this, the predictor accounted for essentially none of the between-study heterogeneity (R² = 0.0%), and the residual heterogeneity (τ² = 0.0589) was marginally higher than the overall τ² of the main analysis (0.055). This indicates that the number of CBT components did not explain the between-study variability observed at post-intervention.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77777777" w:rsidR="00FD4E54" w:rsidRDefault="00FD4E54" w:rsidP="00FD4E54">
      <w:pPr>
        <w:spacing w:after="120" w:line="360" w:lineRule="auto"/>
        <w:ind w:firstLine="360"/>
        <w:jc w:val="both"/>
      </w:pPr>
    </w:p>
    <w:p w14:paraId="68832FD0" w14:textId="77777777" w:rsidR="00FD4E54" w:rsidRDefault="00FD4E54" w:rsidP="00FD4E54">
      <w:pPr>
        <w:spacing w:after="120" w:line="360" w:lineRule="auto"/>
        <w:ind w:firstLine="360"/>
        <w:jc w:val="both"/>
      </w:pPr>
    </w:p>
    <w:p w14:paraId="1CCC2A71" w14:textId="77777777" w:rsidR="00FD4E54" w:rsidRDefault="00FD4E54" w:rsidP="00FD4E54">
      <w:pPr>
        <w:spacing w:after="120" w:line="360" w:lineRule="auto"/>
        <w:ind w:firstLine="360"/>
        <w:jc w:val="both"/>
      </w:pPr>
    </w:p>
    <w:p w14:paraId="0BE8F68F" w14:textId="77777777" w:rsidR="00FD4E54" w:rsidRDefault="00FD4E54" w:rsidP="00FD4E54">
      <w:pPr>
        <w:spacing w:after="120" w:line="360" w:lineRule="auto"/>
        <w:ind w:firstLine="360"/>
        <w:jc w:val="both"/>
      </w:pPr>
    </w:p>
    <w:p w14:paraId="7D6B2F00" w14:textId="77777777" w:rsidR="00FD4E54" w:rsidRDefault="00FD4E54" w:rsidP="00FD4E54">
      <w:pPr>
        <w:spacing w:after="120" w:line="360" w:lineRule="auto"/>
        <w:ind w:firstLine="360"/>
        <w:jc w:val="both"/>
      </w:pPr>
    </w:p>
    <w:p w14:paraId="3F5C7C1F" w14:textId="77777777" w:rsidR="00FD4E54" w:rsidRPr="00FD4E54" w:rsidRDefault="00FD4E54" w:rsidP="00FD4E54">
      <w:pPr>
        <w:rPr>
          <w:b/>
          <w:bCs/>
        </w:rPr>
      </w:pPr>
      <w:r w:rsidRPr="00FD4E54">
        <w:rPr>
          <w:rFonts w:hint="eastAsia"/>
          <w:b/>
          <w:bCs/>
        </w:rPr>
        <w:lastRenderedPageBreak/>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t>Component Count (centred)</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77777777" w:rsidR="00FD4E54" w:rsidRDefault="00FD4E54" w:rsidP="00780A6B">
            <w:pPr>
              <w:jc w:val="center"/>
            </w:pPr>
            <w:r>
              <w:rPr>
                <w:rFonts w:hint="eastAsia"/>
              </w:rPr>
              <w:t>0.070</w:t>
            </w:r>
          </w:p>
        </w:tc>
        <w:tc>
          <w:tcPr>
            <w:tcW w:w="711" w:type="dxa"/>
            <w:vAlign w:val="center"/>
          </w:tcPr>
          <w:p w14:paraId="7CEB0DB0" w14:textId="77777777" w:rsidR="00FD4E54" w:rsidRDefault="00FD4E54" w:rsidP="00780A6B">
            <w:pPr>
              <w:jc w:val="center"/>
            </w:pPr>
            <w:r>
              <w:rPr>
                <w:rFonts w:hint="eastAsia"/>
              </w:rPr>
              <w:t>0.057</w:t>
            </w:r>
          </w:p>
        </w:tc>
        <w:tc>
          <w:tcPr>
            <w:tcW w:w="2293" w:type="dxa"/>
            <w:vAlign w:val="center"/>
          </w:tcPr>
          <w:p w14:paraId="60791B03" w14:textId="77777777" w:rsidR="00FD4E54" w:rsidRDefault="00FD4E54" w:rsidP="00780A6B">
            <w:pPr>
              <w:jc w:val="center"/>
            </w:pPr>
            <w:r>
              <w:rPr>
                <w:rFonts w:hint="eastAsia"/>
              </w:rPr>
              <w:t>[</w:t>
            </w:r>
            <w:r w:rsidRPr="00374DE5">
              <w:t>−</w:t>
            </w:r>
            <w:r>
              <w:rPr>
                <w:rFonts w:hint="eastAsia"/>
              </w:rPr>
              <w:t>0.055, 0.195]</w:t>
            </w:r>
          </w:p>
        </w:tc>
        <w:tc>
          <w:tcPr>
            <w:tcW w:w="1100" w:type="dxa"/>
            <w:vAlign w:val="center"/>
          </w:tcPr>
          <w:p w14:paraId="210E2885" w14:textId="77777777" w:rsidR="00FD4E54" w:rsidRDefault="00FD4E54" w:rsidP="00780A6B">
            <w:pPr>
              <w:jc w:val="center"/>
            </w:pPr>
            <w:r>
              <w:rPr>
                <w:rFonts w:hint="eastAsia"/>
              </w:rPr>
              <w:t>.246</w:t>
            </w:r>
          </w:p>
        </w:tc>
        <w:tc>
          <w:tcPr>
            <w:tcW w:w="1017" w:type="dxa"/>
            <w:vAlign w:val="center"/>
          </w:tcPr>
          <w:p w14:paraId="37353568" w14:textId="77777777" w:rsidR="00FD4E54" w:rsidRDefault="00FD4E54" w:rsidP="00780A6B">
            <w:pPr>
              <w:jc w:val="center"/>
            </w:pPr>
            <w:r>
              <w:rPr>
                <w:rFonts w:hint="eastAsia"/>
              </w:rPr>
              <w:t>0.0%</w:t>
            </w:r>
          </w:p>
        </w:tc>
        <w:tc>
          <w:tcPr>
            <w:tcW w:w="1247" w:type="dxa"/>
            <w:vAlign w:val="center"/>
          </w:tcPr>
          <w:p w14:paraId="0F4EAE60" w14:textId="77777777" w:rsidR="00FD4E54" w:rsidRDefault="00FD4E54" w:rsidP="00780A6B">
            <w:pPr>
              <w:jc w:val="center"/>
            </w:pPr>
            <w:r>
              <w:rPr>
                <w:rFonts w:hint="eastAsia"/>
              </w:rPr>
              <w:t>0.0589</w:t>
            </w:r>
          </w:p>
        </w:tc>
      </w:tr>
    </w:tbl>
    <w:p w14:paraId="686333FE" w14:textId="77777777" w:rsidR="00FD4E54" w:rsidRDefault="00FD4E54" w:rsidP="00FD4E54">
      <w:pPr>
        <w:rPr>
          <w:i/>
          <w:iCs/>
        </w:rPr>
      </w:pPr>
    </w:p>
    <w:p w14:paraId="5DBD39BA" w14:textId="40CE809F" w:rsidR="00FD4E54" w:rsidRPr="00765C2E" w:rsidRDefault="00FD4E54" w:rsidP="00FD4E54">
      <w:pPr>
        <w:spacing w:after="120" w:line="360" w:lineRule="auto"/>
        <w:ind w:firstLine="360"/>
        <w:jc w:val="both"/>
      </w:pPr>
      <w:r w:rsidRPr="00FD4E54">
        <w:rPr>
          <w:i/>
          <w:iCs/>
        </w:rPr>
        <w:t>Note.</w:t>
      </w:r>
      <w:r w:rsidRPr="00FD4E54">
        <w:t xml:space="preserve"> k = number of studies; β = unstandardized regression coefficient (slope); SE = standard error; CI = confidence interval; R² = proportion of between-study heterogeneity explained by the predictor; residual τ² = between-study variance remaining after inclusion of the predictor. The number of CBT components was pre-specified as a moderator in Section 3.8.3 and was mean-centred prior to analysis. The model was estimated using a random-effects (mixed-effects) meta-regression with the restricted maximum-likelihood (REML) estimator and Hartung-Knapp adjustment, consistent with the main analysis. A non-significant slope and an R² of 0.0% indicate that the number of components did not account for the observed between-study heterogeneity</w:t>
      </w:r>
    </w:p>
    <w:p w14:paraId="7EC05BD2" w14:textId="36D9EBBD" w:rsidR="00A82808" w:rsidRPr="00A82808" w:rsidRDefault="00A82808" w:rsidP="00A82808">
      <w:pPr>
        <w:rPr>
          <w:rFonts w:hint="eastAsia"/>
        </w:rPr>
      </w:pPr>
    </w:p>
    <w:p w14:paraId="200D3999" w14:textId="403EF413" w:rsidR="00BC39C2" w:rsidRPr="002D4AB1" w:rsidRDefault="00BC39C2" w:rsidP="00BC39C2">
      <w:pPr>
        <w:pStyle w:val="3"/>
        <w:rPr>
          <w:rFonts w:eastAsiaTheme="minorEastAsia" w:hint="eastAsia"/>
        </w:rPr>
      </w:pPr>
      <w:r w:rsidRPr="00BC39C2">
        <w:t>4.5.5 Descriptive moderator summary</w:t>
      </w:r>
    </w:p>
    <w:p w14:paraId="482308F9" w14:textId="280E62B1" w:rsidR="00BC39C2" w:rsidRDefault="00BC39C2" w:rsidP="00BC39C2">
      <w:r w:rsidRPr="00BC39C2">
        <w:t xml:space="preserve">[1 </w:t>
      </w:r>
      <w:r w:rsidRPr="00BC39C2">
        <w:t>段，覆盖</w:t>
      </w:r>
      <w:r w:rsidRPr="00BC39C2">
        <w:t xml:space="preserve"> age group / delivery modality / dose </w:t>
      </w:r>
      <w:r w:rsidRPr="00BC39C2">
        <w:t>指向</w:t>
      </w:r>
      <w:r w:rsidRPr="00BC39C2">
        <w:t xml:space="preserve"> Section 4.2 </w:t>
      </w:r>
      <w:r w:rsidRPr="00BC39C2">
        <w:t>和</w:t>
      </w:r>
      <w:r w:rsidRPr="00BC39C2">
        <w:t xml:space="preserve"> 5.3</w:t>
      </w:r>
      <w:r w:rsidRPr="00BC39C2">
        <w:t>，不分子节</w:t>
      </w:r>
      <w:r w:rsidRPr="00BC39C2">
        <w:t>]</w:t>
      </w:r>
    </w:p>
    <w:p w14:paraId="23AAC91A" w14:textId="2EA0030E" w:rsidR="002D4AB1" w:rsidRDefault="002D4AB1" w:rsidP="00BC39C2">
      <w:pPr>
        <w:rPr>
          <w:rFonts w:hint="eastAsia"/>
        </w:rPr>
      </w:pPr>
      <w:r>
        <w:rPr>
          <w:rFonts w:hint="eastAsia"/>
        </w:rPr>
        <w:t>返回方法那里补一句：几乎每个研究的年龄段都横跨整个</w:t>
      </w:r>
      <w:r>
        <w:rPr>
          <w:rFonts w:hint="eastAsia"/>
        </w:rPr>
        <w:t>WHO</w:t>
      </w:r>
      <w:r>
        <w:rPr>
          <w:rFonts w:hint="eastAsia"/>
        </w:rPr>
        <w:t>所定义的青少年时期，分组无法进行</w:t>
      </w:r>
      <w:r w:rsidR="007502ED">
        <w:rPr>
          <w:rFonts w:hint="eastAsia"/>
        </w:rPr>
        <w:t>；</w:t>
      </w:r>
      <w:r w:rsidR="007502ED">
        <w:rPr>
          <w:rFonts w:hint="eastAsia"/>
        </w:rPr>
        <w:t>delivery modality</w:t>
      </w:r>
      <w:r w:rsidR="007502ED">
        <w:rPr>
          <w:rFonts w:hint="eastAsia"/>
        </w:rPr>
        <w:t>那里种类太过琐碎，大部分方式分组以后</w:t>
      </w:r>
      <w:r w:rsidR="007502ED">
        <w:rPr>
          <w:rFonts w:hint="eastAsia"/>
        </w:rPr>
        <w:t>k</w:t>
      </w:r>
      <w:r w:rsidR="007502ED">
        <w:rPr>
          <w:rFonts w:hint="eastAsia"/>
        </w:rPr>
        <w:t>会变得非常小，即便强行融合成</w:t>
      </w:r>
      <w:r w:rsidR="007502ED">
        <w:rPr>
          <w:rFonts w:hint="eastAsia"/>
        </w:rPr>
        <w:t>bib</w:t>
      </w:r>
      <w:r w:rsidR="007502ED">
        <w:rPr>
          <w:rFonts w:hint="eastAsia"/>
        </w:rPr>
        <w:t>、非</w:t>
      </w:r>
      <w:r w:rsidR="007502ED">
        <w:rPr>
          <w:rFonts w:hint="eastAsia"/>
        </w:rPr>
        <w:t>bib</w:t>
      </w:r>
      <w:r w:rsidR="007502ED">
        <w:rPr>
          <w:rFonts w:hint="eastAsia"/>
        </w:rPr>
        <w:t>，我们也无法无视非</w:t>
      </w:r>
      <w:r w:rsidR="007502ED">
        <w:rPr>
          <w:rFonts w:hint="eastAsia"/>
        </w:rPr>
        <w:t>bib</w:t>
      </w:r>
      <w:r w:rsidR="007502ED">
        <w:rPr>
          <w:rFonts w:hint="eastAsia"/>
        </w:rPr>
        <w:t>的差异也很大的事实；在研究的过程中我们也发现</w:t>
      </w:r>
      <w:r w:rsidR="007502ED">
        <w:rPr>
          <w:rFonts w:hint="eastAsia"/>
        </w:rPr>
        <w:t>dose</w:t>
      </w:r>
      <w:r w:rsidR="007502ED">
        <w:rPr>
          <w:rFonts w:hint="eastAsia"/>
        </w:rPr>
        <w:t>或许是很重要的因素，可是真正报告预计时长的项目不足够支持分组，有些</w:t>
      </w:r>
      <w:r w:rsidR="007502ED">
        <w:rPr>
          <w:rFonts w:hint="eastAsia"/>
        </w:rPr>
        <w:t>self-paced</w:t>
      </w:r>
      <w:r w:rsidR="007502ED">
        <w:rPr>
          <w:rFonts w:hint="eastAsia"/>
        </w:rPr>
        <w:t>项目其实并不能排除只进行几十分钟到几小时的嫌疑，仅进行描述性总结。</w:t>
      </w:r>
    </w:p>
    <w:p w14:paraId="30405A9A" w14:textId="77777777" w:rsidR="002D4AB1" w:rsidRPr="007502ED" w:rsidRDefault="002D4AB1" w:rsidP="00BC39C2">
      <w:pPr>
        <w:rPr>
          <w:rFonts w:hint="eastAsia"/>
        </w:rPr>
      </w:pPr>
    </w:p>
    <w:p w14:paraId="28A8738F" w14:textId="491940DD" w:rsidR="002060A8" w:rsidRPr="006E03C5" w:rsidRDefault="00D450DC">
      <w:pPr>
        <w:pStyle w:val="2"/>
      </w:pPr>
      <w:r>
        <w:t>4.</w:t>
      </w:r>
      <w:r w:rsidR="007C77E2">
        <w:rPr>
          <w:rFonts w:eastAsiaTheme="minorEastAsia" w:hint="eastAsia"/>
        </w:rPr>
        <w:t>6</w:t>
      </w:r>
      <w:r>
        <w:t>. 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43" w:name="OLE_LINK10"/>
      <w:r w:rsidRPr="002060A8">
        <w:rPr>
          <w:rFonts w:eastAsiaTheme="minorEastAsia"/>
        </w:rPr>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44" w:name="OLE_LINK45"/>
      <w:r>
        <w:rPr>
          <w:rFonts w:hint="eastAsia"/>
        </w:rPr>
        <w:t xml:space="preserve">Sensitivity analyses were conducted to assess the robustness of the post-intervention pooled estimate. </w:t>
      </w:r>
      <w:r>
        <w:t>O</w:t>
      </w:r>
      <w:r>
        <w:rPr>
          <w:rFonts w:hint="eastAsia"/>
        </w:rPr>
        <w:t xml:space="preserve">nly one study, Fleming et al. (2012), was identified as an outlier (g = 1.50, 95% CI [0.67, 2.34]). </w:t>
      </w:r>
    </w:p>
    <w:p w14:paraId="57ECEDB9" w14:textId="114BFFE3" w:rsidR="00DF4A32" w:rsidRDefault="00DF4A32" w:rsidP="00DF4A32">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(g =0.27), ranging from g = 0.20 (omitting Smith 2015) to g = 0.30 (omitting O</w:t>
      </w:r>
      <w:r>
        <w:t>’</w:t>
      </w:r>
      <w:r>
        <w:rPr>
          <w:rFonts w:hint="eastAsia"/>
        </w:rPr>
        <w:t>Dea 2020), and all 95% confidence intervals continued to exclude zero (smallest lower bound = 0.03, omitting Smith 2015). These result support the robustness of the main post-intervention analysis.</w:t>
      </w:r>
    </w:p>
    <w:p w14:paraId="441717E5" w14:textId="77777777" w:rsidR="006E6672" w:rsidRDefault="006E6672" w:rsidP="006E6672">
      <w:pPr>
        <w:spacing w:after="120" w:line="360" w:lineRule="auto"/>
        <w:jc w:val="both"/>
      </w:pPr>
    </w:p>
    <w:p w14:paraId="1919C2A2" w14:textId="77777777" w:rsidR="006E6672" w:rsidRDefault="006E6672" w:rsidP="006E6672">
      <w:pPr>
        <w:spacing w:after="120" w:line="360" w:lineRule="auto"/>
        <w:jc w:val="both"/>
      </w:pPr>
    </w:p>
    <w:p w14:paraId="0B586ECD" w14:textId="77777777" w:rsidR="006E6672" w:rsidRDefault="006E6672" w:rsidP="006E6672">
      <w:pPr>
        <w:spacing w:after="120" w:line="360" w:lineRule="auto"/>
        <w:jc w:val="both"/>
      </w:pPr>
    </w:p>
    <w:p w14:paraId="2F553AC3" w14:textId="4AAE3211" w:rsidR="006E6672" w:rsidRDefault="005A6079" w:rsidP="005A6079">
      <w:r w:rsidRPr="00204817">
        <w:rPr>
          <w:rFonts w:hint="eastAsia"/>
          <w:b/>
          <w:bCs/>
        </w:rPr>
        <w:t xml:space="preserve">Table X. </w:t>
      </w:r>
      <w:r>
        <w:rPr>
          <w:rFonts w:hint="eastAsia"/>
          <w:b/>
          <w:bCs/>
        </w:rPr>
        <w:t>Leave-One-Out</w:t>
      </w:r>
      <w:r w:rsidRPr="00204817">
        <w:rPr>
          <w:rFonts w:hint="eastAsia"/>
          <w:b/>
          <w:bCs/>
        </w:rPr>
        <w:t xml:space="preserve"> </w:t>
      </w:r>
      <w:r w:rsidRPr="00204817">
        <w:rPr>
          <w:b/>
          <w:bCs/>
        </w:rPr>
        <w:t>Analyses of the Pooled Post-Intervention Effect</w:t>
      </w:r>
    </w:p>
    <w:p w14:paraId="5DB8CF5A" w14:textId="77777777" w:rsidR="005A6079" w:rsidRPr="005A6079" w:rsidRDefault="005A6079" w:rsidP="005A6079">
      <w:pPr>
        <w:rPr>
          <w:rFonts w:hint="eastAsia"/>
        </w:rPr>
      </w:pPr>
    </w:p>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pPr>
            <w:r>
              <w:rPr>
                <w:rFonts w:hint="eastAsia"/>
              </w:rPr>
              <w:t>Fleming 2012</w:t>
            </w:r>
          </w:p>
        </w:tc>
        <w:tc>
          <w:tcPr>
            <w:tcW w:w="2337" w:type="dxa"/>
            <w:vAlign w:val="center"/>
          </w:tcPr>
          <w:p w14:paraId="0999391B" w14:textId="008F5A3D" w:rsidR="006E6672" w:rsidRDefault="006E6672" w:rsidP="006E6672">
            <w:pPr>
              <w:spacing w:after="120" w:line="360" w:lineRule="auto"/>
              <w:jc w:val="both"/>
            </w:pPr>
            <w:r>
              <w:rPr>
                <w:rFonts w:hint="eastAsia"/>
              </w:rPr>
              <w:t>0.225</w:t>
            </w:r>
          </w:p>
        </w:tc>
        <w:tc>
          <w:tcPr>
            <w:tcW w:w="2338" w:type="dxa"/>
            <w:vAlign w:val="center"/>
          </w:tcPr>
          <w:p w14:paraId="56308272" w14:textId="2C8A0F32" w:rsidR="006E6672" w:rsidRDefault="006E6672" w:rsidP="006E6672">
            <w:pPr>
              <w:spacing w:after="120" w:line="360" w:lineRule="auto"/>
              <w:jc w:val="both"/>
            </w:pPr>
            <w:r>
              <w:rPr>
                <w:rFonts w:hint="eastAsia"/>
              </w:rPr>
              <w:t>0.06</w:t>
            </w:r>
          </w:p>
        </w:tc>
        <w:tc>
          <w:tcPr>
            <w:tcW w:w="2338" w:type="dxa"/>
            <w:vAlign w:val="center"/>
          </w:tcPr>
          <w:p w14:paraId="1E092DC0" w14:textId="45D6F50A" w:rsidR="006E6672" w:rsidRDefault="006E6672" w:rsidP="006E6672">
            <w:pPr>
              <w:spacing w:after="120" w:line="360" w:lineRule="auto"/>
              <w:jc w:val="both"/>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pPr>
            <w:r>
              <w:rPr>
                <w:rFonts w:hint="eastAsia"/>
              </w:rPr>
              <w:t>Ackerson 1998</w:t>
            </w:r>
          </w:p>
        </w:tc>
        <w:tc>
          <w:tcPr>
            <w:tcW w:w="2337" w:type="dxa"/>
            <w:vAlign w:val="center"/>
          </w:tcPr>
          <w:p w14:paraId="670B9E09" w14:textId="26EDF5C3" w:rsidR="006E6672" w:rsidRDefault="004E1362" w:rsidP="006E6672">
            <w:pPr>
              <w:spacing w:after="120" w:line="360" w:lineRule="auto"/>
              <w:jc w:val="both"/>
            </w:pPr>
            <w:r>
              <w:rPr>
                <w:rFonts w:hint="eastAsia"/>
              </w:rPr>
              <w:t>0.246</w:t>
            </w:r>
          </w:p>
        </w:tc>
        <w:tc>
          <w:tcPr>
            <w:tcW w:w="2338" w:type="dxa"/>
            <w:vAlign w:val="center"/>
          </w:tcPr>
          <w:p w14:paraId="43BA9DE7" w14:textId="60C7A576" w:rsidR="006E6672" w:rsidRDefault="004E1362" w:rsidP="006E6672">
            <w:pPr>
              <w:spacing w:after="120" w:line="360" w:lineRule="auto"/>
              <w:jc w:val="both"/>
            </w:pPr>
            <w:r>
              <w:rPr>
                <w:rFonts w:hint="eastAsia"/>
              </w:rPr>
              <w:t>0.04</w:t>
            </w:r>
          </w:p>
        </w:tc>
        <w:tc>
          <w:tcPr>
            <w:tcW w:w="2338" w:type="dxa"/>
            <w:vAlign w:val="center"/>
          </w:tcPr>
          <w:p w14:paraId="69489091" w14:textId="56FF9B1C" w:rsidR="006E6672" w:rsidRDefault="004E1362" w:rsidP="006E6672">
            <w:pPr>
              <w:spacing w:after="120" w:line="360" w:lineRule="auto"/>
              <w:jc w:val="both"/>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pPr>
            <w:r>
              <w:rPr>
                <w:rFonts w:hint="eastAsia"/>
              </w:rPr>
              <w:t>Stasiak 2014</w:t>
            </w:r>
          </w:p>
        </w:tc>
        <w:tc>
          <w:tcPr>
            <w:tcW w:w="2337" w:type="dxa"/>
            <w:vAlign w:val="center"/>
          </w:tcPr>
          <w:p w14:paraId="78FB6A2B" w14:textId="4731C35C" w:rsidR="006E6672" w:rsidRDefault="009D4DAB" w:rsidP="006E6672">
            <w:pPr>
              <w:spacing w:after="120" w:line="360" w:lineRule="auto"/>
              <w:jc w:val="both"/>
            </w:pPr>
            <w:r>
              <w:rPr>
                <w:rFonts w:hint="eastAsia"/>
              </w:rPr>
              <w:t>0.259</w:t>
            </w:r>
          </w:p>
        </w:tc>
        <w:tc>
          <w:tcPr>
            <w:tcW w:w="2338" w:type="dxa"/>
            <w:vAlign w:val="center"/>
          </w:tcPr>
          <w:p w14:paraId="6024FDF0" w14:textId="3B0CAC5E" w:rsidR="006E6672" w:rsidRDefault="009D4DAB" w:rsidP="006E6672">
            <w:pPr>
              <w:spacing w:after="120" w:line="360" w:lineRule="auto"/>
              <w:jc w:val="both"/>
            </w:pPr>
            <w:r>
              <w:rPr>
                <w:rFonts w:hint="eastAsia"/>
              </w:rPr>
              <w:t>0.04</w:t>
            </w:r>
          </w:p>
        </w:tc>
        <w:tc>
          <w:tcPr>
            <w:tcW w:w="2338" w:type="dxa"/>
            <w:vAlign w:val="center"/>
          </w:tcPr>
          <w:p w14:paraId="062EC605" w14:textId="76AB81B7" w:rsidR="006E6672" w:rsidRDefault="009D4DAB" w:rsidP="006E6672">
            <w:pPr>
              <w:spacing w:after="120" w:line="360" w:lineRule="auto"/>
              <w:jc w:val="both"/>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pPr>
            <w:r>
              <w:rPr>
                <w:rFonts w:hint="eastAsia"/>
              </w:rPr>
              <w:t>Makarushka 2011</w:t>
            </w:r>
          </w:p>
        </w:tc>
        <w:tc>
          <w:tcPr>
            <w:tcW w:w="2337" w:type="dxa"/>
            <w:vAlign w:val="center"/>
          </w:tcPr>
          <w:p w14:paraId="2DE3762E" w14:textId="6D4CFD82" w:rsidR="006E6672" w:rsidRDefault="009D4DAB" w:rsidP="006E6672">
            <w:pPr>
              <w:spacing w:after="120" w:line="360" w:lineRule="auto"/>
              <w:jc w:val="both"/>
            </w:pPr>
            <w:r>
              <w:rPr>
                <w:rFonts w:hint="eastAsia"/>
              </w:rPr>
              <w:t>0.265</w:t>
            </w:r>
          </w:p>
        </w:tc>
        <w:tc>
          <w:tcPr>
            <w:tcW w:w="2338" w:type="dxa"/>
            <w:vAlign w:val="center"/>
          </w:tcPr>
          <w:p w14:paraId="0A399A75" w14:textId="4E43F041" w:rsidR="006E6672" w:rsidRDefault="009D4DAB" w:rsidP="006E6672">
            <w:pPr>
              <w:spacing w:after="120" w:line="360" w:lineRule="auto"/>
              <w:jc w:val="both"/>
            </w:pPr>
            <w:r>
              <w:rPr>
                <w:rFonts w:hint="eastAsia"/>
              </w:rPr>
              <w:t>0.04</w:t>
            </w:r>
          </w:p>
        </w:tc>
        <w:tc>
          <w:tcPr>
            <w:tcW w:w="2338" w:type="dxa"/>
            <w:vAlign w:val="center"/>
          </w:tcPr>
          <w:p w14:paraId="5EE72284" w14:textId="61CD2E6A" w:rsidR="006E6672" w:rsidRDefault="009D4DAB" w:rsidP="006E6672">
            <w:pPr>
              <w:spacing w:after="120" w:line="360" w:lineRule="auto"/>
              <w:jc w:val="both"/>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pPr>
            <w:r>
              <w:rPr>
                <w:rFonts w:hint="eastAsia"/>
              </w:rPr>
              <w:t>0.267</w:t>
            </w:r>
          </w:p>
        </w:tc>
        <w:tc>
          <w:tcPr>
            <w:tcW w:w="2338" w:type="dxa"/>
            <w:vAlign w:val="center"/>
          </w:tcPr>
          <w:p w14:paraId="6D501E28" w14:textId="66D3C119" w:rsidR="006E6672" w:rsidRDefault="009D4DAB" w:rsidP="006E6672">
            <w:pPr>
              <w:spacing w:after="120" w:line="360" w:lineRule="auto"/>
              <w:jc w:val="both"/>
            </w:pPr>
            <w:r>
              <w:rPr>
                <w:rFonts w:hint="eastAsia"/>
              </w:rPr>
              <w:t>0.04</w:t>
            </w:r>
          </w:p>
        </w:tc>
        <w:tc>
          <w:tcPr>
            <w:tcW w:w="2338" w:type="dxa"/>
            <w:vAlign w:val="center"/>
          </w:tcPr>
          <w:p w14:paraId="35A1DDD7" w14:textId="257096D6" w:rsidR="006E6672" w:rsidRDefault="009D4DAB" w:rsidP="006E6672">
            <w:pPr>
              <w:spacing w:after="120" w:line="360" w:lineRule="auto"/>
              <w:jc w:val="both"/>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pPr>
            <w:r>
              <w:rPr>
                <w:rFonts w:hint="eastAsia"/>
              </w:rPr>
              <w:t>Stice 2008</w:t>
            </w:r>
          </w:p>
        </w:tc>
        <w:tc>
          <w:tcPr>
            <w:tcW w:w="2337" w:type="dxa"/>
            <w:vAlign w:val="center"/>
          </w:tcPr>
          <w:p w14:paraId="72D72A81" w14:textId="0F7B486F" w:rsidR="006E6672" w:rsidRDefault="009D4DAB" w:rsidP="006E6672">
            <w:pPr>
              <w:spacing w:after="120" w:line="360" w:lineRule="auto"/>
              <w:jc w:val="both"/>
            </w:pPr>
            <w:r>
              <w:rPr>
                <w:rFonts w:hint="eastAsia"/>
              </w:rPr>
              <w:t>0.277</w:t>
            </w:r>
          </w:p>
        </w:tc>
        <w:tc>
          <w:tcPr>
            <w:tcW w:w="2338" w:type="dxa"/>
            <w:vAlign w:val="center"/>
          </w:tcPr>
          <w:p w14:paraId="43869A70" w14:textId="7FE4BAA6" w:rsidR="006E6672" w:rsidRDefault="009D4DAB" w:rsidP="006E6672">
            <w:pPr>
              <w:spacing w:after="120" w:line="360" w:lineRule="auto"/>
              <w:jc w:val="both"/>
            </w:pPr>
            <w:r>
              <w:rPr>
                <w:rFonts w:hint="eastAsia"/>
              </w:rPr>
              <w:t>0.05</w:t>
            </w:r>
          </w:p>
        </w:tc>
        <w:tc>
          <w:tcPr>
            <w:tcW w:w="2338" w:type="dxa"/>
            <w:vAlign w:val="center"/>
          </w:tcPr>
          <w:p w14:paraId="1DDF9308" w14:textId="3E0DE061" w:rsidR="006E6672" w:rsidRDefault="009D4DAB" w:rsidP="006E6672">
            <w:pPr>
              <w:spacing w:after="120" w:line="360" w:lineRule="auto"/>
              <w:jc w:val="both"/>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pPr>
            <w:r>
              <w:rPr>
                <w:rFonts w:hint="eastAsia"/>
              </w:rPr>
              <w:t>Stallard 2024</w:t>
            </w:r>
          </w:p>
        </w:tc>
        <w:tc>
          <w:tcPr>
            <w:tcW w:w="2337" w:type="dxa"/>
            <w:vAlign w:val="center"/>
          </w:tcPr>
          <w:p w14:paraId="14E3562F" w14:textId="0B27047B" w:rsidR="006E6672" w:rsidRDefault="009D4DAB" w:rsidP="006E6672">
            <w:pPr>
              <w:spacing w:after="120" w:line="360" w:lineRule="auto"/>
              <w:jc w:val="both"/>
            </w:pPr>
            <w:r>
              <w:rPr>
                <w:rFonts w:hint="eastAsia"/>
              </w:rPr>
              <w:t>0.281</w:t>
            </w:r>
          </w:p>
        </w:tc>
        <w:tc>
          <w:tcPr>
            <w:tcW w:w="2338" w:type="dxa"/>
            <w:vAlign w:val="center"/>
          </w:tcPr>
          <w:p w14:paraId="706E0E88" w14:textId="76BA58BD" w:rsidR="006E6672" w:rsidRDefault="009D4DAB" w:rsidP="006E6672">
            <w:pPr>
              <w:spacing w:after="120" w:line="360" w:lineRule="auto"/>
              <w:jc w:val="both"/>
            </w:pPr>
            <w:r>
              <w:rPr>
                <w:rFonts w:hint="eastAsia"/>
              </w:rPr>
              <w:t>0.05</w:t>
            </w:r>
          </w:p>
        </w:tc>
        <w:tc>
          <w:tcPr>
            <w:tcW w:w="2338" w:type="dxa"/>
            <w:vAlign w:val="center"/>
          </w:tcPr>
          <w:p w14:paraId="49305FDB" w14:textId="19333133" w:rsidR="006E6672" w:rsidRDefault="009D4DAB" w:rsidP="006E6672">
            <w:pPr>
              <w:spacing w:after="120" w:line="360" w:lineRule="auto"/>
              <w:jc w:val="both"/>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pPr>
            <w:r>
              <w:rPr>
                <w:rFonts w:hint="eastAsia"/>
              </w:rPr>
              <w:t>Ip 2016</w:t>
            </w:r>
          </w:p>
        </w:tc>
        <w:tc>
          <w:tcPr>
            <w:tcW w:w="2337" w:type="dxa"/>
            <w:vAlign w:val="center"/>
          </w:tcPr>
          <w:p w14:paraId="4E32F527" w14:textId="3A9BD6B1" w:rsidR="006E6672" w:rsidRDefault="009D4DAB" w:rsidP="006E6672">
            <w:pPr>
              <w:spacing w:after="120" w:line="360" w:lineRule="auto"/>
              <w:jc w:val="both"/>
            </w:pPr>
            <w:r>
              <w:rPr>
                <w:rFonts w:hint="eastAsia"/>
              </w:rPr>
              <w:t>0.282</w:t>
            </w:r>
          </w:p>
        </w:tc>
        <w:tc>
          <w:tcPr>
            <w:tcW w:w="2338" w:type="dxa"/>
            <w:vAlign w:val="center"/>
          </w:tcPr>
          <w:p w14:paraId="13F3A97E" w14:textId="28F5075B" w:rsidR="006E6672" w:rsidRDefault="009D4DAB" w:rsidP="006E6672">
            <w:pPr>
              <w:spacing w:after="120" w:line="360" w:lineRule="auto"/>
              <w:jc w:val="both"/>
            </w:pPr>
            <w:r>
              <w:rPr>
                <w:rFonts w:hint="eastAsia"/>
              </w:rPr>
              <w:t>0.05</w:t>
            </w:r>
          </w:p>
        </w:tc>
        <w:tc>
          <w:tcPr>
            <w:tcW w:w="2338" w:type="dxa"/>
            <w:vAlign w:val="center"/>
          </w:tcPr>
          <w:p w14:paraId="05BA15D4" w14:textId="1819E851" w:rsidR="006E6672" w:rsidRDefault="009D4DAB" w:rsidP="006E6672">
            <w:pPr>
              <w:spacing w:after="120" w:line="360" w:lineRule="auto"/>
              <w:jc w:val="both"/>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pPr>
            <w:r>
              <w:rPr>
                <w:rFonts w:hint="eastAsia"/>
              </w:rPr>
              <w:t>0.285</w:t>
            </w:r>
          </w:p>
        </w:tc>
        <w:tc>
          <w:tcPr>
            <w:tcW w:w="2338" w:type="dxa"/>
            <w:vAlign w:val="center"/>
          </w:tcPr>
          <w:p w14:paraId="100EF4BE" w14:textId="224438B5" w:rsidR="006E6672" w:rsidRDefault="000F7A64" w:rsidP="006E6672">
            <w:pPr>
              <w:spacing w:after="120" w:line="360" w:lineRule="auto"/>
              <w:jc w:val="both"/>
            </w:pPr>
            <w:r>
              <w:rPr>
                <w:rFonts w:hint="eastAsia"/>
              </w:rPr>
              <w:t>0.06</w:t>
            </w:r>
          </w:p>
        </w:tc>
        <w:tc>
          <w:tcPr>
            <w:tcW w:w="2338" w:type="dxa"/>
            <w:vAlign w:val="center"/>
          </w:tcPr>
          <w:p w14:paraId="28CFCFD4" w14:textId="48C62803" w:rsidR="006E6672" w:rsidRDefault="000F7A64" w:rsidP="006E6672">
            <w:pPr>
              <w:spacing w:after="120" w:line="360" w:lineRule="auto"/>
              <w:jc w:val="both"/>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pPr>
            <w:r>
              <w:rPr>
                <w:rFonts w:hint="eastAsia"/>
              </w:rPr>
              <w:t>Ranney 2018</w:t>
            </w:r>
          </w:p>
        </w:tc>
        <w:tc>
          <w:tcPr>
            <w:tcW w:w="2337" w:type="dxa"/>
            <w:vAlign w:val="center"/>
          </w:tcPr>
          <w:p w14:paraId="38F17C47" w14:textId="44BEBE87" w:rsidR="006E6672" w:rsidRDefault="000F7A64" w:rsidP="006E6672">
            <w:pPr>
              <w:spacing w:after="120" w:line="360" w:lineRule="auto"/>
              <w:jc w:val="both"/>
            </w:pPr>
            <w:r>
              <w:rPr>
                <w:rFonts w:hint="eastAsia"/>
              </w:rPr>
              <w:t>0.292</w:t>
            </w:r>
          </w:p>
        </w:tc>
        <w:tc>
          <w:tcPr>
            <w:tcW w:w="2338" w:type="dxa"/>
            <w:vAlign w:val="center"/>
          </w:tcPr>
          <w:p w14:paraId="233974F4" w14:textId="6A069C9F" w:rsidR="006E6672" w:rsidRDefault="000F7A64" w:rsidP="006E6672">
            <w:pPr>
              <w:spacing w:after="120" w:line="360" w:lineRule="auto"/>
              <w:jc w:val="both"/>
            </w:pPr>
            <w:r>
              <w:rPr>
                <w:rFonts w:hint="eastAsia"/>
              </w:rPr>
              <w:t>0.07</w:t>
            </w:r>
          </w:p>
        </w:tc>
        <w:tc>
          <w:tcPr>
            <w:tcW w:w="2338" w:type="dxa"/>
            <w:vAlign w:val="center"/>
          </w:tcPr>
          <w:p w14:paraId="6E488137" w14:textId="0A2A85E9" w:rsidR="006E6672" w:rsidRDefault="000F7A64" w:rsidP="006E6672">
            <w:pPr>
              <w:spacing w:after="120" w:line="360" w:lineRule="auto"/>
              <w:jc w:val="both"/>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pPr>
            <w:r>
              <w:rPr>
                <w:rFonts w:hint="eastAsia"/>
              </w:rPr>
              <w:t>Poppelaars 2016</w:t>
            </w:r>
          </w:p>
        </w:tc>
        <w:tc>
          <w:tcPr>
            <w:tcW w:w="2337" w:type="dxa"/>
            <w:tcBorders>
              <w:bottom w:val="nil"/>
            </w:tcBorders>
            <w:vAlign w:val="center"/>
          </w:tcPr>
          <w:p w14:paraId="18888810" w14:textId="7F18F2E7" w:rsidR="006E6672" w:rsidRDefault="000F7A64" w:rsidP="006E6672">
            <w:pPr>
              <w:spacing w:after="120" w:line="360" w:lineRule="auto"/>
              <w:jc w:val="both"/>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6347B9FE" w:rsidR="000F7A64" w:rsidRDefault="000F7A64" w:rsidP="006E6672">
            <w:pPr>
              <w:spacing w:after="120" w:line="360" w:lineRule="auto"/>
              <w:jc w:val="both"/>
            </w:pPr>
            <w:r>
              <w:rPr>
                <w:rFonts w:hint="eastAsia"/>
              </w:rPr>
              <w:t>O</w:t>
            </w:r>
            <w:r>
              <w:t>’</w:t>
            </w:r>
            <w:r>
              <w:rPr>
                <w:rFonts w:hint="eastAsia"/>
              </w:rPr>
              <w:t>Dea 202</w:t>
            </w:r>
            <w:r w:rsidR="001F70E3">
              <w:rPr>
                <w:rFonts w:hint="eastAsia"/>
              </w:rPr>
              <w:t>0</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pPr>
            <w:r>
              <w:rPr>
                <w:rFonts w:hint="eastAsia"/>
              </w:rPr>
              <w:t>0.50</w:t>
            </w:r>
          </w:p>
        </w:tc>
      </w:tr>
    </w:tbl>
    <w:p w14:paraId="5FB12DD4" w14:textId="77777777" w:rsidR="00660811" w:rsidRDefault="00660811" w:rsidP="00660811">
      <w:pPr>
        <w:rPr>
          <w:i/>
          <w:iCs/>
        </w:rPr>
      </w:pPr>
    </w:p>
    <w:p w14:paraId="74FED95E" w14:textId="4299B7C5" w:rsidR="00660811" w:rsidRDefault="00660811" w:rsidP="00660811">
      <w:pPr>
        <w:rPr>
          <w:rFonts w:hint="eastAsia"/>
        </w:rPr>
      </w:pPr>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w:t>
      </w:r>
      <w:r w:rsidRPr="0008077C">
        <w:rPr>
          <w:i/>
          <w:iCs/>
        </w:rPr>
        <w:t>I</w:t>
      </w:r>
      <w:r w:rsidRPr="0008077C">
        <w:t>² = percentage of total variability attributable to between-study heterogeneity. The main analysis refers to the post-intervention model.</w:t>
      </w:r>
    </w:p>
    <w:p w14:paraId="56342C4F" w14:textId="77777777" w:rsidR="006E6672" w:rsidRPr="00684D51" w:rsidRDefault="006E6672" w:rsidP="006E6672">
      <w:pPr>
        <w:spacing w:after="120" w:line="360" w:lineRule="auto"/>
        <w:jc w:val="both"/>
      </w:pPr>
    </w:p>
    <w:bookmarkEnd w:id="43"/>
    <w:bookmarkEnd w:id="44"/>
    <w:p w14:paraId="06BADE12" w14:textId="13BD78F5" w:rsidR="002706F0" w:rsidRPr="006312E9" w:rsidRDefault="002060A8" w:rsidP="006312E9">
      <w:pPr>
        <w:pStyle w:val="3"/>
        <w:rPr>
          <w:rFonts w:eastAsiaTheme="minorEastAsia" w:hint="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456AA6F0" w14:textId="5DA0C12D" w:rsidR="002706F0" w:rsidRDefault="00AD6DC9" w:rsidP="00AD6DC9">
      <w:pPr>
        <w:spacing w:after="120" w:line="360" w:lineRule="auto"/>
        <w:ind w:firstLine="360"/>
        <w:jc w:val="both"/>
        <w:rPr>
          <w:rFonts w:hint="eastAsia"/>
        </w:rPr>
      </w:pPr>
      <w:r w:rsidRPr="00AD6DC9">
        <w:t xml:space="preserve">The planned sensitivity analyses did not materially alter the main post-intervention result. Across the sensitivity analyses, the point estimates remained close to the main estimate, and the pooled effects </w:t>
      </w:r>
      <w:r w:rsidRPr="00AD6DC9">
        <w:lastRenderedPageBreak/>
        <w:t>consistently remained small and positive. The 95% confidence intervals were broadly comparable to that of the main analysis, with no sensitivity model showing a substantial shift away from the original estimate. However, the lower bounds of the 95% confidence intervals were generally close to the null, and all 95% prediction intervals continued to span zero. Heterogeneity also remained evident, with I² values remaining close to the main analysis estimate of 63.3%.</w:t>
      </w:r>
    </w:p>
    <w:p w14:paraId="7B555562" w14:textId="77777777" w:rsidR="00204817" w:rsidRDefault="00204817" w:rsidP="00FA670F"/>
    <w:p w14:paraId="3B5A53D0" w14:textId="1CEAEB65" w:rsidR="00204817" w:rsidRDefault="00204817" w:rsidP="00FA670F">
      <w:pPr>
        <w:rPr>
          <w:rFonts w:hint="eastAsia"/>
        </w:rPr>
      </w:pPr>
      <w:bookmarkStart w:id="45" w:name="OLE_LINK50"/>
      <w:r w:rsidRPr="00204817">
        <w:rPr>
          <w:rFonts w:hint="eastAsia"/>
          <w:b/>
          <w:bCs/>
        </w:rPr>
        <w:t xml:space="preserve">Table X. Sensitivity </w:t>
      </w:r>
      <w:r w:rsidRPr="00204817">
        <w:rPr>
          <w:b/>
          <w:bCs/>
        </w:rPr>
        <w:t>Analyses of the Pooled Post-Intervention Effect</w:t>
      </w:r>
    </w:p>
    <w:bookmarkEnd w:id="45"/>
    <w:p w14:paraId="2D436AAA" w14:textId="77777777" w:rsidR="002706F0" w:rsidRDefault="002706F0" w:rsidP="00FA670F"/>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08077C">
        <w:trPr>
          <w:trHeight w:val="721"/>
          <w:jc w:val="center"/>
        </w:trPr>
        <w:tc>
          <w:tcPr>
            <w:tcW w:w="1789" w:type="dxa"/>
            <w:tcBorders>
              <w:top w:val="single" w:sz="8" w:space="0" w:color="auto"/>
              <w:bottom w:val="single" w:sz="4" w:space="0" w:color="auto"/>
            </w:tcBorders>
            <w:vAlign w:val="center"/>
          </w:tcPr>
          <w:p w14:paraId="68E17B32" w14:textId="2BBB3FEB" w:rsidR="00B2388E" w:rsidRPr="00B2388E" w:rsidRDefault="00B2388E" w:rsidP="00B2388E">
            <w:pPr>
              <w:jc w:val="center"/>
              <w:rPr>
                <w:b/>
                <w:bCs/>
              </w:rPr>
            </w:pPr>
            <w:r w:rsidRPr="00B2388E">
              <w:rPr>
                <w:rFonts w:hint="eastAsia"/>
                <w:b/>
                <w:bCs/>
              </w:rPr>
              <w:t>Analysis</w:t>
            </w:r>
          </w:p>
        </w:tc>
        <w:tc>
          <w:tcPr>
            <w:tcW w:w="1441" w:type="dxa"/>
            <w:tcBorders>
              <w:top w:val="single" w:sz="8" w:space="0" w:color="auto"/>
              <w:bottom w:val="single" w:sz="4" w:space="0" w:color="auto"/>
            </w:tcBorders>
            <w:vAlign w:val="center"/>
          </w:tcPr>
          <w:p w14:paraId="2D4013AB" w14:textId="5004DF43" w:rsidR="00B2388E" w:rsidRPr="00B2388E" w:rsidRDefault="00B2388E" w:rsidP="00B2388E">
            <w:pPr>
              <w:jc w:val="center"/>
              <w:rPr>
                <w:b/>
                <w:bCs/>
                <w:i/>
                <w:iCs/>
              </w:rPr>
            </w:pPr>
            <w:r w:rsidRPr="00B2388E">
              <w:rPr>
                <w:rFonts w:hint="eastAsia"/>
                <w:b/>
                <w:bCs/>
                <w:i/>
                <w:iCs/>
              </w:rPr>
              <w:t>k</w:t>
            </w:r>
          </w:p>
        </w:tc>
        <w:tc>
          <w:tcPr>
            <w:tcW w:w="1684" w:type="dxa"/>
            <w:tcBorders>
              <w:top w:val="single" w:sz="8" w:space="0" w:color="auto"/>
              <w:bottom w:val="single" w:sz="4" w:space="0" w:color="auto"/>
            </w:tcBorders>
            <w:vAlign w:val="center"/>
          </w:tcPr>
          <w:p w14:paraId="0E3F4D2F" w14:textId="580E23A1" w:rsidR="00B2388E" w:rsidRPr="00B2388E" w:rsidRDefault="00B2388E" w:rsidP="00B2388E">
            <w:pPr>
              <w:jc w:val="center"/>
              <w:rPr>
                <w:b/>
                <w:bCs/>
              </w:rPr>
            </w:pPr>
            <w:r w:rsidRPr="00B2388E">
              <w:rPr>
                <w:rFonts w:hint="eastAsia"/>
                <w:b/>
                <w:bCs/>
              </w:rPr>
              <w:t>Hedges</w:t>
            </w:r>
            <w:r w:rsidRPr="00B2388E">
              <w:rPr>
                <w:b/>
                <w:bCs/>
              </w:rPr>
              <w:t>’</w:t>
            </w:r>
            <w:r w:rsidRPr="00B2388E">
              <w:rPr>
                <w:rFonts w:hint="eastAsia"/>
                <w:b/>
                <w:bCs/>
                <w:i/>
                <w:iCs/>
              </w:rPr>
              <w:t xml:space="preserve"> g</w:t>
            </w:r>
          </w:p>
        </w:tc>
        <w:tc>
          <w:tcPr>
            <w:tcW w:w="1574" w:type="dxa"/>
            <w:tcBorders>
              <w:top w:val="single" w:sz="8" w:space="0" w:color="auto"/>
              <w:bottom w:val="single" w:sz="4" w:space="0" w:color="auto"/>
            </w:tcBorders>
            <w:vAlign w:val="center"/>
          </w:tcPr>
          <w:p w14:paraId="2D80B12F" w14:textId="5E129239" w:rsidR="00B2388E" w:rsidRPr="00B2388E" w:rsidRDefault="00B2388E" w:rsidP="00B2388E">
            <w:pPr>
              <w:jc w:val="center"/>
              <w:rPr>
                <w:b/>
                <w:bCs/>
              </w:rPr>
            </w:pPr>
            <w:r w:rsidRPr="00B2388E">
              <w:rPr>
                <w:rFonts w:hint="eastAsia"/>
                <w:b/>
                <w:bCs/>
              </w:rPr>
              <w:t>95% CI</w:t>
            </w:r>
          </w:p>
        </w:tc>
        <w:tc>
          <w:tcPr>
            <w:tcW w:w="1630" w:type="dxa"/>
            <w:tcBorders>
              <w:top w:val="single" w:sz="8" w:space="0" w:color="auto"/>
              <w:bottom w:val="single" w:sz="4" w:space="0" w:color="auto"/>
            </w:tcBorders>
            <w:vAlign w:val="center"/>
          </w:tcPr>
          <w:p w14:paraId="2D399AE0" w14:textId="7E04AB25" w:rsidR="00B2388E" w:rsidRPr="00B2388E" w:rsidRDefault="00B2388E" w:rsidP="00B2388E">
            <w:pPr>
              <w:jc w:val="center"/>
              <w:rPr>
                <w:b/>
                <w:bCs/>
              </w:rPr>
            </w:pPr>
            <w:r w:rsidRPr="00B2388E">
              <w:rPr>
                <w:rFonts w:hint="eastAsia"/>
                <w:b/>
                <w:bCs/>
              </w:rPr>
              <w:t>95% PI</w:t>
            </w:r>
          </w:p>
        </w:tc>
        <w:tc>
          <w:tcPr>
            <w:tcW w:w="1516" w:type="dxa"/>
            <w:tcBorders>
              <w:top w:val="single" w:sz="8" w:space="0" w:color="auto"/>
              <w:bottom w:val="single" w:sz="4" w:space="0" w:color="auto"/>
            </w:tcBorders>
            <w:vAlign w:val="center"/>
          </w:tcPr>
          <w:p w14:paraId="15F7581F" w14:textId="789D976D" w:rsidR="00B2388E" w:rsidRPr="00B2388E" w:rsidRDefault="00B2388E" w:rsidP="00B2388E">
            <w:pPr>
              <w:jc w:val="center"/>
              <w:rPr>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08077C">
        <w:trPr>
          <w:trHeight w:val="1134"/>
          <w:jc w:val="center"/>
        </w:trPr>
        <w:tc>
          <w:tcPr>
            <w:tcW w:w="1789" w:type="dxa"/>
            <w:tcBorders>
              <w:top w:val="single" w:sz="4" w:space="0" w:color="auto"/>
              <w:bottom w:val="nil"/>
            </w:tcBorders>
            <w:vAlign w:val="center"/>
          </w:tcPr>
          <w:p w14:paraId="0933377F" w14:textId="7F463122" w:rsidR="00B2388E" w:rsidRDefault="00B2388E" w:rsidP="00B2388E">
            <w:pPr>
              <w:jc w:val="center"/>
            </w:pPr>
            <w:r>
              <w:rPr>
                <w:rFonts w:hint="eastAsia"/>
              </w:rPr>
              <w:t>Main analysis</w:t>
            </w:r>
          </w:p>
        </w:tc>
        <w:tc>
          <w:tcPr>
            <w:tcW w:w="1441" w:type="dxa"/>
            <w:tcBorders>
              <w:top w:val="single" w:sz="4" w:space="0" w:color="auto"/>
              <w:bottom w:val="nil"/>
            </w:tcBorders>
            <w:vAlign w:val="center"/>
          </w:tcPr>
          <w:p w14:paraId="0CE4B7E4" w14:textId="7E98C35B" w:rsidR="00B2388E" w:rsidRDefault="00B2388E" w:rsidP="00B2388E">
            <w:pPr>
              <w:jc w:val="center"/>
            </w:pPr>
            <w:r>
              <w:rPr>
                <w:rFonts w:hint="eastAsia"/>
              </w:rPr>
              <w:t>14</w:t>
            </w:r>
          </w:p>
        </w:tc>
        <w:tc>
          <w:tcPr>
            <w:tcW w:w="1684" w:type="dxa"/>
            <w:tcBorders>
              <w:top w:val="single" w:sz="4" w:space="0" w:color="auto"/>
              <w:bottom w:val="nil"/>
            </w:tcBorders>
            <w:vAlign w:val="center"/>
          </w:tcPr>
          <w:p w14:paraId="3D6F5482" w14:textId="358CCF1E" w:rsidR="00B2388E" w:rsidRDefault="00B2388E" w:rsidP="00B2388E">
            <w:pPr>
              <w:jc w:val="center"/>
            </w:pPr>
            <w:r w:rsidRPr="00B2388E">
              <w:t>0.2</w:t>
            </w:r>
            <w:r w:rsidR="00BD41D3">
              <w:rPr>
                <w:rFonts w:hint="eastAsia"/>
              </w:rPr>
              <w:t>68</w:t>
            </w:r>
          </w:p>
        </w:tc>
        <w:tc>
          <w:tcPr>
            <w:tcW w:w="1574" w:type="dxa"/>
            <w:tcBorders>
              <w:top w:val="single" w:sz="4" w:space="0" w:color="auto"/>
              <w:bottom w:val="nil"/>
            </w:tcBorders>
            <w:vAlign w:val="center"/>
          </w:tcPr>
          <w:p w14:paraId="7309DF48" w14:textId="5C991BE9" w:rsidR="00B2388E" w:rsidRDefault="00B2388E" w:rsidP="00B2388E">
            <w:pPr>
              <w:jc w:val="center"/>
            </w:pPr>
            <w:r w:rsidRPr="00B2388E">
              <w:t>[0.06, 0.47]</w:t>
            </w:r>
          </w:p>
        </w:tc>
        <w:tc>
          <w:tcPr>
            <w:tcW w:w="1630" w:type="dxa"/>
            <w:tcBorders>
              <w:top w:val="single" w:sz="4" w:space="0" w:color="auto"/>
              <w:bottom w:val="nil"/>
            </w:tcBorders>
            <w:vAlign w:val="center"/>
          </w:tcPr>
          <w:p w14:paraId="7754DD38" w14:textId="51E90593" w:rsidR="00B2388E" w:rsidRDefault="00B2388E" w:rsidP="00B2388E">
            <w:pPr>
              <w:jc w:val="center"/>
            </w:pPr>
            <w:r w:rsidRPr="00573723">
              <w:t>[−0.27, 0.80]</w:t>
            </w:r>
          </w:p>
        </w:tc>
        <w:tc>
          <w:tcPr>
            <w:tcW w:w="1516" w:type="dxa"/>
            <w:tcBorders>
              <w:top w:val="single" w:sz="4" w:space="0" w:color="auto"/>
              <w:bottom w:val="nil"/>
            </w:tcBorders>
            <w:vAlign w:val="center"/>
          </w:tcPr>
          <w:p w14:paraId="0DB7A1A3" w14:textId="0C4B63AF" w:rsidR="00B2388E" w:rsidRDefault="00B2388E" w:rsidP="00B2388E">
            <w:pPr>
              <w:jc w:val="center"/>
            </w:pPr>
            <w:r>
              <w:rPr>
                <w:rFonts w:hint="eastAsia"/>
              </w:rPr>
              <w:t>63.3</w:t>
            </w:r>
          </w:p>
        </w:tc>
      </w:tr>
      <w:tr w:rsidR="00DC2A38" w14:paraId="2B08BF1D" w14:textId="77777777" w:rsidTr="0008077C">
        <w:trPr>
          <w:trHeight w:val="1134"/>
          <w:jc w:val="center"/>
        </w:trPr>
        <w:tc>
          <w:tcPr>
            <w:tcW w:w="1789" w:type="dxa"/>
            <w:tcBorders>
              <w:top w:val="nil"/>
              <w:bottom w:val="nil"/>
            </w:tcBorders>
            <w:vAlign w:val="center"/>
          </w:tcPr>
          <w:p w14:paraId="6FE4672D" w14:textId="4077EA9A" w:rsidR="00B2388E" w:rsidRDefault="00B2388E" w:rsidP="00B2388E">
            <w:pPr>
              <w:jc w:val="center"/>
            </w:pPr>
            <w:r>
              <w:rPr>
                <w:rFonts w:hint="eastAsia"/>
              </w:rPr>
              <w:t>Excluding studies at high risk of bias</w:t>
            </w:r>
          </w:p>
        </w:tc>
        <w:tc>
          <w:tcPr>
            <w:tcW w:w="1441" w:type="dxa"/>
            <w:tcBorders>
              <w:top w:val="nil"/>
              <w:bottom w:val="nil"/>
            </w:tcBorders>
            <w:vAlign w:val="center"/>
          </w:tcPr>
          <w:p w14:paraId="28572F19" w14:textId="30D52FA9" w:rsidR="00B2388E" w:rsidRDefault="00B2388E" w:rsidP="00B2388E">
            <w:pPr>
              <w:jc w:val="center"/>
            </w:pPr>
            <w:r>
              <w:rPr>
                <w:rFonts w:hint="eastAsia"/>
              </w:rPr>
              <w:t>12</w:t>
            </w:r>
          </w:p>
        </w:tc>
        <w:tc>
          <w:tcPr>
            <w:tcW w:w="1684" w:type="dxa"/>
            <w:tcBorders>
              <w:top w:val="nil"/>
              <w:bottom w:val="nil"/>
            </w:tcBorders>
            <w:vAlign w:val="center"/>
          </w:tcPr>
          <w:p w14:paraId="33B68E66" w14:textId="4740D5CE" w:rsidR="00B2388E" w:rsidRDefault="00DC2A38" w:rsidP="00B2388E">
            <w:pPr>
              <w:jc w:val="center"/>
            </w:pPr>
            <w:r>
              <w:rPr>
                <w:rFonts w:hint="eastAsia"/>
              </w:rPr>
              <w:t>0.260</w:t>
            </w:r>
          </w:p>
        </w:tc>
        <w:tc>
          <w:tcPr>
            <w:tcW w:w="1574" w:type="dxa"/>
            <w:tcBorders>
              <w:top w:val="nil"/>
              <w:bottom w:val="nil"/>
            </w:tcBorders>
            <w:vAlign w:val="center"/>
          </w:tcPr>
          <w:p w14:paraId="7D81C15B" w14:textId="0D86543C" w:rsidR="00B2388E" w:rsidRDefault="00DC2A38" w:rsidP="00B2388E">
            <w:pPr>
              <w:jc w:val="center"/>
            </w:pPr>
            <w:r>
              <w:rPr>
                <w:rFonts w:hint="eastAsia"/>
              </w:rPr>
              <w:t>[0.04, 0.48]</w:t>
            </w:r>
          </w:p>
        </w:tc>
        <w:tc>
          <w:tcPr>
            <w:tcW w:w="1630" w:type="dxa"/>
            <w:tcBorders>
              <w:top w:val="nil"/>
              <w:bottom w:val="nil"/>
            </w:tcBorders>
            <w:vAlign w:val="center"/>
          </w:tcPr>
          <w:p w14:paraId="3F1F8765" w14:textId="7751FE5F" w:rsidR="00B2388E" w:rsidRDefault="00DC2A38" w:rsidP="00B2388E">
            <w:pPr>
              <w:jc w:val="center"/>
            </w:pPr>
            <w:r>
              <w:rPr>
                <w:rFonts w:hint="eastAsia"/>
              </w:rPr>
              <w:t>[</w:t>
            </w:r>
            <w:r w:rsidR="001F70E3" w:rsidRPr="001F70E3">
              <w:t>−0.30</w:t>
            </w:r>
            <w:r>
              <w:rPr>
                <w:rFonts w:hint="eastAsia"/>
              </w:rPr>
              <w:t>, 0.</w:t>
            </w:r>
            <w:r w:rsidR="001F70E3">
              <w:rPr>
                <w:rFonts w:hint="eastAsia"/>
              </w:rPr>
              <w:t>82</w:t>
            </w:r>
            <w:r>
              <w:rPr>
                <w:rFonts w:hint="eastAsia"/>
              </w:rPr>
              <w:t>]</w:t>
            </w:r>
          </w:p>
        </w:tc>
        <w:tc>
          <w:tcPr>
            <w:tcW w:w="1516" w:type="dxa"/>
            <w:tcBorders>
              <w:top w:val="nil"/>
              <w:bottom w:val="nil"/>
            </w:tcBorders>
            <w:vAlign w:val="center"/>
          </w:tcPr>
          <w:p w14:paraId="379A06EF" w14:textId="4184D850" w:rsidR="00B2388E" w:rsidRDefault="00DC2A38" w:rsidP="00B2388E">
            <w:pPr>
              <w:jc w:val="center"/>
            </w:pPr>
            <w:r>
              <w:rPr>
                <w:rFonts w:hint="eastAsia"/>
              </w:rPr>
              <w:t>65.7</w:t>
            </w:r>
          </w:p>
        </w:tc>
      </w:tr>
      <w:tr w:rsidR="00B2388E" w14:paraId="4FC8FBCC" w14:textId="77777777" w:rsidTr="0008077C">
        <w:trPr>
          <w:trHeight w:val="1134"/>
          <w:jc w:val="center"/>
        </w:trPr>
        <w:tc>
          <w:tcPr>
            <w:tcW w:w="1789" w:type="dxa"/>
            <w:tcBorders>
              <w:top w:val="nil"/>
              <w:bottom w:val="nil"/>
            </w:tcBorders>
            <w:vAlign w:val="center"/>
          </w:tcPr>
          <w:p w14:paraId="54907E80" w14:textId="0B6031BC" w:rsidR="00B2388E" w:rsidRPr="00B2388E" w:rsidRDefault="00B2388E" w:rsidP="00B2388E">
            <w:pPr>
              <w:jc w:val="center"/>
            </w:pPr>
            <w:r>
              <w:rPr>
                <w:rFonts w:hint="eastAsia"/>
              </w:rPr>
              <w:t>Peer-reviewed journal articles only</w:t>
            </w:r>
          </w:p>
        </w:tc>
        <w:tc>
          <w:tcPr>
            <w:tcW w:w="1441" w:type="dxa"/>
            <w:tcBorders>
              <w:top w:val="nil"/>
              <w:bottom w:val="nil"/>
            </w:tcBorders>
            <w:vAlign w:val="center"/>
          </w:tcPr>
          <w:p w14:paraId="4651E62B" w14:textId="51E3DAC0" w:rsidR="00B2388E" w:rsidRDefault="00DC2A38" w:rsidP="00B2388E">
            <w:pPr>
              <w:jc w:val="center"/>
            </w:pPr>
            <w:r>
              <w:rPr>
                <w:rFonts w:hint="eastAsia"/>
              </w:rPr>
              <w:t>12</w:t>
            </w:r>
          </w:p>
        </w:tc>
        <w:tc>
          <w:tcPr>
            <w:tcW w:w="1684" w:type="dxa"/>
            <w:tcBorders>
              <w:top w:val="nil"/>
              <w:bottom w:val="nil"/>
            </w:tcBorders>
            <w:vAlign w:val="center"/>
          </w:tcPr>
          <w:p w14:paraId="4EF7C827" w14:textId="3768A8FC" w:rsidR="00B2388E" w:rsidRDefault="00DC2A38" w:rsidP="00B2388E">
            <w:pPr>
              <w:jc w:val="center"/>
            </w:pPr>
            <w:r>
              <w:rPr>
                <w:rFonts w:hint="eastAsia"/>
              </w:rPr>
              <w:t>0.26</w:t>
            </w:r>
            <w:r w:rsidR="001F70E3">
              <w:rPr>
                <w:rFonts w:hint="eastAsia"/>
              </w:rPr>
              <w:t>5</w:t>
            </w:r>
          </w:p>
        </w:tc>
        <w:tc>
          <w:tcPr>
            <w:tcW w:w="1574" w:type="dxa"/>
            <w:tcBorders>
              <w:top w:val="nil"/>
              <w:bottom w:val="nil"/>
            </w:tcBorders>
            <w:vAlign w:val="center"/>
          </w:tcPr>
          <w:p w14:paraId="12C6536B" w14:textId="22AECE84" w:rsidR="00B2388E" w:rsidRDefault="00DC2A38" w:rsidP="00B2388E">
            <w:pPr>
              <w:jc w:val="center"/>
            </w:pPr>
            <w:r>
              <w:rPr>
                <w:rFonts w:hint="eastAsia"/>
              </w:rPr>
              <w:t>[0.00, 0.53]</w:t>
            </w:r>
          </w:p>
        </w:tc>
        <w:tc>
          <w:tcPr>
            <w:tcW w:w="1630" w:type="dxa"/>
            <w:tcBorders>
              <w:top w:val="nil"/>
              <w:bottom w:val="nil"/>
            </w:tcBorders>
            <w:vAlign w:val="center"/>
          </w:tcPr>
          <w:p w14:paraId="5D7ADBC7" w14:textId="5D29B85F" w:rsidR="00B2388E" w:rsidRDefault="00DC2A38" w:rsidP="00B2388E">
            <w:pPr>
              <w:jc w:val="center"/>
            </w:pPr>
            <w:r>
              <w:rPr>
                <w:rFonts w:hint="eastAsia"/>
              </w:rPr>
              <w:t>[</w:t>
            </w:r>
            <w:r w:rsidRPr="00573723">
              <w:t>−0</w:t>
            </w:r>
            <w:r>
              <w:rPr>
                <w:rFonts w:hint="eastAsia"/>
              </w:rPr>
              <w:t>.41, 0.94]</w:t>
            </w:r>
          </w:p>
        </w:tc>
        <w:tc>
          <w:tcPr>
            <w:tcW w:w="1516" w:type="dxa"/>
            <w:tcBorders>
              <w:top w:val="nil"/>
              <w:bottom w:val="nil"/>
            </w:tcBorders>
            <w:vAlign w:val="center"/>
          </w:tcPr>
          <w:p w14:paraId="4D4E4C11" w14:textId="2E5045FF" w:rsidR="00B2388E" w:rsidRDefault="00DC2A38" w:rsidP="00B2388E">
            <w:pPr>
              <w:jc w:val="center"/>
            </w:pPr>
            <w:r>
              <w:rPr>
                <w:rFonts w:hint="eastAsia"/>
              </w:rPr>
              <w:t>66.5</w:t>
            </w:r>
          </w:p>
        </w:tc>
      </w:tr>
      <w:tr w:rsidR="00DC2A38" w14:paraId="7CE16777" w14:textId="77777777" w:rsidTr="0008077C">
        <w:trPr>
          <w:trHeight w:val="1134"/>
          <w:jc w:val="center"/>
        </w:trPr>
        <w:tc>
          <w:tcPr>
            <w:tcW w:w="1789" w:type="dxa"/>
            <w:tcBorders>
              <w:top w:val="nil"/>
              <w:bottom w:val="single" w:sz="8" w:space="0" w:color="auto"/>
            </w:tcBorders>
            <w:vAlign w:val="center"/>
          </w:tcPr>
          <w:p w14:paraId="45069377" w14:textId="4ABE6846" w:rsidR="00DC2A38" w:rsidRDefault="00DC2A38" w:rsidP="00B2388E">
            <w:pPr>
              <w:jc w:val="center"/>
            </w:pPr>
            <w:r>
              <w:rPr>
                <w:rFonts w:hint="eastAsia"/>
              </w:rPr>
              <w:t>Depression as primary target</w:t>
            </w:r>
          </w:p>
        </w:tc>
        <w:tc>
          <w:tcPr>
            <w:tcW w:w="1441" w:type="dxa"/>
            <w:tcBorders>
              <w:top w:val="nil"/>
              <w:bottom w:val="single" w:sz="8" w:space="0" w:color="auto"/>
            </w:tcBorders>
            <w:vAlign w:val="center"/>
          </w:tcPr>
          <w:p w14:paraId="2854116D" w14:textId="44560525" w:rsidR="00DC2A38" w:rsidRDefault="00DC2A38" w:rsidP="00B2388E">
            <w:pPr>
              <w:jc w:val="center"/>
            </w:pPr>
            <w:r>
              <w:rPr>
                <w:rFonts w:hint="eastAsia"/>
              </w:rPr>
              <w:t>11</w:t>
            </w:r>
          </w:p>
        </w:tc>
        <w:tc>
          <w:tcPr>
            <w:tcW w:w="1684" w:type="dxa"/>
            <w:tcBorders>
              <w:top w:val="nil"/>
              <w:bottom w:val="single" w:sz="8" w:space="0" w:color="auto"/>
            </w:tcBorders>
            <w:vAlign w:val="center"/>
          </w:tcPr>
          <w:p w14:paraId="3C2D4A3B" w14:textId="03B46DDD" w:rsidR="00DC2A38" w:rsidRDefault="00DC2A38" w:rsidP="00B2388E">
            <w:pPr>
              <w:jc w:val="center"/>
            </w:pPr>
            <w:r>
              <w:rPr>
                <w:rFonts w:hint="eastAsia"/>
              </w:rPr>
              <w:t>0.348</w:t>
            </w:r>
          </w:p>
        </w:tc>
        <w:tc>
          <w:tcPr>
            <w:tcW w:w="1574" w:type="dxa"/>
            <w:tcBorders>
              <w:top w:val="nil"/>
              <w:bottom w:val="single" w:sz="8" w:space="0" w:color="auto"/>
            </w:tcBorders>
            <w:vAlign w:val="center"/>
          </w:tcPr>
          <w:p w14:paraId="308585C9" w14:textId="257B2472" w:rsidR="00DC2A38" w:rsidRDefault="00DC2A38" w:rsidP="00B2388E">
            <w:pPr>
              <w:jc w:val="center"/>
            </w:pPr>
            <w:r>
              <w:rPr>
                <w:rFonts w:hint="eastAsia"/>
              </w:rPr>
              <w:t>[0.1, 0.59]</w:t>
            </w:r>
          </w:p>
        </w:tc>
        <w:tc>
          <w:tcPr>
            <w:tcW w:w="1630" w:type="dxa"/>
            <w:tcBorders>
              <w:top w:val="nil"/>
              <w:bottom w:val="single" w:sz="8" w:space="0" w:color="auto"/>
            </w:tcBorders>
            <w:vAlign w:val="center"/>
          </w:tcPr>
          <w:p w14:paraId="0D6A4D62" w14:textId="185CDCAF" w:rsidR="00DC2A38" w:rsidRDefault="00DC2A38" w:rsidP="00B2388E">
            <w:pPr>
              <w:jc w:val="center"/>
            </w:pPr>
            <w:r>
              <w:rPr>
                <w:rFonts w:hint="eastAsia"/>
              </w:rPr>
              <w:t>[</w:t>
            </w:r>
            <w:r w:rsidRPr="00573723">
              <w:t>−</w:t>
            </w:r>
            <w:r>
              <w:rPr>
                <w:rFonts w:hint="eastAsia"/>
              </w:rPr>
              <w:t>0.22, 0.92]</w:t>
            </w:r>
          </w:p>
        </w:tc>
        <w:tc>
          <w:tcPr>
            <w:tcW w:w="1516" w:type="dxa"/>
            <w:tcBorders>
              <w:top w:val="nil"/>
              <w:bottom w:val="single" w:sz="8" w:space="0" w:color="auto"/>
            </w:tcBorders>
            <w:vAlign w:val="center"/>
          </w:tcPr>
          <w:p w14:paraId="42276884" w14:textId="7BE7E826" w:rsidR="00DC2A38" w:rsidRDefault="00DC2A38" w:rsidP="00B2388E">
            <w:pPr>
              <w:jc w:val="center"/>
            </w:pPr>
            <w:r>
              <w:rPr>
                <w:rFonts w:hint="eastAsia"/>
              </w:rPr>
              <w:t>62.3</w:t>
            </w:r>
          </w:p>
        </w:tc>
      </w:tr>
    </w:tbl>
    <w:p w14:paraId="7E2530D3" w14:textId="77777777" w:rsidR="0008077C" w:rsidRDefault="0008077C" w:rsidP="0008077C"/>
    <w:p w14:paraId="56636448" w14:textId="73938A15" w:rsidR="0008077C" w:rsidRDefault="0008077C" w:rsidP="0008077C">
      <w:pPr>
        <w:rPr>
          <w:rFonts w:hint="eastAsia"/>
        </w:rPr>
      </w:pPr>
      <w:bookmarkStart w:id="46" w:name="OLE_LINK5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PI = prediction interval; </w:t>
      </w:r>
      <w:r w:rsidRPr="0008077C">
        <w:rPr>
          <w:i/>
          <w:iCs/>
        </w:rPr>
        <w:t>I</w:t>
      </w:r>
      <w:r w:rsidRPr="0008077C">
        <w:t>² = percentage of total variability attributable to between-study heterogeneity. The main analysis refers to the post-intervention model.</w:t>
      </w:r>
    </w:p>
    <w:bookmarkEnd w:id="46"/>
    <w:p w14:paraId="664A92A5" w14:textId="045531C4"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P</w:t>
      </w:r>
      <w:r>
        <w:rPr>
          <w:rFonts w:eastAsiaTheme="minorEastAsia" w:hint="eastAsia"/>
        </w:rPr>
        <w:t>ost-hoc</w:t>
      </w:r>
      <w:r w:rsidRPr="002060A8">
        <w:rPr>
          <w:rFonts w:eastAsiaTheme="minorEastAsia"/>
        </w:rPr>
        <w:t xml:space="preserve"> sensitivity analyses</w:t>
      </w:r>
      <w:r>
        <w:rPr>
          <w:rFonts w:eastAsiaTheme="minorEastAsia" w:hint="eastAsia"/>
        </w:rPr>
        <w:t xml:space="preserve">: </w:t>
      </w:r>
      <w:r w:rsidR="005B1742">
        <w:rPr>
          <w:rFonts w:eastAsiaTheme="minorEastAsia" w:hint="eastAsia"/>
        </w:rPr>
        <w:t xml:space="preserve">two </w:t>
      </w:r>
      <w:r>
        <w:rPr>
          <w:rFonts w:eastAsiaTheme="minorEastAsia" w:hint="eastAsia"/>
        </w:rPr>
        <w:t>methodological concerns</w:t>
      </w:r>
    </w:p>
    <w:p w14:paraId="61400124" w14:textId="77777777" w:rsidR="005B1742" w:rsidRDefault="00AD6DC9" w:rsidP="00AD6DC9">
      <w:pPr>
        <w:spacing w:after="120" w:line="360" w:lineRule="auto"/>
        <w:ind w:firstLine="360"/>
        <w:jc w:val="both"/>
      </w:pPr>
      <w:r w:rsidRPr="00AD6DC9">
        <w:t xml:space="preserve">Two additional sensitivity analyses were conducted to address methodological issues identified during data extraction: the use of both endpoint and change-score effect sizes across studies, and the inclusion of one cluster-randomized trial that did not report an intraclass correlation coefficient (ICC). </w:t>
      </w:r>
    </w:p>
    <w:p w14:paraId="607174C1" w14:textId="7AE93FC2" w:rsidR="00AD6DC9" w:rsidRPr="00AD6DC9" w:rsidRDefault="00AD6DC9" w:rsidP="00AD6DC9">
      <w:pPr>
        <w:spacing w:after="120" w:line="360" w:lineRule="auto"/>
        <w:ind w:firstLine="360"/>
        <w:jc w:val="both"/>
        <w:rPr>
          <w:rFonts w:hint="eastAsia"/>
        </w:rPr>
      </w:pPr>
      <w:r w:rsidRPr="00AD6DC9">
        <w:t>Neither issue materially altered the main post-intervention result. Restricting the analysis to endpoint-based effect sizes reduced the pooled estimate slightly but left the effect small and positive (k = 11, g = 0.217, 95% CI [0.01, 0.43]), with heterogeneity remaining similar to the main model. Including the cluster-</w:t>
      </w:r>
      <w:r w:rsidRPr="00AD6DC9">
        <w:lastRenderedPageBreak/>
        <w:t>randomized trial by applying design-effect corrections under assumed ICC values of 0.01, 0.03, 0.05, and 0.10 also produced virtually unchanged estimates (k = 15, g ≈ 0.258–0.259, 95% CI approximately [0.07, 0.45]), with I² remaining around 61%.</w:t>
      </w:r>
    </w:p>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no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r w:rsidRPr="00D8153E">
        <w:rPr>
          <w:i/>
          <w:iCs/>
        </w:rPr>
        <w:t>t</w:t>
      </w:r>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r w:rsidRPr="00D8153E">
        <w:rPr>
          <w:i/>
          <w:iCs/>
        </w:rPr>
        <w:t>t</w:t>
      </w:r>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lastRenderedPageBreak/>
        <w:drawing>
          <wp:inline distT="0" distB="0" distL="0" distR="0" wp14:anchorId="5C9BA0DB" wp14:editId="752763D2">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A629B4">
        <w:trPr>
          <w:trHeight w:val="867"/>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r w:rsidRPr="00E701EB">
              <w:rPr>
                <w:b/>
                <w:bCs/>
                <w:i/>
                <w:iCs/>
              </w:rPr>
              <w:t>df</w:t>
            </w:r>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694C1B67" w14:textId="6361888C" w:rsidR="00671AD3"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36C0E66A" w14:textId="77777777" w:rsidR="00E701EB" w:rsidRDefault="00E701EB" w:rsidP="007C77E2">
      <w:pPr>
        <w:spacing w:after="120" w:line="360" w:lineRule="auto"/>
        <w:jc w:val="both"/>
        <w:rPr>
          <w:b/>
          <w:bCs/>
          <w:noProof/>
        </w:rPr>
      </w:pPr>
    </w:p>
    <w:p w14:paraId="4ECBAED4" w14:textId="77777777" w:rsidR="007C0E99" w:rsidRDefault="007C0E99" w:rsidP="007C77E2">
      <w:pPr>
        <w:spacing w:after="120" w:line="360" w:lineRule="auto"/>
        <w:jc w:val="both"/>
        <w:rPr>
          <w:b/>
          <w:bCs/>
          <w:noProof/>
        </w:rPr>
      </w:pPr>
    </w:p>
    <w:p w14:paraId="2AC27584" w14:textId="77777777" w:rsidR="007C0E99" w:rsidRDefault="007C0E99" w:rsidP="007C77E2">
      <w:pPr>
        <w:spacing w:after="120" w:line="360" w:lineRule="auto"/>
        <w:jc w:val="both"/>
        <w:rPr>
          <w:b/>
          <w:bCs/>
          <w:noProof/>
        </w:rPr>
      </w:pPr>
    </w:p>
    <w:p w14:paraId="37CD4787" w14:textId="77777777" w:rsidR="007C0E99" w:rsidRDefault="007C0E99" w:rsidP="007C77E2">
      <w:pPr>
        <w:spacing w:after="120" w:line="360" w:lineRule="auto"/>
        <w:jc w:val="both"/>
        <w:rPr>
          <w:b/>
          <w:bCs/>
          <w:noProof/>
        </w:rPr>
      </w:pPr>
    </w:p>
    <w:p w14:paraId="3578019A" w14:textId="77777777" w:rsidR="007C0E99" w:rsidRDefault="007C0E99" w:rsidP="007C77E2">
      <w:pPr>
        <w:spacing w:after="120" w:line="360" w:lineRule="auto"/>
        <w:jc w:val="both"/>
        <w:rPr>
          <w:b/>
          <w:bCs/>
          <w:noProof/>
        </w:rPr>
      </w:pPr>
    </w:p>
    <w:p w14:paraId="1CE64F04" w14:textId="77777777" w:rsidR="007C0E99" w:rsidRDefault="007C0E99" w:rsidP="007C77E2">
      <w:pPr>
        <w:spacing w:after="120" w:line="360" w:lineRule="auto"/>
        <w:jc w:val="both"/>
        <w:rPr>
          <w:b/>
          <w:bCs/>
          <w:noProof/>
        </w:rPr>
      </w:pPr>
    </w:p>
    <w:p w14:paraId="15681D1F" w14:textId="77777777" w:rsidR="007C0E99" w:rsidRDefault="007C0E99" w:rsidP="007C77E2">
      <w:pPr>
        <w:spacing w:after="120" w:line="360" w:lineRule="auto"/>
        <w:jc w:val="both"/>
        <w:rPr>
          <w:b/>
          <w:bCs/>
          <w:noProof/>
        </w:rPr>
      </w:pPr>
    </w:p>
    <w:p w14:paraId="56E99093" w14:textId="77777777" w:rsidR="007C0E99" w:rsidRDefault="007C0E99" w:rsidP="007C77E2">
      <w:pPr>
        <w:spacing w:after="120" w:line="360" w:lineRule="auto"/>
        <w:jc w:val="both"/>
        <w:rPr>
          <w:b/>
          <w:bCs/>
          <w:noProof/>
        </w:rPr>
      </w:pP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835B35">
      <w:pPr>
        <w:spacing w:after="120" w:line="360" w:lineRule="auto"/>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47" w:name="OLE_LINK41"/>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Poppelaars 2016; Smith 2015) reported zero dropout events in one arm, while dropout rates varied substantially across the remaining studies (from 0% to over 80%). This pattern indicates that adolescent unguided self-help CBT </w:t>
      </w:r>
      <w:r w:rsidRPr="00894D18">
        <w:lastRenderedPageBreak/>
        <w:t>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the majority of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² = 40.5%, Q = 23.54, df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Exploratory influence diagnostics following Viechtbauer and Cheung (2010) identified O'Dea (2025) as the single high-influence study in the analysis, with an externally standardized residual of 2.91, DFFITS of 1.48, and Cook's distance of 0.65, all exceeding standard thresholds. The Baujat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Baujat plot (Baujat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47"/>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p w14:paraId="0290E43C" w14:textId="77777777" w:rsidR="000C3784" w:rsidRDefault="00D450DC">
      <w:pPr>
        <w:pStyle w:val="1"/>
        <w:pageBreakBefore/>
      </w:pPr>
      <w:r>
        <w:lastRenderedPageBreak/>
        <w:t>Chapter 5. Discussion and Conclusion</w:t>
      </w:r>
    </w:p>
    <w:p w14:paraId="0B908D98" w14:textId="77777777" w:rsidR="000C3784" w:rsidRDefault="00D450DC">
      <w:pPr>
        <w:pStyle w:val="2"/>
      </w:pPr>
      <w:r>
        <w:t>5.1. Summary of Findings</w:t>
      </w:r>
    </w:p>
    <w:p w14:paraId="4394B1C0" w14:textId="77777777" w:rsidR="000C3784" w:rsidRDefault="00D450DC">
      <w:pPr>
        <w:spacing w:after="120" w:line="360" w:lineRule="auto"/>
        <w:ind w:firstLine="360"/>
        <w:jc w:val="both"/>
      </w:pPr>
      <w:r>
        <w:rPr>
          <w:rFonts w:eastAsia="Times New Roman"/>
        </w:rPr>
        <w:t>[Placeholder: principal findings mapped to research questions.]</w:t>
      </w:r>
    </w:p>
    <w:p w14:paraId="3A73DFB1" w14:textId="77777777" w:rsidR="000C3784" w:rsidRDefault="00D450DC">
      <w:pPr>
        <w:pStyle w:val="2"/>
      </w:pPr>
      <w:r>
        <w:t>5.2. Comparison with Prior Reviews</w:t>
      </w:r>
    </w:p>
    <w:p w14:paraId="0A5968C3" w14:textId="77777777" w:rsidR="000C3784" w:rsidRDefault="00D450DC">
      <w:pPr>
        <w:spacing w:after="120" w:line="360" w:lineRule="auto"/>
        <w:ind w:firstLine="360"/>
        <w:jc w:val="both"/>
      </w:pPr>
      <w:r>
        <w:rPr>
          <w:rFonts w:eastAsia="Times New Roman"/>
        </w:rPr>
        <w:t>[Placeholder: comparison with Bjornstad et al. (2024), Furukawa et al. (2021), and Tong et al. (2024).]</w:t>
      </w:r>
    </w:p>
    <w:p w14:paraId="2314C40D" w14:textId="4EAC2D40" w:rsidR="000C3784" w:rsidRDefault="001F5182">
      <w:pPr>
        <w:pStyle w:val="2"/>
      </w:pPr>
      <w:r w:rsidRPr="001F5182">
        <w:t>5.3. Interpretation of Subgroup, Sensitivity, and Meta-Regression Findings</w:t>
      </w:r>
    </w:p>
    <w:p w14:paraId="21028A38" w14:textId="38300E37" w:rsidR="00EE1AD5" w:rsidRDefault="00EE1AD5" w:rsidP="00EE1AD5">
      <w:pPr>
        <w:pStyle w:val="3"/>
        <w:rPr>
          <w:rFonts w:eastAsiaTheme="minorEastAsia"/>
        </w:rPr>
      </w:pPr>
      <w:r w:rsidRPr="00EE1AD5">
        <w:t xml:space="preserve">5.3.1 Subgroup findings (control type, baseline severity, age, human contact) </w:t>
      </w:r>
    </w:p>
    <w:p w14:paraId="52FA67E0" w14:textId="63A2DD27" w:rsidR="00CB5677" w:rsidRPr="00CB5677" w:rsidRDefault="00CB5677" w:rsidP="00CB5677">
      <w:pPr>
        <w:spacing w:after="120" w:line="360" w:lineRule="auto"/>
        <w:ind w:firstLine="360"/>
        <w:jc w:val="both"/>
      </w:pPr>
      <w:r w:rsidRPr="00CB5677">
        <w:t>These analyses were interpreted as exploratory because CBT components co-occurred within multi-component intervention packages and therefore cannot be interpreted as estimates of the independent causal effect of individual components.</w:t>
      </w:r>
    </w:p>
    <w:p w14:paraId="797D5CE2" w14:textId="68892424" w:rsidR="00EE1AD5" w:rsidRPr="00EE1AD5" w:rsidRDefault="00EE1AD5" w:rsidP="00EE1AD5">
      <w:pPr>
        <w:pStyle w:val="3"/>
      </w:pPr>
      <w:r w:rsidRPr="00EE1AD5">
        <w:t xml:space="preserve">5.3.2 Sensitivity analyses (publication type, strict cutoff, treatment vs. prevention, depression primary vs. secondary, dose intensity, </w:t>
      </w:r>
      <w:r w:rsidR="003F159A">
        <w:rPr>
          <w:rFonts w:eastAsiaTheme="minorEastAsia" w:hint="eastAsia"/>
        </w:rPr>
        <w:t xml:space="preserve">effect size format, </w:t>
      </w:r>
      <w:r w:rsidRPr="00EE1AD5">
        <w:t xml:space="preserve">leave-one-out) </w:t>
      </w:r>
    </w:p>
    <w:p w14:paraId="423E3FBF" w14:textId="202375FE" w:rsidR="00EE1AD5" w:rsidRPr="00EE1AD5" w:rsidRDefault="00EE1AD5" w:rsidP="00EE1AD5">
      <w:pPr>
        <w:pStyle w:val="3"/>
      </w:pPr>
      <w:r w:rsidRPr="00EE1AD5">
        <w:t>5.3.3 Meta-regression and descriptive characterization (component count, total dose, delivery modality, component configuration)</w:t>
      </w:r>
    </w:p>
    <w:p w14:paraId="3D67CA83" w14:textId="77777777" w:rsidR="000C3784" w:rsidRDefault="00D450DC">
      <w:pPr>
        <w:pStyle w:val="2"/>
      </w:pPr>
      <w:r>
        <w:t>5.4. Limitations</w:t>
      </w:r>
    </w:p>
    <w:p w14:paraId="51D0D3D6" w14:textId="77777777" w:rsidR="000C3784" w:rsidRDefault="00D450DC">
      <w:pPr>
        <w:spacing w:after="120" w:line="360" w:lineRule="auto"/>
        <w:ind w:firstLine="360"/>
        <w:jc w:val="both"/>
      </w:pPr>
      <w:r>
        <w:rPr>
          <w:rFonts w:eastAsia="Times New Roman"/>
        </w:rPr>
        <w:t>[Placeholder for limitations, including: small number of trials meeting the inactive-control criterion post-2023; heterogeneity in support-level reporting; reliance on back-calculated SDs for some trials; and use of study-level subgroup analysis rather than individual participant data.]</w:t>
      </w:r>
    </w:p>
    <w:p w14:paraId="17E09483" w14:textId="119F41C2" w:rsidR="00141DB8" w:rsidRPr="00141DB8" w:rsidRDefault="00141DB8" w:rsidP="00141DB8">
      <w:pPr>
        <w:spacing w:after="120" w:line="360" w:lineRule="auto"/>
        <w:ind w:firstLine="360"/>
        <w:jc w:val="both"/>
      </w:pPr>
      <w:r>
        <w:rPr>
          <w:rFonts w:hint="eastAsia"/>
        </w:rPr>
        <w:t>严格控制研究背景尽可能接近青少年的求助生态，但是也产生了纳入研究数量不够乐观的情况。这是很多后续问题只能这种解决的根本原因。具体产生的问题如下：</w:t>
      </w:r>
      <w:r>
        <w:rPr>
          <w:rFonts w:hint="eastAsia"/>
        </w:rPr>
        <w:t>1.</w:t>
      </w:r>
      <w:r w:rsidRPr="00141DB8">
        <w:rPr>
          <w:rFonts w:hint="eastAsia"/>
        </w:rPr>
        <w:t xml:space="preserve"> </w:t>
      </w:r>
      <w:r>
        <w:rPr>
          <w:rFonts w:hint="eastAsia"/>
        </w:rPr>
        <w:t>为了解决进入亚组以后</w:t>
      </w:r>
      <w:r>
        <w:rPr>
          <w:rFonts w:hint="eastAsia"/>
        </w:rPr>
        <w:t>changescore</w:t>
      </w:r>
      <w:r>
        <w:rPr>
          <w:rFonts w:hint="eastAsia"/>
        </w:rPr>
        <w:t>的小李问题，虽然按照</w:t>
      </w:r>
      <w:r>
        <w:rPr>
          <w:rFonts w:hint="eastAsia"/>
        </w:rPr>
        <w:t>osteinal</w:t>
      </w:r>
      <w:r>
        <w:rPr>
          <w:rFonts w:hint="eastAsia"/>
        </w:rPr>
        <w:t>的研究方案</w:t>
      </w:r>
      <w:r>
        <w:rPr>
          <w:rFonts w:hint="eastAsia"/>
        </w:rPr>
        <w:t>pooled</w:t>
      </w:r>
      <w:r>
        <w:rPr>
          <w:rFonts w:hint="eastAsia"/>
        </w:rPr>
        <w:t>了</w:t>
      </w:r>
      <w:r>
        <w:rPr>
          <w:rFonts w:hint="eastAsia"/>
        </w:rPr>
        <w:t>change score</w:t>
      </w:r>
      <w:r>
        <w:rPr>
          <w:rFonts w:hint="eastAsia"/>
        </w:rPr>
        <w:t>，但是是否真的可以垂直平移到本研究依旧是未知的；</w:t>
      </w:r>
      <w:r>
        <w:rPr>
          <w:rFonts w:hint="eastAsia"/>
        </w:rPr>
        <w:t xml:space="preserve">2. </w:t>
      </w:r>
      <w:r>
        <w:rPr>
          <w:rFonts w:hint="eastAsia"/>
        </w:rPr>
        <w:t>进入亚组分析和回归分析时，很多先前研究已经做出来的更严谨的框架没能真的在本研究中展开，而是选择性地根据关键特征进行了合并，导致的结果就</w:t>
      </w:r>
      <w:r>
        <w:rPr>
          <w:rFonts w:hint="eastAsia"/>
        </w:rPr>
        <w:lastRenderedPageBreak/>
        <w:t>是组内的异质性很大，解释会极其受限，跟前人研究的对话也不够充分。</w:t>
      </w:r>
      <w:r w:rsidR="00B911B5">
        <w:rPr>
          <w:rFonts w:hint="eastAsia"/>
        </w:rPr>
        <w:t>-</w:t>
      </w:r>
      <w:r w:rsidR="00B911B5">
        <w:rPr>
          <w:rFonts w:hint="eastAsia"/>
        </w:rPr>
        <w:t>》建议以后得研究可以适当放开，例如允许</w:t>
      </w:r>
      <w:r w:rsidR="00B911B5">
        <w:rPr>
          <w:rFonts w:hint="eastAsia"/>
        </w:rPr>
        <w:t>guided</w:t>
      </w:r>
      <w:r w:rsidR="00B911B5">
        <w:rPr>
          <w:rFonts w:hint="eastAsia"/>
        </w:rPr>
        <w:t>成分纳入，拓宽年龄限制只</w:t>
      </w:r>
      <w:r w:rsidR="00B911B5">
        <w:rPr>
          <w:rFonts w:hint="eastAsia"/>
        </w:rPr>
        <w:t>young adult</w:t>
      </w:r>
      <w:r w:rsidR="00B911B5">
        <w:rPr>
          <w:rFonts w:hint="eastAsia"/>
        </w:rPr>
        <w:t>等，进一步补充这类问题的全貌。</w:t>
      </w:r>
    </w:p>
    <w:p w14:paraId="7403C918" w14:textId="6608C576" w:rsidR="00071638" w:rsidRDefault="00071638" w:rsidP="00141DB8">
      <w:pPr>
        <w:spacing w:after="120" w:line="360" w:lineRule="auto"/>
        <w:ind w:firstLine="360"/>
        <w:jc w:val="both"/>
      </w:pPr>
      <w:r w:rsidRPr="00071638">
        <w:t>2.0 Domain 2</w:t>
      </w:r>
      <w:r w:rsidRPr="00071638">
        <w:t>（</w:t>
      </w:r>
      <w:r w:rsidRPr="00071638">
        <w:t>deviations from intended interventions</w:t>
      </w:r>
      <w:r w:rsidRPr="00071638">
        <w:t>）在多数纳入研究中只能被判为</w:t>
      </w:r>
      <w:r w:rsidRPr="00071638">
        <w:t xml:space="preserve"> Some concerns</w:t>
      </w:r>
      <w:r w:rsidRPr="00071638">
        <w:t>。这是该领域的结构性特征，而非个别研究的方法缺陷。</w:t>
      </w:r>
      <w:r w:rsidRPr="00071638">
        <w:t xml:space="preserve"> Risk-of-bias </w:t>
      </w:r>
      <w:r w:rsidRPr="00071638">
        <w:t>评估在</w:t>
      </w:r>
      <w:r w:rsidRPr="00071638">
        <w:t xml:space="preserve"> Domain 5 </w:t>
      </w:r>
      <w:r w:rsidRPr="00071638">
        <w:t>上依赖了</w:t>
      </w:r>
      <w:r w:rsidRPr="00071638">
        <w:t xml:space="preserve"> trial registration </w:t>
      </w:r>
      <w:r w:rsidRPr="00071638">
        <w:t>作为</w:t>
      </w:r>
      <w:r w:rsidRPr="00071638">
        <w:t xml:space="preserve"> pre-specification </w:t>
      </w:r>
      <w:r w:rsidRPr="00071638">
        <w:t>的代理证据，未对每项研究的完整</w:t>
      </w:r>
      <w:r w:rsidRPr="00071638">
        <w:t xml:space="preserve"> protocol </w:t>
      </w:r>
      <w:r w:rsidRPr="00071638">
        <w:t>进行核查。</w:t>
      </w:r>
    </w:p>
    <w:p w14:paraId="7034700B" w14:textId="2C879640" w:rsidR="00E36508" w:rsidRPr="006F5E6B" w:rsidRDefault="00141DB8" w:rsidP="00E36508">
      <w:pPr>
        <w:spacing w:after="120" w:line="360" w:lineRule="auto"/>
        <w:ind w:firstLine="360"/>
        <w:jc w:val="both"/>
      </w:pPr>
      <w:r>
        <w:rPr>
          <w:rFonts w:hint="eastAsia"/>
        </w:rPr>
        <w:t>真正做了</w:t>
      </w:r>
      <w:r>
        <w:rPr>
          <w:rFonts w:hint="eastAsia"/>
        </w:rPr>
        <w:t>unguided</w:t>
      </w:r>
      <w:r>
        <w:rPr>
          <w:rFonts w:hint="eastAsia"/>
        </w:rPr>
        <w:t>的研究集中在几个项目中，这些项目共享</w:t>
      </w:r>
      <w:r>
        <w:rPr>
          <w:rFonts w:hint="eastAsia"/>
        </w:rPr>
        <w:t>component</w:t>
      </w:r>
      <w:r>
        <w:rPr>
          <w:rFonts w:hint="eastAsia"/>
        </w:rPr>
        <w:t>，所以对于</w:t>
      </w:r>
      <w:r>
        <w:rPr>
          <w:rFonts w:hint="eastAsia"/>
        </w:rPr>
        <w:t>component</w:t>
      </w:r>
      <w:r>
        <w:rPr>
          <w:rFonts w:hint="eastAsia"/>
        </w:rPr>
        <w:t>的推断只能更加小心，并且读者也需要谨慎采纳</w:t>
      </w:r>
    </w:p>
    <w:p w14:paraId="535BA730" w14:textId="77777777" w:rsidR="000C3784" w:rsidRDefault="00D450DC">
      <w:pPr>
        <w:pStyle w:val="2"/>
        <w:rPr>
          <w:rFonts w:eastAsiaTheme="minorEastAsia"/>
        </w:rPr>
      </w:pPr>
      <w:r>
        <w:t>5.5. Implications and Future Directions</w:t>
      </w:r>
    </w:p>
    <w:p w14:paraId="3FD166CE" w14:textId="0C72E046" w:rsidR="00E36508" w:rsidRPr="00E36508" w:rsidRDefault="00E36508" w:rsidP="00E36508">
      <w:pPr>
        <w:spacing w:after="120" w:line="360" w:lineRule="auto"/>
        <w:ind w:firstLine="360"/>
        <w:jc w:val="both"/>
      </w:pPr>
      <w:r>
        <w:rPr>
          <w:rFonts w:hint="eastAsia"/>
        </w:rPr>
        <w:t>未来的介入设计者：虽然</w:t>
      </w:r>
      <w:r>
        <w:rPr>
          <w:rFonts w:hint="eastAsia"/>
        </w:rPr>
        <w:t>O</w:t>
      </w:r>
      <w:r>
        <w:t>’</w:t>
      </w:r>
      <w:r>
        <w:rPr>
          <w:rFonts w:hint="eastAsia"/>
        </w:rPr>
        <w:t>Dea 2025</w:t>
      </w:r>
      <w:r>
        <w:rPr>
          <w:rFonts w:hint="eastAsia"/>
        </w:rPr>
        <w:t>作为低效应高脱落率的身份存在，但我们需要看清，这个研究的情境相较于其他的研究反而接近实际青少年自助的时候的真实情境，也提醒我们在设计介入和投入研究的时候不能只是紧盯着</w:t>
      </w:r>
      <w:r>
        <w:rPr>
          <w:rFonts w:hint="eastAsia"/>
        </w:rPr>
        <w:t>effective</w:t>
      </w:r>
      <w:r>
        <w:rPr>
          <w:rFonts w:hint="eastAsia"/>
        </w:rPr>
        <w:t>，</w:t>
      </w:r>
      <w:r>
        <w:rPr>
          <w:rFonts w:hint="eastAsia"/>
        </w:rPr>
        <w:t>eff</w:t>
      </w:r>
      <w:r w:rsidR="000C1887">
        <w:rPr>
          <w:rFonts w:hint="eastAsia"/>
        </w:rPr>
        <w:t>icacious</w:t>
      </w:r>
      <w:r w:rsidR="000C1887">
        <w:rPr>
          <w:rFonts w:hint="eastAsia"/>
        </w:rPr>
        <w:t>的部分才是我们设计的初衷。我们可以将</w:t>
      </w:r>
      <w:r w:rsidR="000C1887">
        <w:rPr>
          <w:rFonts w:hint="eastAsia"/>
        </w:rPr>
        <w:t>smith</w:t>
      </w:r>
      <w:r w:rsidR="000C1887">
        <w:rPr>
          <w:rFonts w:hint="eastAsia"/>
        </w:rPr>
        <w:t>等人的研究的情境控制手段融入我们的设计当中，而不是</w:t>
      </w:r>
      <w:r w:rsidR="004957A7">
        <w:rPr>
          <w:rFonts w:hint="eastAsia"/>
        </w:rPr>
        <w:t>研究设计</w:t>
      </w:r>
      <w:r w:rsidR="000C1887">
        <w:rPr>
          <w:rFonts w:hint="eastAsia"/>
        </w:rPr>
        <w:t>，例如：</w:t>
      </w:r>
    </w:p>
    <w:p w14:paraId="1FC164CC" w14:textId="77777777" w:rsidR="000C3784" w:rsidRDefault="00D450DC">
      <w:pPr>
        <w:pStyle w:val="2"/>
      </w:pPr>
      <w:r>
        <w:t>5.6. Conclusion</w:t>
      </w:r>
    </w:p>
    <w:p w14:paraId="5944A845" w14:textId="77777777" w:rsidR="000C3784" w:rsidRDefault="00D450DC">
      <w:pPr>
        <w:spacing w:after="120" w:line="360" w:lineRule="auto"/>
        <w:ind w:firstLine="360"/>
        <w:jc w:val="both"/>
      </w:pPr>
      <w:r>
        <w:rPr>
          <w:rFonts w:eastAsia="Times New Roman"/>
        </w:rPr>
        <w:t>[Placeholder for summary conclusion.]</w:t>
      </w:r>
    </w:p>
    <w:p w14:paraId="39F847D1" w14:textId="77777777" w:rsidR="000C3784" w:rsidRDefault="00D450DC">
      <w:pPr>
        <w:pStyle w:val="1"/>
        <w:pageBreakBefore/>
      </w:pPr>
      <w:r>
        <w:lastRenderedPageBreak/>
        <w:t>References</w:t>
      </w:r>
    </w:p>
    <w:p w14:paraId="5190D345" w14:textId="77777777" w:rsidR="000C3784" w:rsidRPr="00C720D1" w:rsidRDefault="00D450DC">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D450DC">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P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2F21062B" w14:textId="77777777" w:rsidR="000C3784" w:rsidRDefault="00D450DC">
      <w:pPr>
        <w:spacing w:after="120" w:line="360" w:lineRule="auto"/>
        <w:ind w:left="720" w:hanging="720"/>
      </w:pPr>
      <w:r>
        <w:rPr>
          <w:rFonts w:eastAsia="Times New Roman"/>
        </w:rPr>
        <w:t xml:space="preserve">Bjornstad, G., Sonthalia, S., Rouse, B., et al. (2024). A comparison of the effectiveness of cognitive behavioural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D450DC">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D450DC">
      <w:pPr>
        <w:spacing w:after="120" w:line="360" w:lineRule="auto"/>
        <w:ind w:left="720" w:hanging="720"/>
      </w:pPr>
      <w:r>
        <w:rPr>
          <w:rFonts w:eastAsia="Times New Roman"/>
        </w:rPr>
        <w:t xml:space="preserve">Furukawa, T. A., Suganuma, A., Ostinelli, E. G., Andersson, G., Beevers, C. G., Shumake, J., … Cuijpers, P. (2021). Dismantling, optimising, and personalising internet cognitive behavioural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18" w:tgtFrame="_new" w:history="1">
        <w:r w:rsidRPr="00225D00">
          <w:rPr>
            <w:rStyle w:val="a5"/>
          </w:rPr>
          <w:t>https://doi.org/10.1186/1471-244X-10-113</w:t>
        </w:r>
      </w:hyperlink>
    </w:p>
    <w:p w14:paraId="7A91BB04" w14:textId="77777777" w:rsidR="000C3784" w:rsidRDefault="00D450DC">
      <w:pPr>
        <w:spacing w:after="120" w:line="360" w:lineRule="auto"/>
        <w:ind w:left="720" w:hanging="720"/>
      </w:pPr>
      <w:r>
        <w:rPr>
          <w:rFonts w:eastAsia="Times New Roman"/>
        </w:rPr>
        <w:t xml:space="preserve">Harwood, T. M., &amp; L'Abate, L. (2010). </w:t>
      </w:r>
      <w:r>
        <w:rPr>
          <w:rFonts w:eastAsia="Times New Roman"/>
          <w:i/>
          <w:iCs/>
        </w:rPr>
        <w:t>Self-help in mental health: A critical review</w:t>
      </w:r>
      <w:r>
        <w:rPr>
          <w:rFonts w:eastAsia="Times New Roman"/>
        </w:rPr>
        <w:t>. Springer.</w:t>
      </w:r>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lastRenderedPageBreak/>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Hetrick, S. E., Cox, G. R., Witt, K. G., Bir, J. J., &amp; Merry, S. N. (2016). Cognitive behavioural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2BB07EF7" w14:textId="77777777" w:rsidR="000C3784" w:rsidRDefault="00D450DC">
      <w:pPr>
        <w:spacing w:after="120" w:line="360" w:lineRule="auto"/>
        <w:ind w:left="720" w:hanging="720"/>
      </w:pPr>
      <w:r>
        <w:rPr>
          <w:rFonts w:eastAsia="Times New Roman"/>
        </w:rPr>
        <w:t xml:space="preserve">Klingemann, H., &amp; Sobell, L. C. (Eds.). (2007). </w:t>
      </w:r>
      <w:r>
        <w:rPr>
          <w:rFonts w:eastAsia="Times New Roman"/>
          <w:i/>
          <w:iCs/>
        </w:rPr>
        <w:t>Promoting self-change from addictive behaviors: Practical implications for policy, prevention, and treatment</w:t>
      </w:r>
      <w:r>
        <w:rPr>
          <w:rFonts w:eastAsia="Times New Roman"/>
        </w:rPr>
        <w:t>. Springer.</w:t>
      </w:r>
    </w:p>
    <w:p w14:paraId="2D038E37" w14:textId="77777777" w:rsidR="000C3784" w:rsidRDefault="00D450DC">
      <w:pPr>
        <w:spacing w:after="120" w:line="360" w:lineRule="auto"/>
        <w:ind w:left="720" w:hanging="720"/>
      </w:pPr>
      <w:r>
        <w:rPr>
          <w:rFonts w:eastAsia="Times New Roman"/>
        </w:rPr>
        <w:t xml:space="preserve">McFadden, L., Seidman, E., &amp; Rappaport, J. (1992). A comparison of espoused theories of self- and mutual-help: Implications for mental health professionals. </w:t>
      </w:r>
      <w:r>
        <w:rPr>
          <w:rFonts w:eastAsia="Times New Roman"/>
          <w:i/>
          <w:iCs/>
        </w:rPr>
        <w:t>Professional Psychology: Research and Practice, 23</w:t>
      </w:r>
      <w:r>
        <w:rPr>
          <w:rFonts w:eastAsia="Times New Roman"/>
        </w:rPr>
        <w:t>(6), 515–520.</w:t>
      </w:r>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r>
        <w:rPr>
          <w:rFonts w:eastAsia="Times New Roman"/>
          <w:i/>
          <w:iCs/>
        </w:rPr>
        <w:t>PLoS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0C6A33AB" w14:textId="77777777" w:rsidR="000C3784" w:rsidRDefault="00D450DC">
      <w:pPr>
        <w:spacing w:after="120" w:line="360" w:lineRule="auto"/>
        <w:ind w:left="720" w:hanging="720"/>
      </w:pPr>
      <w:r>
        <w:rPr>
          <w:rFonts w:eastAsia="Times New Roman"/>
        </w:rPr>
        <w:t xml:space="preserve">Ormel,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Boutron,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D450DC">
      <w:pPr>
        <w:spacing w:after="120" w:line="360" w:lineRule="auto"/>
        <w:ind w:left="720" w:hanging="720"/>
      </w:pPr>
      <w:r>
        <w:rPr>
          <w:rFonts w:eastAsia="Times New Roman"/>
        </w:rPr>
        <w:t xml:space="preserve">Pinquart,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w:t>
      </w:r>
      <w:r w:rsidRPr="00225D00">
        <w:lastRenderedPageBreak/>
        <w:t xml:space="preserve">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5808FDAE" w14:textId="2FF38548" w:rsidR="00225D00" w:rsidRPr="00225D00" w:rsidRDefault="00225D00">
      <w:pPr>
        <w:spacing w:after="120" w:line="360" w:lineRule="auto"/>
        <w:ind w:left="720" w:hanging="720"/>
      </w:pPr>
      <w:r w:rsidRPr="00225D00">
        <w:t xml:space="preserve">Radez, J., Reardon, T., Creswell, C., Lawrence, P. J., Evdoka-Burton,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r>
        <w:rPr>
          <w:rFonts w:eastAsia="Times New Roman"/>
        </w:rPr>
        <w:t xml:space="preserve">Rugulies,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D450DC">
      <w:pPr>
        <w:spacing w:after="120" w:line="360" w:lineRule="auto"/>
        <w:ind w:left="720" w:hanging="720"/>
      </w:pPr>
      <w:r>
        <w:rPr>
          <w:rFonts w:eastAsia="Times New Roman"/>
        </w:rPr>
        <w:t xml:space="preserve">Schöpfel,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Boutron, I., … Higgins, J. P. T. (2019). RoB 2: A revised tool for assessing risk of bias in randomised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Karyotaki, E. (2024). The effectiveness of self-guided interventions in adults with depressive symptoms: A systematic review and meta-analysis. </w:t>
      </w:r>
      <w:r>
        <w:rPr>
          <w:rFonts w:eastAsia="Times New Roman"/>
          <w:i/>
          <w:iCs/>
        </w:rPr>
        <w:t>eBioMedicine, 105</w:t>
      </w:r>
      <w:r>
        <w:rPr>
          <w:rFonts w:eastAsia="Times New Roman"/>
        </w:rPr>
        <w:t>, 105208.</w:t>
      </w:r>
    </w:p>
    <w:p w14:paraId="2977D7F1" w14:textId="77777777" w:rsidR="000C3784" w:rsidRDefault="00D450DC">
      <w:pPr>
        <w:spacing w:after="120" w:line="360" w:lineRule="auto"/>
        <w:ind w:left="720" w:hanging="720"/>
      </w:pPr>
      <w:r>
        <w:rPr>
          <w:rFonts w:eastAsia="Times New Roman"/>
        </w:rPr>
        <w:t xml:space="preserve">Viechtbauer, W. (2010). Conducting meta-analyses in R with the metafor package. </w:t>
      </w:r>
      <w:r>
        <w:rPr>
          <w:rFonts w:eastAsia="Times New Roman"/>
          <w:i/>
          <w:iCs/>
        </w:rPr>
        <w:t>Journal of Statistical Software, 36</w:t>
      </w:r>
      <w:r>
        <w:rPr>
          <w:rFonts w:eastAsia="Times New Roman"/>
        </w:rPr>
        <w:t>(3), 1–48.</w:t>
      </w:r>
    </w:p>
    <w:p w14:paraId="75A405F3" w14:textId="77777777" w:rsidR="000C3784" w:rsidRDefault="00D450DC">
      <w:pPr>
        <w:spacing w:after="120" w:line="360" w:lineRule="auto"/>
        <w:ind w:left="720" w:hanging="720"/>
      </w:pPr>
      <w:r>
        <w:rPr>
          <w:rFonts w:eastAsia="Times New Roman"/>
        </w:rPr>
        <w:t xml:space="preserve">Weisz, J. R., Kuppens, S., Ng, M. Y., Eckshtain, D., Ugueto, A. M., Vaughn-Coaxum, R., … Fordwood, S. R. (2017). What five decades of research tells us about the effects of youth psychological therapy: A multilevel meta-analysis and implications for science and practice. </w:t>
      </w:r>
      <w:r>
        <w:rPr>
          <w:rFonts w:eastAsia="Times New Roman"/>
          <w:i/>
          <w:iCs/>
        </w:rPr>
        <w:t xml:space="preserve">American </w:t>
      </w:r>
      <w:r>
        <w:rPr>
          <w:rFonts w:eastAsia="Times New Roman"/>
          <w:i/>
          <w:iCs/>
        </w:rPr>
        <w:lastRenderedPageBreak/>
        <w:t>Psychologist, 72</w:t>
      </w:r>
      <w:r>
        <w:rPr>
          <w:rFonts w:eastAsia="Times New Roman"/>
        </w:rPr>
        <w:t>(2), 79–117.</w:t>
      </w:r>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Jorm,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"Adolescent"[MeSH] OR adolescent[Title/Abstract]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Disorder"[MeSH] OR "Depression"[MeSH] OR depression[Title/Abstract]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Therapy"[MeSH] OR "cognitive behavioral therapy"[Title/Abstract] OR "cognitive behaviour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"Bibliotherapy"[MeSH] OR bibliotherap*[Title/Abstract] OR "self-help"[Title/Abstract] OR "self help"[Title/Abstract] OR selfhelp[Title/Abstract] OR workbook[Title/Abstract] OR manual[Title/Abstract] OR "Telemedicine"[MeSH] OR "Mobile Applications"[MeSH] OR "Therapy, Computer-Assisted"[MeSH] OR telehealth[Title/Abstract] OR e-health[Title/Abstract] OR m-health[Title/Abstract] OR mhealth[Title/Abstract] OR ehealth[Title/Abstract]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CBT components were coded using the component framework of Furukawa et al. (2021). The abbreviations used in the Study_Info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48"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r>
              <w:rPr>
                <w:rFonts w:eastAsia="Times New Roman"/>
                <w:b/>
                <w:bCs/>
                <w:sz w:val="20"/>
                <w:szCs w:val="20"/>
              </w:rPr>
              <w:t>cr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he integrated process of identifying, evaluating, and modifying maladaptive thoughts. The three steps form a single skill sequence rather than separable components, and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r>
              <w:rPr>
                <w:rFonts w:eastAsia="Times New Roman"/>
                <w:b/>
                <w:bCs/>
                <w:sz w:val="20"/>
                <w:szCs w:val="20"/>
              </w:rPr>
              <w:t>ba</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r>
              <w:rPr>
                <w:rFonts w:eastAsia="Times New Roman"/>
                <w:b/>
                <w:bCs/>
                <w:sz w:val="20"/>
                <w:szCs w:val="20"/>
              </w:rPr>
              <w:t>ps</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r>
              <w:rPr>
                <w:rFonts w:eastAsia="Times New Roman"/>
                <w:b/>
                <w:bCs/>
                <w:sz w:val="20"/>
                <w:szCs w:val="20"/>
              </w:rPr>
              <w:t>rx</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r>
              <w:rPr>
                <w:rFonts w:eastAsia="Times New Roman"/>
                <w:b/>
                <w:bCs/>
                <w:sz w:val="20"/>
                <w:szCs w:val="20"/>
              </w:rPr>
              <w:t>ist</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r>
              <w:rPr>
                <w:rFonts w:eastAsia="Times New Roman"/>
                <w:b/>
                <w:bCs/>
                <w:sz w:val="20"/>
                <w:szCs w:val="20"/>
              </w:rPr>
              <w:t>hw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r>
              <w:rPr>
                <w:rFonts w:eastAsia="Times New Roman"/>
                <w:b/>
                <w:bCs/>
                <w:sz w:val="20"/>
                <w:szCs w:val="20"/>
              </w:rPr>
              <w:t>rp</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48"/>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49"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49"/>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50" w:name="OLE_LINK5"/>
            <w:r w:rsidRPr="00AC639D">
              <w:t>Intervention is not CBT-based or lacks required CBT components (cognitive restructuring and at least one behavioral component)</w:t>
            </w:r>
            <w:bookmarkEnd w:id="50"/>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51" w:name="OLE_LINK6"/>
            <w:r>
              <w:rPr>
                <w:rFonts w:eastAsia="Times New Roman"/>
                <w:sz w:val="20"/>
                <w:szCs w:val="20"/>
              </w:rPr>
              <w:t>Conference abstract or protocol-only publication</w:t>
            </w:r>
            <w:bookmarkEnd w:id="51"/>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52"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52"/>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(Makarushka,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r>
              <w:rPr>
                <w:rFonts w:eastAsia="Times New Roman"/>
                <w:sz w:val="20"/>
                <w:szCs w:val="20"/>
              </w:rPr>
              <w:t>BlueIce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r>
              <w:rPr>
                <w:rFonts w:eastAsia="Times New Roman"/>
                <w:sz w:val="20"/>
                <w:szCs w:val="20"/>
              </w:rPr>
              <w:t>ClearlyMe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r>
              <w:rPr>
                <w:rFonts w:eastAsia="Times New Roman"/>
                <w:sz w:val="20"/>
                <w:szCs w:val="20"/>
              </w:rPr>
              <w:t>iCBT (Sekizaki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r>
              <w:rPr>
                <w:rFonts w:eastAsia="Times New Roman"/>
                <w:sz w:val="20"/>
                <w:szCs w:val="20"/>
              </w:rPr>
              <w:t>iDOVE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r>
              <w:rPr>
                <w:rFonts w:eastAsia="Times New Roman"/>
                <w:sz w:val="20"/>
                <w:szCs w:val="20"/>
              </w:rPr>
              <w:t xml:space="preserve">MoodGYM (Calear et al., 2009; Neil et al., 2009; </w:t>
            </w:r>
            <w:r>
              <w:rPr>
                <w:rFonts w:eastAsia="Times New Roman"/>
                <w:sz w:val="20"/>
                <w:szCs w:val="20"/>
              </w:rPr>
              <w:lastRenderedPageBreak/>
              <w:t>O'Kearney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SPARX (Fleming et al., 2012, 2019; Merry et al., 2012; Bohr &amp; Merry et al., 2016; Poppelaars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r>
              <w:rPr>
                <w:rFonts w:eastAsia="Times New Roman"/>
                <w:sz w:val="20"/>
                <w:szCs w:val="20"/>
              </w:rPr>
              <w:t>WeClick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mini-sessions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r>
              <w:rPr>
                <w:rFonts w:eastAsia="Times New Roman"/>
                <w:b/>
                <w:bCs/>
                <w:sz w:val="20"/>
                <w:szCs w:val="20"/>
              </w:rPr>
              <w:lastRenderedPageBreak/>
              <w:t>BlueIce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r>
              <w:rPr>
                <w:rFonts w:eastAsia="Times New Roman"/>
                <w:sz w:val="20"/>
                <w:szCs w:val="20"/>
              </w:rPr>
              <w:t>BlueIce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53"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53"/>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r>
              <w:rPr>
                <w:rFonts w:eastAsia="Times New Roman"/>
                <w:b/>
                <w:bCs/>
                <w:sz w:val="20"/>
                <w:szCs w:val="20"/>
              </w:rPr>
              <w:t>ClearlyMe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r>
              <w:rPr>
                <w:rFonts w:eastAsia="Times New Roman"/>
                <w:sz w:val="20"/>
                <w:szCs w:val="20"/>
              </w:rPr>
              <w:t xml:space="preserve">ClearlyMe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MoodCheck (mood </w:t>
            </w:r>
            <w:r>
              <w:rPr>
                <w:rFonts w:eastAsia="Times New Roman"/>
                <w:sz w:val="20"/>
                <w:szCs w:val="20"/>
              </w:rPr>
              <w:lastRenderedPageBreak/>
              <w:t>tracking), MindHacks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Creating Opportunities for Personal Empowerment (COPE) teaches users to reframe negative beliefs into positive ones in order to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include: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19"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r>
              <w:rPr>
                <w:rFonts w:eastAsia="Times New Roman"/>
                <w:b/>
                <w:bCs/>
                <w:sz w:val="20"/>
                <w:szCs w:val="20"/>
              </w:rPr>
              <w:t>iCBT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iCBT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participants completing column worksheets to identify their own automatic thoughts and discussing counter-evidence and adaptive thoughts. The iCBT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r>
              <w:rPr>
                <w:rFonts w:eastAsia="Times New Roman"/>
                <w:b/>
                <w:bCs/>
                <w:sz w:val="20"/>
                <w:szCs w:val="20"/>
              </w:rPr>
              <w:t>iDOVE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The iDOVE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goal-setting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Mello offers real-time assessment and tailored intervention strategies to disrupt repetitive negative thinking (RNT) in young people with depression and anxiety. Key features include: randomized notifications three times daily (9am–</w:t>
            </w:r>
            <w:r>
              <w:rPr>
                <w:rFonts w:eastAsia="Times New Roman"/>
                <w:sz w:val="20"/>
                <w:szCs w:val="20"/>
              </w:rPr>
              <w:lastRenderedPageBreak/>
              <w:t>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defusion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r>
              <w:rPr>
                <w:rFonts w:eastAsia="Times New Roman"/>
                <w:b/>
                <w:bCs/>
                <w:sz w:val="20"/>
                <w:szCs w:val="20"/>
              </w:rPr>
              <w:t>MoodGYM</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r>
              <w:rPr>
                <w:rFonts w:eastAsia="Times New Roman"/>
                <w:sz w:val="20"/>
                <w:szCs w:val="20"/>
              </w:rPr>
              <w:t>MoodGYM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on the basis of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Spark (version 2.2) is a CBT-based smartphone application. A character named Limbot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mini-games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goal-setting,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r>
              <w:rPr>
                <w:rFonts w:eastAsia="Times New Roman"/>
                <w:b/>
                <w:bCs/>
                <w:sz w:val="20"/>
                <w:szCs w:val="20"/>
              </w:rPr>
              <w:t>WeClick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r>
              <w:rPr>
                <w:rFonts w:eastAsia="Times New Roman"/>
                <w:sz w:val="20"/>
                <w:szCs w:val="20"/>
              </w:rPr>
              <w:t>WeClick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WeClick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headerReference w:type="default" r:id="rId21"/>
      <w:footerReference w:type="default" r:id="rId22"/>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32E64" w14:textId="77777777" w:rsidR="007772F3" w:rsidRDefault="007772F3">
      <w:r>
        <w:separator/>
      </w:r>
    </w:p>
  </w:endnote>
  <w:endnote w:type="continuationSeparator" w:id="0">
    <w:p w14:paraId="3380C453" w14:textId="77777777" w:rsidR="007772F3" w:rsidRDefault="007772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5145B" w14:textId="77777777" w:rsidR="007772F3" w:rsidRDefault="007772F3">
      <w:r>
        <w:separator/>
      </w:r>
    </w:p>
  </w:footnote>
  <w:footnote w:type="continuationSeparator" w:id="0">
    <w:p w14:paraId="6793B320" w14:textId="77777777" w:rsidR="007772F3" w:rsidRDefault="007772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num w:numId="1" w16cid:durableId="1100952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114B9"/>
    <w:rsid w:val="00014247"/>
    <w:rsid w:val="00016290"/>
    <w:rsid w:val="00032BF3"/>
    <w:rsid w:val="000332BE"/>
    <w:rsid w:val="00035A05"/>
    <w:rsid w:val="00035DA2"/>
    <w:rsid w:val="00051379"/>
    <w:rsid w:val="00052872"/>
    <w:rsid w:val="000546D9"/>
    <w:rsid w:val="00057441"/>
    <w:rsid w:val="00060371"/>
    <w:rsid w:val="00066278"/>
    <w:rsid w:val="00066B68"/>
    <w:rsid w:val="00071638"/>
    <w:rsid w:val="00073A8D"/>
    <w:rsid w:val="0008002C"/>
    <w:rsid w:val="0008077C"/>
    <w:rsid w:val="000817C9"/>
    <w:rsid w:val="000916D0"/>
    <w:rsid w:val="00096636"/>
    <w:rsid w:val="000A0168"/>
    <w:rsid w:val="000A069E"/>
    <w:rsid w:val="000A6236"/>
    <w:rsid w:val="000B0963"/>
    <w:rsid w:val="000B0BDA"/>
    <w:rsid w:val="000B16A2"/>
    <w:rsid w:val="000B2B90"/>
    <w:rsid w:val="000B40B5"/>
    <w:rsid w:val="000C1887"/>
    <w:rsid w:val="000C3784"/>
    <w:rsid w:val="000C4420"/>
    <w:rsid w:val="000E09E1"/>
    <w:rsid w:val="000E1D84"/>
    <w:rsid w:val="000E2BB3"/>
    <w:rsid w:val="000E4D7B"/>
    <w:rsid w:val="000F6C5A"/>
    <w:rsid w:val="000F7299"/>
    <w:rsid w:val="000F7427"/>
    <w:rsid w:val="000F7A64"/>
    <w:rsid w:val="0010008F"/>
    <w:rsid w:val="0010131B"/>
    <w:rsid w:val="001029E1"/>
    <w:rsid w:val="0010303D"/>
    <w:rsid w:val="0011724F"/>
    <w:rsid w:val="00117B7D"/>
    <w:rsid w:val="00130DC3"/>
    <w:rsid w:val="001378D1"/>
    <w:rsid w:val="00141DB8"/>
    <w:rsid w:val="00151AE7"/>
    <w:rsid w:val="00153638"/>
    <w:rsid w:val="00160BFD"/>
    <w:rsid w:val="001728AF"/>
    <w:rsid w:val="001776F0"/>
    <w:rsid w:val="0019010B"/>
    <w:rsid w:val="00191D30"/>
    <w:rsid w:val="001B20DB"/>
    <w:rsid w:val="001C328D"/>
    <w:rsid w:val="001D1AD6"/>
    <w:rsid w:val="001D221E"/>
    <w:rsid w:val="001D4FC3"/>
    <w:rsid w:val="001D4FDD"/>
    <w:rsid w:val="001E5049"/>
    <w:rsid w:val="001F50C5"/>
    <w:rsid w:val="001F5182"/>
    <w:rsid w:val="001F70E3"/>
    <w:rsid w:val="0020172E"/>
    <w:rsid w:val="00204817"/>
    <w:rsid w:val="00205390"/>
    <w:rsid w:val="002060A8"/>
    <w:rsid w:val="0020718F"/>
    <w:rsid w:val="00223940"/>
    <w:rsid w:val="00225D00"/>
    <w:rsid w:val="00225D40"/>
    <w:rsid w:val="002307C4"/>
    <w:rsid w:val="002359C5"/>
    <w:rsid w:val="00240DA3"/>
    <w:rsid w:val="00241A04"/>
    <w:rsid w:val="00242A1D"/>
    <w:rsid w:val="00244CB5"/>
    <w:rsid w:val="00270222"/>
    <w:rsid w:val="002706F0"/>
    <w:rsid w:val="00271263"/>
    <w:rsid w:val="00272C81"/>
    <w:rsid w:val="00283A20"/>
    <w:rsid w:val="00284CA0"/>
    <w:rsid w:val="002863D9"/>
    <w:rsid w:val="00290689"/>
    <w:rsid w:val="002918C5"/>
    <w:rsid w:val="002A0F8C"/>
    <w:rsid w:val="002A153B"/>
    <w:rsid w:val="002A3A02"/>
    <w:rsid w:val="002D4AB1"/>
    <w:rsid w:val="002E444E"/>
    <w:rsid w:val="002E446A"/>
    <w:rsid w:val="00305721"/>
    <w:rsid w:val="00307741"/>
    <w:rsid w:val="0031066D"/>
    <w:rsid w:val="00310732"/>
    <w:rsid w:val="00310A5F"/>
    <w:rsid w:val="003142FA"/>
    <w:rsid w:val="003150F6"/>
    <w:rsid w:val="003223DF"/>
    <w:rsid w:val="00322DF0"/>
    <w:rsid w:val="00325B96"/>
    <w:rsid w:val="003327AA"/>
    <w:rsid w:val="00334149"/>
    <w:rsid w:val="00334F69"/>
    <w:rsid w:val="003528C8"/>
    <w:rsid w:val="00361E37"/>
    <w:rsid w:val="003673F1"/>
    <w:rsid w:val="00374259"/>
    <w:rsid w:val="00374DE5"/>
    <w:rsid w:val="00384178"/>
    <w:rsid w:val="00385DB8"/>
    <w:rsid w:val="00387F0E"/>
    <w:rsid w:val="00391B4B"/>
    <w:rsid w:val="00396FAE"/>
    <w:rsid w:val="003A387B"/>
    <w:rsid w:val="003B1210"/>
    <w:rsid w:val="003B395C"/>
    <w:rsid w:val="003C3A12"/>
    <w:rsid w:val="003C6B1C"/>
    <w:rsid w:val="003D33B8"/>
    <w:rsid w:val="003E2BDB"/>
    <w:rsid w:val="003F159A"/>
    <w:rsid w:val="003F3EEB"/>
    <w:rsid w:val="004037C8"/>
    <w:rsid w:val="00416176"/>
    <w:rsid w:val="004357BA"/>
    <w:rsid w:val="00447C80"/>
    <w:rsid w:val="00455817"/>
    <w:rsid w:val="00456798"/>
    <w:rsid w:val="00460835"/>
    <w:rsid w:val="004646A8"/>
    <w:rsid w:val="0046713A"/>
    <w:rsid w:val="00474714"/>
    <w:rsid w:val="004878D7"/>
    <w:rsid w:val="00487DEF"/>
    <w:rsid w:val="004946BA"/>
    <w:rsid w:val="004957A7"/>
    <w:rsid w:val="00496F0E"/>
    <w:rsid w:val="004A6C38"/>
    <w:rsid w:val="004A6D36"/>
    <w:rsid w:val="004B60AB"/>
    <w:rsid w:val="004C62D3"/>
    <w:rsid w:val="004D506F"/>
    <w:rsid w:val="004E06C1"/>
    <w:rsid w:val="004E1362"/>
    <w:rsid w:val="004E68C9"/>
    <w:rsid w:val="004F0BDF"/>
    <w:rsid w:val="004F32A4"/>
    <w:rsid w:val="004F4ABE"/>
    <w:rsid w:val="005174C4"/>
    <w:rsid w:val="00517EAC"/>
    <w:rsid w:val="00523784"/>
    <w:rsid w:val="00533CFD"/>
    <w:rsid w:val="005645E2"/>
    <w:rsid w:val="005654D5"/>
    <w:rsid w:val="00573723"/>
    <w:rsid w:val="0057674E"/>
    <w:rsid w:val="00583702"/>
    <w:rsid w:val="00585F11"/>
    <w:rsid w:val="005918D0"/>
    <w:rsid w:val="0059234D"/>
    <w:rsid w:val="005964E8"/>
    <w:rsid w:val="005A11C3"/>
    <w:rsid w:val="005A4D5C"/>
    <w:rsid w:val="005A4EC5"/>
    <w:rsid w:val="005A6079"/>
    <w:rsid w:val="005B1742"/>
    <w:rsid w:val="005B467D"/>
    <w:rsid w:val="005B656D"/>
    <w:rsid w:val="005B6701"/>
    <w:rsid w:val="005C5AEE"/>
    <w:rsid w:val="005D023D"/>
    <w:rsid w:val="005D09E5"/>
    <w:rsid w:val="005D4317"/>
    <w:rsid w:val="005E6D10"/>
    <w:rsid w:val="005F269D"/>
    <w:rsid w:val="00605687"/>
    <w:rsid w:val="00614ECE"/>
    <w:rsid w:val="006266FF"/>
    <w:rsid w:val="006312E9"/>
    <w:rsid w:val="00634814"/>
    <w:rsid w:val="00643A0F"/>
    <w:rsid w:val="00657D11"/>
    <w:rsid w:val="006600E2"/>
    <w:rsid w:val="00660811"/>
    <w:rsid w:val="00671AD3"/>
    <w:rsid w:val="00674D8B"/>
    <w:rsid w:val="0068195D"/>
    <w:rsid w:val="00683203"/>
    <w:rsid w:val="00683D29"/>
    <w:rsid w:val="00684D51"/>
    <w:rsid w:val="0068669A"/>
    <w:rsid w:val="00692269"/>
    <w:rsid w:val="006951C9"/>
    <w:rsid w:val="006A5CBD"/>
    <w:rsid w:val="006A6F53"/>
    <w:rsid w:val="006A77F1"/>
    <w:rsid w:val="006B6D2B"/>
    <w:rsid w:val="006C4B6F"/>
    <w:rsid w:val="006D7C45"/>
    <w:rsid w:val="006E03C5"/>
    <w:rsid w:val="006E6672"/>
    <w:rsid w:val="006F1C52"/>
    <w:rsid w:val="006F464F"/>
    <w:rsid w:val="006F5E6B"/>
    <w:rsid w:val="00704204"/>
    <w:rsid w:val="0070511E"/>
    <w:rsid w:val="00711976"/>
    <w:rsid w:val="00731952"/>
    <w:rsid w:val="00736295"/>
    <w:rsid w:val="007502ED"/>
    <w:rsid w:val="007514CD"/>
    <w:rsid w:val="007529CD"/>
    <w:rsid w:val="00756560"/>
    <w:rsid w:val="00765683"/>
    <w:rsid w:val="00765C2E"/>
    <w:rsid w:val="007700E8"/>
    <w:rsid w:val="00774AAF"/>
    <w:rsid w:val="007772F3"/>
    <w:rsid w:val="00780B81"/>
    <w:rsid w:val="00783E93"/>
    <w:rsid w:val="00784371"/>
    <w:rsid w:val="0079602E"/>
    <w:rsid w:val="00797CAC"/>
    <w:rsid w:val="007A1E5C"/>
    <w:rsid w:val="007A3422"/>
    <w:rsid w:val="007A71B9"/>
    <w:rsid w:val="007B1EAF"/>
    <w:rsid w:val="007B2BEC"/>
    <w:rsid w:val="007B5730"/>
    <w:rsid w:val="007B79E9"/>
    <w:rsid w:val="007C0E99"/>
    <w:rsid w:val="007C3AA9"/>
    <w:rsid w:val="007C4875"/>
    <w:rsid w:val="007C77E2"/>
    <w:rsid w:val="007D2A3C"/>
    <w:rsid w:val="007D6CC9"/>
    <w:rsid w:val="007F1C01"/>
    <w:rsid w:val="00806594"/>
    <w:rsid w:val="00813E19"/>
    <w:rsid w:val="008148C7"/>
    <w:rsid w:val="00815475"/>
    <w:rsid w:val="00821548"/>
    <w:rsid w:val="008250B8"/>
    <w:rsid w:val="00827227"/>
    <w:rsid w:val="00832FE4"/>
    <w:rsid w:val="008335D9"/>
    <w:rsid w:val="00835B35"/>
    <w:rsid w:val="00840E40"/>
    <w:rsid w:val="00843F05"/>
    <w:rsid w:val="00850064"/>
    <w:rsid w:val="00851D4F"/>
    <w:rsid w:val="00854C7A"/>
    <w:rsid w:val="00857140"/>
    <w:rsid w:val="00857C58"/>
    <w:rsid w:val="00865B87"/>
    <w:rsid w:val="00874C70"/>
    <w:rsid w:val="00875F40"/>
    <w:rsid w:val="00892008"/>
    <w:rsid w:val="00893010"/>
    <w:rsid w:val="00893A0D"/>
    <w:rsid w:val="00893C1D"/>
    <w:rsid w:val="00894D18"/>
    <w:rsid w:val="008961AC"/>
    <w:rsid w:val="008A181F"/>
    <w:rsid w:val="008A3660"/>
    <w:rsid w:val="008A6EC9"/>
    <w:rsid w:val="008B15D8"/>
    <w:rsid w:val="008B3D19"/>
    <w:rsid w:val="008C2454"/>
    <w:rsid w:val="008C2A71"/>
    <w:rsid w:val="008C38EF"/>
    <w:rsid w:val="008C5C4E"/>
    <w:rsid w:val="008D4EBD"/>
    <w:rsid w:val="008E220F"/>
    <w:rsid w:val="008E3603"/>
    <w:rsid w:val="008F11F0"/>
    <w:rsid w:val="008F4577"/>
    <w:rsid w:val="00901B43"/>
    <w:rsid w:val="009114F9"/>
    <w:rsid w:val="0091591B"/>
    <w:rsid w:val="009258D8"/>
    <w:rsid w:val="00926DD2"/>
    <w:rsid w:val="00931D62"/>
    <w:rsid w:val="00932FA3"/>
    <w:rsid w:val="009340D9"/>
    <w:rsid w:val="0094308D"/>
    <w:rsid w:val="00950BF3"/>
    <w:rsid w:val="009555E2"/>
    <w:rsid w:val="00967876"/>
    <w:rsid w:val="00967ABB"/>
    <w:rsid w:val="00971672"/>
    <w:rsid w:val="009741C3"/>
    <w:rsid w:val="00981E36"/>
    <w:rsid w:val="009823E2"/>
    <w:rsid w:val="009875A7"/>
    <w:rsid w:val="009934F0"/>
    <w:rsid w:val="00996ED6"/>
    <w:rsid w:val="009A0AC1"/>
    <w:rsid w:val="009A6668"/>
    <w:rsid w:val="009A6FC4"/>
    <w:rsid w:val="009B22C2"/>
    <w:rsid w:val="009B23F1"/>
    <w:rsid w:val="009B7CFF"/>
    <w:rsid w:val="009C31E1"/>
    <w:rsid w:val="009C37E9"/>
    <w:rsid w:val="009D4DAB"/>
    <w:rsid w:val="009D604D"/>
    <w:rsid w:val="009D708F"/>
    <w:rsid w:val="009E6CC9"/>
    <w:rsid w:val="009F2CBF"/>
    <w:rsid w:val="00A255EA"/>
    <w:rsid w:val="00A2615C"/>
    <w:rsid w:val="00A42618"/>
    <w:rsid w:val="00A46D96"/>
    <w:rsid w:val="00A55E6F"/>
    <w:rsid w:val="00A60663"/>
    <w:rsid w:val="00A629B4"/>
    <w:rsid w:val="00A73037"/>
    <w:rsid w:val="00A76A90"/>
    <w:rsid w:val="00A82808"/>
    <w:rsid w:val="00A85CA3"/>
    <w:rsid w:val="00A870EB"/>
    <w:rsid w:val="00A87283"/>
    <w:rsid w:val="00A9023C"/>
    <w:rsid w:val="00A9197F"/>
    <w:rsid w:val="00AA6E3B"/>
    <w:rsid w:val="00AB0335"/>
    <w:rsid w:val="00AB4E79"/>
    <w:rsid w:val="00AC639D"/>
    <w:rsid w:val="00AC72E9"/>
    <w:rsid w:val="00AC741C"/>
    <w:rsid w:val="00AD0671"/>
    <w:rsid w:val="00AD6DC9"/>
    <w:rsid w:val="00AE1CB6"/>
    <w:rsid w:val="00AF2254"/>
    <w:rsid w:val="00B0153C"/>
    <w:rsid w:val="00B03DCC"/>
    <w:rsid w:val="00B104A9"/>
    <w:rsid w:val="00B10996"/>
    <w:rsid w:val="00B17FDF"/>
    <w:rsid w:val="00B23178"/>
    <w:rsid w:val="00B2388E"/>
    <w:rsid w:val="00B23B0F"/>
    <w:rsid w:val="00B375B0"/>
    <w:rsid w:val="00B53092"/>
    <w:rsid w:val="00B553F7"/>
    <w:rsid w:val="00B60841"/>
    <w:rsid w:val="00B672F6"/>
    <w:rsid w:val="00B707DF"/>
    <w:rsid w:val="00B715E8"/>
    <w:rsid w:val="00B74865"/>
    <w:rsid w:val="00B911B5"/>
    <w:rsid w:val="00B96CC2"/>
    <w:rsid w:val="00BA0CF6"/>
    <w:rsid w:val="00BA57B8"/>
    <w:rsid w:val="00BC1E98"/>
    <w:rsid w:val="00BC39C2"/>
    <w:rsid w:val="00BC673A"/>
    <w:rsid w:val="00BD07E5"/>
    <w:rsid w:val="00BD41D3"/>
    <w:rsid w:val="00BE1056"/>
    <w:rsid w:val="00BE2734"/>
    <w:rsid w:val="00BE576F"/>
    <w:rsid w:val="00BE6D28"/>
    <w:rsid w:val="00BF07C4"/>
    <w:rsid w:val="00BF3F26"/>
    <w:rsid w:val="00C11E26"/>
    <w:rsid w:val="00C13949"/>
    <w:rsid w:val="00C16B32"/>
    <w:rsid w:val="00C3148A"/>
    <w:rsid w:val="00C35D16"/>
    <w:rsid w:val="00C37FC3"/>
    <w:rsid w:val="00C51A70"/>
    <w:rsid w:val="00C51FD7"/>
    <w:rsid w:val="00C52AB6"/>
    <w:rsid w:val="00C53D00"/>
    <w:rsid w:val="00C57BB1"/>
    <w:rsid w:val="00C61F6E"/>
    <w:rsid w:val="00C720D1"/>
    <w:rsid w:val="00C80684"/>
    <w:rsid w:val="00C87740"/>
    <w:rsid w:val="00CA1296"/>
    <w:rsid w:val="00CB5677"/>
    <w:rsid w:val="00CB5895"/>
    <w:rsid w:val="00CB70FF"/>
    <w:rsid w:val="00CD0331"/>
    <w:rsid w:val="00CE79CE"/>
    <w:rsid w:val="00CF54A4"/>
    <w:rsid w:val="00CF5535"/>
    <w:rsid w:val="00D2102F"/>
    <w:rsid w:val="00D2288C"/>
    <w:rsid w:val="00D37035"/>
    <w:rsid w:val="00D373BB"/>
    <w:rsid w:val="00D40967"/>
    <w:rsid w:val="00D4385A"/>
    <w:rsid w:val="00D450DC"/>
    <w:rsid w:val="00D50755"/>
    <w:rsid w:val="00D533A5"/>
    <w:rsid w:val="00D8153E"/>
    <w:rsid w:val="00D83CD5"/>
    <w:rsid w:val="00DA1815"/>
    <w:rsid w:val="00DA4BC6"/>
    <w:rsid w:val="00DB0C1E"/>
    <w:rsid w:val="00DB320F"/>
    <w:rsid w:val="00DB3638"/>
    <w:rsid w:val="00DB6FE5"/>
    <w:rsid w:val="00DC2A38"/>
    <w:rsid w:val="00DD28C8"/>
    <w:rsid w:val="00DE47E0"/>
    <w:rsid w:val="00DE4D8D"/>
    <w:rsid w:val="00DF243B"/>
    <w:rsid w:val="00DF4A32"/>
    <w:rsid w:val="00DF6837"/>
    <w:rsid w:val="00DF75CD"/>
    <w:rsid w:val="00E14780"/>
    <w:rsid w:val="00E23259"/>
    <w:rsid w:val="00E24890"/>
    <w:rsid w:val="00E26C4B"/>
    <w:rsid w:val="00E276CE"/>
    <w:rsid w:val="00E305EF"/>
    <w:rsid w:val="00E33353"/>
    <w:rsid w:val="00E33EF0"/>
    <w:rsid w:val="00E36508"/>
    <w:rsid w:val="00E367A3"/>
    <w:rsid w:val="00E404B3"/>
    <w:rsid w:val="00E47340"/>
    <w:rsid w:val="00E54200"/>
    <w:rsid w:val="00E550E4"/>
    <w:rsid w:val="00E56A17"/>
    <w:rsid w:val="00E67E87"/>
    <w:rsid w:val="00E701EB"/>
    <w:rsid w:val="00E74DAD"/>
    <w:rsid w:val="00E83A81"/>
    <w:rsid w:val="00E83BBF"/>
    <w:rsid w:val="00E933EA"/>
    <w:rsid w:val="00E95321"/>
    <w:rsid w:val="00EA120F"/>
    <w:rsid w:val="00EA2F02"/>
    <w:rsid w:val="00EA4FD3"/>
    <w:rsid w:val="00EA6021"/>
    <w:rsid w:val="00EC5FDE"/>
    <w:rsid w:val="00EC6694"/>
    <w:rsid w:val="00ED1DE6"/>
    <w:rsid w:val="00ED55C3"/>
    <w:rsid w:val="00EE1AD5"/>
    <w:rsid w:val="00EE4C9D"/>
    <w:rsid w:val="00F1345D"/>
    <w:rsid w:val="00F22CAA"/>
    <w:rsid w:val="00F315C0"/>
    <w:rsid w:val="00F351EB"/>
    <w:rsid w:val="00F435D5"/>
    <w:rsid w:val="00F46B99"/>
    <w:rsid w:val="00F509E8"/>
    <w:rsid w:val="00F50BC6"/>
    <w:rsid w:val="00F5732B"/>
    <w:rsid w:val="00F71755"/>
    <w:rsid w:val="00F81E04"/>
    <w:rsid w:val="00FA2E98"/>
    <w:rsid w:val="00FA414F"/>
    <w:rsid w:val="00FA670F"/>
    <w:rsid w:val="00FB777F"/>
    <w:rsid w:val="00FD4E54"/>
    <w:rsid w:val="00FE277A"/>
    <w:rsid w:val="00FE5AF8"/>
    <w:rsid w:val="00FF0B33"/>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link w:val="20"/>
    <w:uiPriority w:val="9"/>
    <w:unhideWhenUsed/>
    <w:qFormat/>
    <w:pPr>
      <w:spacing w:before="360" w:after="180" w:line="360" w:lineRule="auto"/>
      <w:outlineLvl w:val="1"/>
    </w:pPr>
    <w:rPr>
      <w:rFonts w:eastAsia="Times New Roman"/>
      <w:b/>
      <w:bCs/>
      <w:sz w:val="28"/>
      <w:szCs w:val="28"/>
    </w:rPr>
  </w:style>
  <w:style w:type="paragraph" w:styleId="3">
    <w:name w:val="heading 3"/>
    <w:link w:val="30"/>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 w:type="character" w:customStyle="1" w:styleId="20">
    <w:name w:val="标题 2 字符"/>
    <w:basedOn w:val="a0"/>
    <w:link w:val="2"/>
    <w:uiPriority w:val="9"/>
    <w:rsid w:val="007514CD"/>
    <w:rPr>
      <w:rFonts w:eastAsia="Times New Roman"/>
      <w:b/>
      <w:bCs/>
      <w:sz w:val="28"/>
      <w:szCs w:val="28"/>
    </w:rPr>
  </w:style>
  <w:style w:type="character" w:customStyle="1" w:styleId="30">
    <w:name w:val="标题 3 字符"/>
    <w:basedOn w:val="a0"/>
    <w:link w:val="3"/>
    <w:uiPriority w:val="9"/>
    <w:rsid w:val="007514CD"/>
    <w:rPr>
      <w:rFonts w:eastAsia="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68783767">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793670">
      <w:bodyDiv w:val="1"/>
      <w:marLeft w:val="0"/>
      <w:marRight w:val="0"/>
      <w:marTop w:val="0"/>
      <w:marBottom w:val="0"/>
      <w:divBdr>
        <w:top w:val="none" w:sz="0" w:space="0" w:color="auto"/>
        <w:left w:val="none" w:sz="0" w:space="0" w:color="auto"/>
        <w:bottom w:val="none" w:sz="0" w:space="0" w:color="auto"/>
        <w:right w:val="none" w:sz="0" w:space="0" w:color="auto"/>
      </w:divBdr>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88354659">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09820333">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i.org/10.1186/1471-244X-10-113"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doi.org/10.1515/ijamh-2013-002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9396</TotalTime>
  <Pages>71</Pages>
  <Words>20245</Words>
  <Characters>115397</Characters>
  <Application>Microsoft Office Word</Application>
  <DocSecurity>0</DocSecurity>
  <Lines>961</Lines>
  <Paragraphs>270</Paragraphs>
  <ScaleCrop>false</ScaleCrop>
  <Company/>
  <LinksUpToDate>false</LinksUpToDate>
  <CharactersWithSpaces>135372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41</cp:revision>
  <dcterms:created xsi:type="dcterms:W3CDTF">2026-04-24T10:43:00Z</dcterms:created>
  <dcterms:modified xsi:type="dcterms:W3CDTF">2026-05-28T06:35:00Z</dcterms:modified>
</cp:coreProperties>
</file>