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w:t>
      </w:r>
      <w:proofErr w:type="spellStart"/>
      <w:r w:rsidRPr="008B0A4F">
        <w:t>PsycArticles</w:t>
      </w:r>
      <w:proofErr w:type="spellEnd"/>
      <w:r w:rsidRPr="008B0A4F">
        <w:t xml:space="preserve">),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w:t>
      </w:r>
      <w:proofErr w:type="gramStart"/>
      <w:r w:rsidRPr="008B0A4F">
        <w:t>program</w:t>
      </w:r>
      <w:proofErr w:type="gramEnd"/>
      <w:r w:rsidRPr="008B0A4F">
        <w:t xml:space="preserve">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xml:space="preserve">) were computed and pooled using random-effects models, risk of bias was assessed with </w:t>
      </w:r>
      <w:proofErr w:type="spellStart"/>
      <w:r w:rsidRPr="008B0A4F">
        <w:t>RoB</w:t>
      </w:r>
      <w:proofErr w:type="spellEnd"/>
      <w:r w:rsidRPr="008B0A4F">
        <w:t xml:space="preserve">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w:t>
      </w:r>
      <w:proofErr w:type="gramStart"/>
      <w:r w:rsidRPr="008B0A4F">
        <w:t>asymmetric</w:t>
      </w:r>
      <w:proofErr w:type="gramEnd"/>
      <w:r w:rsidRPr="008B0A4F">
        <w:t xml:space="preserve">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pPr>
    </w:p>
    <w:p w14:paraId="525AB837" w14:textId="5582A412" w:rsidR="000C3784" w:rsidRPr="00254346" w:rsidRDefault="000C3784">
      <w:pPr>
        <w:spacing w:after="120" w:line="360" w:lineRule="auto"/>
        <w:ind w:firstLine="360"/>
        <w:jc w:val="both"/>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w:t>
      </w:r>
      <w:proofErr w:type="gramStart"/>
      <w:r w:rsidR="004248A9" w:rsidRPr="004248A9">
        <w:t>format in its own right</w:t>
      </w:r>
      <w:proofErr w:type="gramEnd"/>
      <w:r w:rsidR="004248A9" w:rsidRPr="004248A9">
        <w:t>.</w:t>
      </w:r>
    </w:p>
    <w:bookmarkEnd w:id="6"/>
    <w:p w14:paraId="1AE95315" w14:textId="3655CE17" w:rsidR="007A71B9" w:rsidRPr="007A71B9" w:rsidRDefault="00FD7F17" w:rsidP="007A71B9">
      <w:pPr>
        <w:spacing w:after="120" w:line="360" w:lineRule="auto"/>
        <w:ind w:firstLine="360"/>
        <w:jc w:val="both"/>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proofErr w:type="spellStart"/>
      <w:r w:rsidR="008A0D89">
        <w:rPr>
          <w:rFonts w:hint="eastAsia"/>
        </w:rPr>
        <w:t>Raksilp</w:t>
      </w:r>
      <w:proofErr w:type="spellEnd"/>
      <w:r w:rsidR="008A0D89">
        <w:rPr>
          <w:rFonts w:hint="eastAsia"/>
        </w:rPr>
        <w:t xml:space="preserve">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4943637" w14:textId="1B11F01F" w:rsidR="00F13FD5" w:rsidRDefault="00E96157" w:rsidP="00F13FD5">
      <w:pPr>
        <w:spacing w:after="120" w:line="360" w:lineRule="auto"/>
        <w:ind w:firstLine="360"/>
        <w:jc w:val="both"/>
      </w:pPr>
      <w:r w:rsidRPr="00E96157">
        <w:t xml:space="preserve">Furukawa et al. (2021) offered one of the most detailed operationalizations of internet-delivered CBT components for depression. Using an individual participant data component network meta-analysis, they decomposed </w:t>
      </w:r>
      <w:proofErr w:type="spellStart"/>
      <w:r w:rsidRPr="00E96157">
        <w:t>iCBT</w:t>
      </w:r>
      <w:proofErr w:type="spellEnd"/>
      <w:r w:rsidRPr="00E96157">
        <w:t xml:space="preserve"> packages into 17 components. </w:t>
      </w:r>
      <w:proofErr w:type="gramStart"/>
      <w:r w:rsidRPr="00E96157">
        <w:t>For the purpose of</w:t>
      </w:r>
      <w:proofErr w:type="gramEnd"/>
      <w:r w:rsidRPr="00E96157">
        <w:t xml:space="preserve"> the present review, nine of these components were treated as therapeutic CBT content components: psychoeducation, cognitive restructuring, behavioral activation, interpersonal skills training, problem-solving, relaxation, third-wave components, behavi</w:t>
      </w:r>
      <w:r>
        <w:rPr>
          <w:rFonts w:hint="eastAsia"/>
        </w:rPr>
        <w:t>o</w:t>
      </w:r>
      <w:r w:rsidRPr="00E96157">
        <w:t>r therapy for insomnia, and relapse prevention (see Table 1).</w:t>
      </w:r>
    </w:p>
    <w:p w14:paraId="0AA30571" w14:textId="27A6FD52" w:rsidR="00E8341B" w:rsidRDefault="00E8341B" w:rsidP="00E8341B">
      <w:pPr>
        <w:rPr>
          <w:b/>
          <w:bCs/>
        </w:rPr>
      </w:pPr>
      <w:r w:rsidRPr="00D673FC">
        <w:rPr>
          <w:rFonts w:eastAsia="Times New Roman"/>
          <w:b/>
          <w:bCs/>
        </w:rPr>
        <w:t>Table 1</w:t>
      </w:r>
      <w:r w:rsidRPr="00D673FC">
        <w:rPr>
          <w:rFonts w:hint="eastAsia"/>
          <w:b/>
          <w:bCs/>
        </w:rPr>
        <w:t>.</w:t>
      </w:r>
      <w:r w:rsidRPr="00D673FC">
        <w:rPr>
          <w:rFonts w:hint="eastAsia"/>
        </w:rPr>
        <w:t xml:space="preserve"> </w:t>
      </w:r>
      <w:r w:rsidRPr="00D673FC">
        <w:rPr>
          <w:rFonts w:eastAsia="Times New Roman"/>
          <w:b/>
          <w:bCs/>
        </w:rPr>
        <w:t>Therapeutic (CBT-Skill) Components of Internet-Based CBT for Depression</w:t>
      </w:r>
    </w:p>
    <w:p w14:paraId="7E5E4924" w14:textId="77777777" w:rsidR="00F13FD5" w:rsidRPr="00F13FD5" w:rsidRDefault="00F13FD5" w:rsidP="00E8341B">
      <w:pPr>
        <w:rPr>
          <w:b/>
          <w:bCs/>
        </w:rPr>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16"/>
      </w:tblGrid>
      <w:tr w:rsidR="00D80A95" w14:paraId="1C385340" w14:textId="77777777" w:rsidTr="00D80A95">
        <w:trPr>
          <w:tblHeader/>
        </w:trPr>
        <w:tc>
          <w:tcPr>
            <w:tcW w:w="264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2B147E9E" w14:textId="77777777" w:rsidR="00D80A95" w:rsidRDefault="00D80A95" w:rsidP="000F1760">
            <w:r>
              <w:rPr>
                <w:rFonts w:eastAsia="Times New Roman"/>
                <w:b/>
                <w:bCs/>
              </w:rPr>
              <w:t>Component</w:t>
            </w:r>
          </w:p>
        </w:tc>
        <w:tc>
          <w:tcPr>
            <w:tcW w:w="6716"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4C4A4093" w14:textId="77777777" w:rsidR="00D80A95" w:rsidRDefault="00D80A95" w:rsidP="000F1760">
            <w:r>
              <w:rPr>
                <w:rFonts w:eastAsia="Times New Roman"/>
                <w:b/>
                <w:bCs/>
              </w:rPr>
              <w:t>Definition</w:t>
            </w:r>
          </w:p>
        </w:tc>
      </w:tr>
      <w:tr w:rsidR="00D80A95" w14:paraId="79D4492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DE7386" w14:textId="77777777" w:rsidR="00D80A95" w:rsidRDefault="00D80A95" w:rsidP="000F1760">
            <w:r>
              <w:rPr>
                <w:rFonts w:eastAsia="Times New Roman"/>
              </w:rPr>
              <w:t>Psychoeducation about depression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2BB23" w14:textId="77777777" w:rsidR="00D80A95" w:rsidRDefault="00D80A95" w:rsidP="000F1760">
            <w:r>
              <w:rPr>
                <w:rFonts w:eastAsia="Times New Roman"/>
              </w:rPr>
              <w:t>Information on the causes and nature of depression framed within a defined psychopathological model; counted only when a dedicated module is present.</w:t>
            </w:r>
          </w:p>
        </w:tc>
      </w:tr>
      <w:tr w:rsidR="00D80A95" w14:paraId="4B60F530"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080E46" w14:textId="77777777" w:rsidR="00D80A95" w:rsidRDefault="00D80A95" w:rsidP="000F1760">
            <w:r>
              <w:rPr>
                <w:rFonts w:eastAsia="Times New Roman"/>
              </w:rPr>
              <w:t>Cognitive restructuring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1885D9" w14:textId="77777777" w:rsidR="00D80A95" w:rsidRDefault="00D80A95" w:rsidP="000F1760">
            <w:r>
              <w:rPr>
                <w:rFonts w:eastAsia="Times New Roman"/>
              </w:rPr>
              <w:t>Teaching patients to evaluate and revise maladaptive or distorted thoughts (e.g., Socratic questioning, guided imagery).</w:t>
            </w:r>
          </w:p>
        </w:tc>
      </w:tr>
      <w:tr w:rsidR="00D80A95" w14:paraId="2A6CF6C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B0874" w14:textId="727BAA57" w:rsidR="00D80A95" w:rsidRDefault="00D80A95" w:rsidP="000F1760">
            <w:r>
              <w:rPr>
                <w:rFonts w:eastAsia="Times New Roman"/>
              </w:rPr>
              <w:t>Behavioral activation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0380F" w14:textId="77777777" w:rsidR="00D80A95" w:rsidRDefault="00D80A95" w:rsidP="000F1760">
            <w:r>
              <w:rPr>
                <w:rFonts w:eastAsia="Times New Roman"/>
              </w:rPr>
              <w:t>Scheduling activities to increase engagement in rewarding or pleasant experiences.</w:t>
            </w:r>
          </w:p>
        </w:tc>
      </w:tr>
      <w:tr w:rsidR="00D80A95" w14:paraId="416453E4"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4BD96" w14:textId="77777777" w:rsidR="00D80A95" w:rsidRDefault="00D80A95" w:rsidP="000F1760">
            <w:r>
              <w:rPr>
                <w:rFonts w:eastAsia="Times New Roman"/>
              </w:rPr>
              <w:t>Interpersonal skills training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9F64A" w14:textId="57ACBB08" w:rsidR="00D80A95" w:rsidRDefault="00D80A95" w:rsidP="000F1760">
            <w:r>
              <w:rPr>
                <w:rFonts w:eastAsia="Times New Roman"/>
              </w:rPr>
              <w:t>Training in social behavior, including assertiveness in expressing one’s needs and feelings respectfully.</w:t>
            </w:r>
          </w:p>
        </w:tc>
      </w:tr>
      <w:tr w:rsidR="00D80A95" w14:paraId="224C470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32333" w14:textId="77777777" w:rsidR="00D80A95" w:rsidRDefault="00D80A95" w:rsidP="000F1760">
            <w:r>
              <w:rPr>
                <w:rFonts w:eastAsia="Times New Roman"/>
              </w:rPr>
              <w:t>Problem solving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A3F68" w14:textId="77777777" w:rsidR="00D80A95" w:rsidRDefault="00D80A95" w:rsidP="000F1760">
            <w:r>
              <w:rPr>
                <w:rFonts w:eastAsia="Times New Roman"/>
              </w:rPr>
              <w:t>A structured sequence: defining a problem, generating and selecting solutions, planning, and evaluating the outcome.</w:t>
            </w:r>
          </w:p>
        </w:tc>
      </w:tr>
      <w:tr w:rsidR="00D80A95" w14:paraId="4EF1331F"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4DB19B" w14:textId="77777777" w:rsidR="00D80A95" w:rsidRDefault="00D80A95" w:rsidP="000F1760">
            <w:r>
              <w:rPr>
                <w:rFonts w:eastAsia="Times New Roman"/>
              </w:rPr>
              <w:t>Relaxation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A36DE3" w14:textId="77777777" w:rsidR="00D80A95" w:rsidRDefault="00D80A95" w:rsidP="000F1760">
            <w:r>
              <w:rPr>
                <w:rFonts w:eastAsia="Times New Roman"/>
              </w:rPr>
              <w:t>Lowering bodily tension through techniques such as progressive muscle relaxation or applied relaxation.</w:t>
            </w:r>
          </w:p>
        </w:tc>
      </w:tr>
      <w:tr w:rsidR="00D80A95" w14:paraId="3D3BFF37"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4313D1" w14:textId="77777777" w:rsidR="00D80A95" w:rsidRDefault="00D80A95" w:rsidP="000F1760">
            <w:r>
              <w:rPr>
                <w:rFonts w:eastAsia="Times New Roman"/>
              </w:rPr>
              <w:t>Third-wave components</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5BED74" w14:textId="77777777" w:rsidR="00D80A95" w:rsidRDefault="00D80A95" w:rsidP="000F1760">
            <w:r>
              <w:rPr>
                <w:rFonts w:eastAsia="Times New Roman"/>
              </w:rPr>
              <w:t>Techniques fostering more adaptive emotional responses, such as mindfulness, self-compassion, and acceptance.</w:t>
            </w:r>
          </w:p>
        </w:tc>
      </w:tr>
      <w:tr w:rsidR="00D80A95" w14:paraId="3B86507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AB473" w14:textId="0D42C272" w:rsidR="00D80A95" w:rsidRDefault="00D80A95" w:rsidP="000F1760">
            <w:r>
              <w:rPr>
                <w:rFonts w:eastAsia="Times New Roman"/>
              </w:rPr>
              <w:t>Behavior therapy for insomnia</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986F4" w14:textId="77777777" w:rsidR="00D80A95" w:rsidRDefault="00D80A95" w:rsidP="000F1760">
            <w:r>
              <w:rPr>
                <w:rFonts w:eastAsia="Times New Roman"/>
              </w:rPr>
              <w:t>Sleep restriction and stimulus control for chronic insomnia; may include sleep-related cognitive work.</w:t>
            </w:r>
          </w:p>
        </w:tc>
      </w:tr>
      <w:tr w:rsidR="00D80A95" w14:paraId="7CB3E42A" w14:textId="77777777" w:rsidTr="00D80A95">
        <w:tc>
          <w:tcPr>
            <w:tcW w:w="264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AC9CFC8" w14:textId="77777777" w:rsidR="00D80A95" w:rsidRDefault="00D80A95" w:rsidP="000F1760">
            <w:r>
              <w:rPr>
                <w:rFonts w:eastAsia="Times New Roman"/>
              </w:rPr>
              <w:t>Relapse prevention</w:t>
            </w:r>
          </w:p>
        </w:tc>
        <w:tc>
          <w:tcPr>
            <w:tcW w:w="6716"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B34EA60" w14:textId="77777777" w:rsidR="00D80A95" w:rsidRDefault="00D80A95" w:rsidP="000F1760">
            <w:r>
              <w:rPr>
                <w:rFonts w:eastAsia="Times New Roman"/>
              </w:rPr>
              <w:t>Reviewing acquired skills and building action plans for anticipated future difficulties; requires active patient input.</w:t>
            </w:r>
          </w:p>
        </w:tc>
      </w:tr>
    </w:tbl>
    <w:p w14:paraId="10B006FF" w14:textId="1430FF3C" w:rsidR="00E22328" w:rsidRDefault="00E22328" w:rsidP="00E22328">
      <w:pPr>
        <w:spacing w:before="120"/>
        <w:rPr>
          <w:sz w:val="20"/>
          <w:szCs w:val="20"/>
        </w:rPr>
      </w:pPr>
      <w:r>
        <w:rPr>
          <w:rFonts w:eastAsia="Times New Roman"/>
          <w:i/>
          <w:iCs/>
          <w:sz w:val="20"/>
          <w:szCs w:val="20"/>
        </w:rPr>
        <w:t>Note.</w:t>
      </w:r>
      <w:r>
        <w:rPr>
          <w:rFonts w:eastAsia="Times New Roman"/>
          <w:sz w:val="20"/>
          <w:szCs w:val="20"/>
        </w:rPr>
        <w:t xml:space="preserve"> The taxonomy is adapted </w:t>
      </w:r>
      <w:r>
        <w:rPr>
          <w:rFonts w:hint="eastAsia"/>
          <w:sz w:val="20"/>
          <w:szCs w:val="20"/>
        </w:rPr>
        <w:t>and</w:t>
      </w:r>
      <w:r>
        <w:rPr>
          <w:rFonts w:eastAsia="Times New Roman"/>
          <w:sz w:val="20"/>
          <w:szCs w:val="20"/>
        </w:rPr>
        <w:t xml:space="preserve"> paraphrased from</w:t>
      </w:r>
      <w:r>
        <w:rPr>
          <w:rFonts w:hint="eastAsia"/>
          <w:sz w:val="20"/>
          <w:szCs w:val="20"/>
        </w:rPr>
        <w:t xml:space="preserve"> </w:t>
      </w:r>
      <w:r w:rsidRPr="00682375">
        <w:rPr>
          <w:sz w:val="20"/>
          <w:szCs w:val="20"/>
        </w:rPr>
        <w:t xml:space="preserve">Furukawa et al. (2021) </w:t>
      </w:r>
      <w:r>
        <w:rPr>
          <w:rFonts w:hint="eastAsia"/>
          <w:sz w:val="20"/>
          <w:szCs w:val="20"/>
        </w:rPr>
        <w:t xml:space="preserve">and </w:t>
      </w:r>
      <w:r>
        <w:rPr>
          <w:rFonts w:eastAsia="Times New Roman"/>
          <w:sz w:val="20"/>
          <w:szCs w:val="20"/>
        </w:rPr>
        <w:t>Tong</w:t>
      </w:r>
      <w:r>
        <w:rPr>
          <w:rFonts w:hint="eastAsia"/>
          <w:sz w:val="20"/>
          <w:szCs w:val="20"/>
        </w:rPr>
        <w:t xml:space="preserve"> et al. (2024).</w:t>
      </w:r>
    </w:p>
    <w:p w14:paraId="74F390D4" w14:textId="77777777" w:rsidR="00E22328" w:rsidRPr="00E22328" w:rsidRDefault="00E22328" w:rsidP="00E22328">
      <w:pPr>
        <w:spacing w:before="120"/>
      </w:pPr>
    </w:p>
    <w:p w14:paraId="59947498" w14:textId="690C1C8C" w:rsidR="00300B48" w:rsidRPr="00300B48" w:rsidRDefault="00300B48" w:rsidP="00300B48">
      <w:pPr>
        <w:pStyle w:val="3"/>
        <w:rPr>
          <w:rFonts w:eastAsiaTheme="minorEastAsia"/>
        </w:rPr>
      </w:pPr>
      <w:r w:rsidRPr="00300B48">
        <w:rPr>
          <w:rFonts w:eastAsiaTheme="minorEastAsia"/>
        </w:rPr>
        <w:t>2.4.3. Non-therapeutic support level</w:t>
      </w:r>
    </w:p>
    <w:p w14:paraId="0FABF334" w14:textId="5101AD97" w:rsidR="00C51A70" w:rsidRDefault="00C51A70" w:rsidP="00C51A70">
      <w:pPr>
        <w:spacing w:after="120" w:line="360" w:lineRule="auto"/>
        <w:ind w:firstLine="360"/>
        <w:jc w:val="both"/>
      </w:pPr>
      <w:r w:rsidRPr="00C51A70">
        <w:t xml:space="preserve">An important methodological contribution of recent research has been to separate non-therapeutic </w:t>
      </w:r>
      <w:r w:rsidRPr="00C51A70">
        <w:lastRenderedPageBreak/>
        <w:t xml:space="preserve">support from therapeutic guidance. Drawing on the component-level framework of Furukawa et al. (2021) and the analytical approach of Tong et al. (2024), the present study distinguishes </w:t>
      </w:r>
      <w:r w:rsidR="0040543E">
        <w:rPr>
          <w:rFonts w:hint="eastAsia"/>
        </w:rPr>
        <w:t>five</w:t>
      </w:r>
      <w:r w:rsidRPr="00C51A70">
        <w:t xml:space="preserve"> types of non-therapeutic support that may accompany a self-help intervention. </w:t>
      </w:r>
    </w:p>
    <w:p w14:paraId="23F71082" w14:textId="77777777" w:rsidR="006E4B12" w:rsidRDefault="006E4B12" w:rsidP="00C51A70">
      <w:pPr>
        <w:spacing w:after="120" w:line="360" w:lineRule="auto"/>
        <w:ind w:firstLine="360"/>
        <w:jc w:val="both"/>
      </w:pPr>
    </w:p>
    <w:p w14:paraId="43038E53" w14:textId="5AC11190" w:rsidR="006E4B12" w:rsidRPr="006E4B12" w:rsidRDefault="006E4B12" w:rsidP="006E4B12">
      <w:pPr>
        <w:rPr>
          <w:b/>
          <w:bCs/>
        </w:rPr>
      </w:pPr>
      <w:r w:rsidRPr="006E4B12">
        <w:rPr>
          <w:rFonts w:eastAsia="Times New Roman"/>
          <w:b/>
          <w:bCs/>
        </w:rPr>
        <w:t>Table 2</w:t>
      </w:r>
      <w:r w:rsidRPr="006E4B12">
        <w:rPr>
          <w:rFonts w:hint="eastAsia"/>
        </w:rPr>
        <w:t xml:space="preserve">. </w:t>
      </w:r>
      <w:r w:rsidRPr="006E4B12">
        <w:rPr>
          <w:rFonts w:eastAsia="Times New Roman"/>
          <w:b/>
          <w:bCs/>
        </w:rPr>
        <w:t>Non-Therapeutic Support Levels in Self-Guided Interventions for Adult Depression</w:t>
      </w:r>
    </w:p>
    <w:p w14:paraId="6D518C86" w14:textId="77777777" w:rsidR="006E4B12" w:rsidRPr="006E4B12" w:rsidRDefault="006E4B12" w:rsidP="006E4B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4B12" w:rsidRPr="006E4B12" w14:paraId="795FADD4" w14:textId="77777777" w:rsidTr="000F1760">
        <w:trPr>
          <w:tblHeader/>
        </w:trPr>
        <w:tc>
          <w:tcPr>
            <w:tcW w:w="30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7A77DA25" w14:textId="77777777" w:rsidR="006E4B12" w:rsidRPr="006E4B12" w:rsidRDefault="006E4B12" w:rsidP="000F1760">
            <w:r w:rsidRPr="006E4B12">
              <w:rPr>
                <w:rFonts w:eastAsia="Times New Roman"/>
                <w:b/>
                <w:bCs/>
              </w:rPr>
              <w:t>Support level</w:t>
            </w:r>
          </w:p>
        </w:tc>
        <w:tc>
          <w:tcPr>
            <w:tcW w:w="636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62F8AF08" w14:textId="77777777" w:rsidR="006E4B12" w:rsidRPr="006E4B12" w:rsidRDefault="006E4B12" w:rsidP="000F1760">
            <w:r w:rsidRPr="006E4B12">
              <w:rPr>
                <w:rFonts w:eastAsia="Times New Roman"/>
                <w:b/>
                <w:bCs/>
              </w:rPr>
              <w:t>Definition</w:t>
            </w:r>
          </w:p>
        </w:tc>
      </w:tr>
      <w:tr w:rsidR="006E4B12" w:rsidRPr="006E4B12" w14:paraId="74563830"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C9BBE" w14:textId="77777777" w:rsidR="006E4B12" w:rsidRPr="006E4B12" w:rsidRDefault="006E4B12" w:rsidP="000F1760">
            <w:r w:rsidRPr="006E4B12">
              <w:rPr>
                <w:rFonts w:eastAsia="Times New Roman"/>
              </w:rPr>
              <w:t>No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C06F" w14:textId="77777777" w:rsidR="006E4B12" w:rsidRPr="006E4B12" w:rsidRDefault="006E4B12" w:rsidP="000F1760">
            <w:r w:rsidRPr="006E4B12">
              <w:rPr>
                <w:rFonts w:eastAsia="Times New Roman"/>
              </w:rPr>
              <w:t>The intervention is completed entirely independently, with no prompts, contact, or assistance of any kind.</w:t>
            </w:r>
          </w:p>
        </w:tc>
      </w:tr>
      <w:tr w:rsidR="006E4B12" w:rsidRPr="006E4B12" w14:paraId="5AB17D8B"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68FC9" w14:textId="77777777" w:rsidR="006E4B12" w:rsidRPr="006E4B12" w:rsidRDefault="006E4B12" w:rsidP="000F1760">
            <w:r w:rsidRPr="006E4B12">
              <w:rPr>
                <w:rFonts w:eastAsia="Times New Roman"/>
              </w:rPr>
              <w:t>Technical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6DFB9" w14:textId="77777777" w:rsidR="006E4B12" w:rsidRPr="006E4B12" w:rsidRDefault="006E4B12" w:rsidP="000F1760">
            <w:r w:rsidRPr="006E4B12">
              <w:rPr>
                <w:rFonts w:eastAsia="Times New Roman"/>
              </w:rPr>
              <w:t>Assistance is confined to operational or technical issues (e.g., navigating the platform) and never addresses therapeutic content.</w:t>
            </w:r>
          </w:p>
        </w:tc>
      </w:tr>
      <w:tr w:rsidR="006E4B12" w:rsidRPr="006E4B12" w14:paraId="5E481787"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A2652" w14:textId="77777777" w:rsidR="006E4B12" w:rsidRPr="006E4B12" w:rsidRDefault="006E4B12" w:rsidP="000F1760">
            <w:r w:rsidRPr="006E4B12">
              <w:rPr>
                <w:rFonts w:eastAsia="Times New Roman"/>
              </w:rPr>
              <w:t>Automated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CF60C" w14:textId="091316D7" w:rsidR="006E4B12" w:rsidRPr="006E4B12" w:rsidRDefault="006E4B12" w:rsidP="000F1760">
            <w:r w:rsidRPr="006E4B12">
              <w:rPr>
                <w:rFonts w:eastAsia="Times New Roman"/>
              </w:rPr>
              <w:t>System-generated prompts (personali</w:t>
            </w:r>
            <w:r>
              <w:rPr>
                <w:rFonts w:hint="eastAsia"/>
              </w:rPr>
              <w:t>z</w:t>
            </w:r>
            <w:r w:rsidRPr="006E4B12">
              <w:rPr>
                <w:rFonts w:eastAsia="Times New Roman"/>
              </w:rPr>
              <w:t>ed or non-personali</w:t>
            </w:r>
            <w:r>
              <w:rPr>
                <w:rFonts w:hint="eastAsia"/>
              </w:rPr>
              <w:t>z</w:t>
            </w:r>
            <w:r w:rsidRPr="006E4B12">
              <w:rPr>
                <w:rFonts w:eastAsia="Times New Roman"/>
              </w:rPr>
              <w:t>ed) that encourage continued engagement, delivered without human involvement.</w:t>
            </w:r>
          </w:p>
        </w:tc>
      </w:tr>
      <w:tr w:rsidR="006E4B12" w:rsidRPr="006E4B12" w14:paraId="0A13CBFC" w14:textId="77777777" w:rsidTr="003674DF">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159EBD" w14:textId="77777777" w:rsidR="006E4B12" w:rsidRPr="006E4B12" w:rsidRDefault="006E4B12" w:rsidP="000F1760">
            <w:r w:rsidRPr="006E4B12">
              <w:rPr>
                <w:rFonts w:eastAsia="Times New Roman"/>
              </w:rPr>
              <w:t>Human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9173" w14:textId="77777777" w:rsidR="006E4B12" w:rsidRPr="006E4B12" w:rsidRDefault="006E4B12" w:rsidP="000F1760">
            <w:r w:rsidRPr="006E4B12">
              <w:rPr>
                <w:rFonts w:eastAsia="Times New Roman"/>
              </w:rPr>
              <w:t>A person provides prompts or encouragement (e.g., periodic phone calls) to support adherence, without addressing therapeutic content.</w:t>
            </w:r>
          </w:p>
        </w:tc>
      </w:tr>
      <w:tr w:rsidR="003674DF" w:rsidRPr="006E4B12" w14:paraId="463A86FC" w14:textId="77777777" w:rsidTr="000F1760">
        <w:tc>
          <w:tcPr>
            <w:tcW w:w="30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2AA688" w14:textId="1A2FB666" w:rsidR="003674DF" w:rsidRPr="006E4B12" w:rsidRDefault="003674DF" w:rsidP="000F1760">
            <w:pPr>
              <w:rPr>
                <w:rFonts w:eastAsia="Times New Roman"/>
              </w:rPr>
            </w:pPr>
            <w:r w:rsidRPr="00C51A70">
              <w:t>Initial face-to-face contact</w:t>
            </w:r>
          </w:p>
        </w:tc>
        <w:tc>
          <w:tcPr>
            <w:tcW w:w="636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B437709" w14:textId="0C735AA7" w:rsidR="003674DF" w:rsidRPr="006E4B12" w:rsidRDefault="003674DF" w:rsidP="000F1760">
            <w:pPr>
              <w:rPr>
                <w:rFonts w:eastAsia="Times New Roman"/>
              </w:rPr>
            </w:pPr>
            <w:r>
              <w:rPr>
                <w:rFonts w:hint="eastAsia"/>
              </w:rPr>
              <w:t>I</w:t>
            </w:r>
            <w:r w:rsidRPr="00C51A70">
              <w:t>n-person contact at the start of the intervention, such as an initial assessment or orientation session</w:t>
            </w:r>
            <w:r w:rsidR="0040543E">
              <w:rPr>
                <w:rFonts w:hint="eastAsia"/>
              </w:rPr>
              <w:t>.</w:t>
            </w:r>
          </w:p>
        </w:tc>
      </w:tr>
    </w:tbl>
    <w:p w14:paraId="45D5C5A9" w14:textId="1F7C550C" w:rsidR="00C51A70" w:rsidRPr="00377E50" w:rsidRDefault="00377E50" w:rsidP="00377E50">
      <w:pPr>
        <w:spacing w:before="120"/>
      </w:pPr>
      <w:r>
        <w:rPr>
          <w:rFonts w:eastAsia="Times New Roman"/>
          <w:i/>
          <w:iCs/>
          <w:sz w:val="20"/>
          <w:szCs w:val="20"/>
        </w:rPr>
        <w:t>Note.</w:t>
      </w:r>
      <w:r>
        <w:rPr>
          <w:rFonts w:eastAsia="Times New Roman"/>
          <w:sz w:val="20"/>
          <w:szCs w:val="20"/>
        </w:rPr>
        <w:t xml:space="preserve"> The taxonomy is adapted </w:t>
      </w:r>
      <w:r w:rsidR="00682375">
        <w:rPr>
          <w:rFonts w:hint="eastAsia"/>
          <w:sz w:val="20"/>
          <w:szCs w:val="20"/>
        </w:rPr>
        <w:t>and</w:t>
      </w:r>
      <w:r>
        <w:rPr>
          <w:rFonts w:eastAsia="Times New Roman"/>
          <w:sz w:val="20"/>
          <w:szCs w:val="20"/>
        </w:rPr>
        <w:t xml:space="preserve"> paraphrased from</w:t>
      </w:r>
      <w:r w:rsidR="00682375">
        <w:rPr>
          <w:rFonts w:hint="eastAsia"/>
          <w:sz w:val="20"/>
          <w:szCs w:val="20"/>
        </w:rPr>
        <w:t xml:space="preserve"> </w:t>
      </w:r>
      <w:r w:rsidR="00682375" w:rsidRPr="00682375">
        <w:rPr>
          <w:sz w:val="20"/>
          <w:szCs w:val="20"/>
        </w:rPr>
        <w:t xml:space="preserve">Furukawa et al. (2021) </w:t>
      </w:r>
      <w:r w:rsidR="00682375">
        <w:rPr>
          <w:rFonts w:hint="eastAsia"/>
          <w:sz w:val="20"/>
          <w:szCs w:val="20"/>
        </w:rPr>
        <w:t>and</w:t>
      </w:r>
      <w:r>
        <w:rPr>
          <w:rFonts w:hint="eastAsia"/>
          <w:sz w:val="20"/>
          <w:szCs w:val="20"/>
        </w:rPr>
        <w:t xml:space="preserve"> </w:t>
      </w:r>
      <w:r>
        <w:rPr>
          <w:rFonts w:eastAsia="Times New Roman"/>
          <w:sz w:val="20"/>
          <w:szCs w:val="20"/>
        </w:rPr>
        <w:t>Tong</w:t>
      </w:r>
      <w:r>
        <w:rPr>
          <w:rFonts w:hint="eastAsia"/>
          <w:sz w:val="20"/>
          <w:szCs w:val="20"/>
        </w:rPr>
        <w:t xml:space="preserve"> et al. (2024).</w:t>
      </w:r>
    </w:p>
    <w:p w14:paraId="5F012402" w14:textId="77777777" w:rsidR="00377E50" w:rsidRPr="00377E50" w:rsidRDefault="00377E50" w:rsidP="00377E50">
      <w:pPr>
        <w:spacing w:before="120"/>
      </w:pPr>
    </w:p>
    <w:p w14:paraId="3978B0B8" w14:textId="33FCAB49"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Support level, which covers the </w:t>
      </w:r>
      <w:r w:rsidR="00377E50">
        <w:rPr>
          <w:rFonts w:hint="eastAsia"/>
        </w:rPr>
        <w:t>five</w:t>
      </w:r>
      <w:r w:rsidRPr="00C51A70">
        <w:t xml:space="preserve"> components listed above, is treated as a separate dimension and will be examined as a moderator.</w:t>
      </w:r>
    </w:p>
    <w:p w14:paraId="5499CE61" w14:textId="77777777" w:rsidR="000C3784" w:rsidRDefault="00D450DC">
      <w:pPr>
        <w:pStyle w:val="2"/>
      </w:pPr>
      <w:bookmarkStart w:id="9" w:name="OLE_LINK74"/>
      <w:r>
        <w:t>2.5. Prior Meta-Analyses and Remaining Gaps</w:t>
      </w:r>
    </w:p>
    <w:bookmarkEnd w:id="9"/>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 xml:space="preserve">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w:t>
      </w:r>
      <w:r w:rsidRPr="00C51A70">
        <w:lastRenderedPageBreak/>
        <w:t>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10" w:name="OLE_LINK66"/>
      <w:r w:rsidRPr="00C51A70">
        <w:t>Furukawa et al. (2021) systematically examined the effects of individual components of internet-delivered CBT for depression, using a component network meta-analysis with individual participant data.</w:t>
      </w:r>
      <w:bookmarkEnd w:id="10"/>
      <w:r w:rsidRPr="00C51A70">
        <w:t xml:space="preserve"> 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6035A664" w14:textId="53C18470" w:rsidR="00830F7C" w:rsidRDefault="00774AAF" w:rsidP="00830F7C">
      <w:pPr>
        <w:spacing w:after="120" w:line="360" w:lineRule="auto"/>
        <w:ind w:firstLine="360"/>
        <w:jc w:val="both"/>
      </w:pPr>
      <w:bookmarkStart w:id="11" w:name="OLE_LINK75"/>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11"/>
    <w:p w14:paraId="2C6C88F0" w14:textId="21978C3C" w:rsidR="00134A8E" w:rsidRDefault="00134A8E" w:rsidP="00134A8E">
      <w:pPr>
        <w:pStyle w:val="2"/>
        <w:rPr>
          <w:rFonts w:eastAsiaTheme="minorEastAsia"/>
        </w:rPr>
      </w:pPr>
      <w:r>
        <w:lastRenderedPageBreak/>
        <w:t>2.</w:t>
      </w:r>
      <w:r>
        <w:rPr>
          <w:rFonts w:eastAsiaTheme="minorEastAsia" w:hint="eastAsia"/>
        </w:rPr>
        <w:t>6</w:t>
      </w:r>
      <w:r>
        <w:t xml:space="preserve">. </w:t>
      </w:r>
      <w:r>
        <w:rPr>
          <w:rFonts w:eastAsiaTheme="minorEastAsia" w:hint="eastAsia"/>
        </w:rPr>
        <w:t>Meta-Analyses</w:t>
      </w:r>
    </w:p>
    <w:p w14:paraId="7B959CDA" w14:textId="77777777" w:rsidR="0013278B" w:rsidRDefault="0013278B" w:rsidP="0013278B">
      <w:pPr>
        <w:spacing w:after="120" w:line="360" w:lineRule="auto"/>
        <w:ind w:firstLine="360"/>
        <w:jc w:val="both"/>
      </w:pPr>
      <w:r w:rsidRPr="0013278B">
        <w:t>Evidence from a body of related studies can be synthesized in several ways, including traditional or narrative reviews, systematic reviews, and meta-analyses (Cuijpers, 2016). A meta-analysis is commonly understood as a quantitative extension of a systematic review. Its distinctive feature is that it combines results from previous studies statistically, usually by converting study findings into a common effect-size metric. This approach is useful when studies address a comparable research question but differ in sample characteristics, intervention format, outcome measures, or study design. Such differences can create heterogeneity, which must be considered when interpreting the pooled result. Although a numerical summary can often be calculated statistically, it is only meaningful when the included studies are sufficiently comparable with respect to the research question. In this sense, meta-analysis not only estimates the overall intervention effect but also allows the extent of variation between studies to be quantified and examined (Harrer et al., 2021).</w:t>
      </w:r>
    </w:p>
    <w:p w14:paraId="6FCF1BBC" w14:textId="734583E9" w:rsidR="005F7796" w:rsidRPr="00E55FA6" w:rsidRDefault="00E55FA6" w:rsidP="00E55FA6">
      <w:pPr>
        <w:spacing w:after="120" w:line="360" w:lineRule="auto"/>
        <w:ind w:firstLine="360"/>
        <w:jc w:val="both"/>
      </w:pPr>
      <w:r w:rsidRPr="00E55FA6">
        <w:t>A central statistical distinction in meta-analysis is between fixed-effect and random-effects models. A fixed-effect model assumes that all included studies estimate one common true effect, and that differences between observed study results are due only to sampling error. A random-effects model, by contrast, allows the true effect to vary across studies and estimates the mean of the distribution of true effects. This distinction is important when the included studies differ in participant characteristics, intervention format, dosage, or outcome measurement.</w:t>
      </w:r>
    </w:p>
    <w:p w14:paraId="03162D13" w14:textId="77777777" w:rsidR="00134A8E" w:rsidRPr="00134A8E" w:rsidRDefault="00134A8E" w:rsidP="00134A8E">
      <w:pPr>
        <w:spacing w:after="120" w:line="360" w:lineRule="auto"/>
        <w:jc w:val="both"/>
      </w:pP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00B0844E" w14:textId="77777777" w:rsidR="00855297" w:rsidRDefault="00855297" w:rsidP="002863D9">
      <w:pPr>
        <w:spacing w:after="120" w:line="360" w:lineRule="auto"/>
        <w:ind w:firstLine="360"/>
        <w:jc w:val="both"/>
      </w:pPr>
      <w:r w:rsidRPr="00855297">
        <w:rPr>
          <w:rFonts w:eastAsia="Times New Roman"/>
        </w:rPr>
        <w:t xml:space="preserve">The search strategy was constructed from four concept blocks combined with the Boolean AND operator: (1) adolescent population, (2) depression, (3) cognitive behavioral therapy, and (4) unguided self-help and related delivery formats. Within each block, </w:t>
      </w:r>
      <w:proofErr w:type="spellStart"/>
      <w:proofErr w:type="gramStart"/>
      <w:r w:rsidRPr="00855297">
        <w:rPr>
          <w:rFonts w:eastAsia="Times New Roman"/>
        </w:rPr>
        <w:t>MeSH</w:t>
      </w:r>
      <w:proofErr w:type="spellEnd"/>
      <w:proofErr w:type="gramEnd"/>
      <w:r w:rsidRPr="00855297">
        <w:rPr>
          <w:rFonts w:eastAsia="Times New Roman"/>
        </w:rPr>
        <w:t xml:space="preserve"> terms and free-text synonyms were combined with the Boolean OR operator. Block 4 was adapted from Tong et al. (2024). A randomized controlled trial filter was additionally applied where appropriate and adapted to the syntax of each database. The full search strings were adapted to the syntax of each database. The PubMed strategy is presented in Appendix A as a worked example.</w:t>
      </w:r>
    </w:p>
    <w:p w14:paraId="43F27138" w14:textId="726AA7B3" w:rsidR="000C3784" w:rsidRDefault="002863D9" w:rsidP="002863D9">
      <w:pPr>
        <w:spacing w:after="120" w:line="360" w:lineRule="auto"/>
        <w:ind w:firstLine="360"/>
        <w:jc w:val="both"/>
      </w:pPr>
      <w:r w:rsidRPr="002863D9">
        <w:rPr>
          <w:rFonts w:eastAsia="Times New Roman"/>
        </w:rPr>
        <w:t xml:space="preserve">No restrictions were placed on language at the search stage, </w:t>
      </w:r>
      <w:r w:rsidR="00933AFA">
        <w:rPr>
          <w:rFonts w:hint="eastAsia"/>
        </w:rPr>
        <w:t>and languages that are out of the author</w:t>
      </w:r>
      <w:r w:rsidR="00933AFA">
        <w:t>’</w:t>
      </w:r>
      <w:r w:rsidR="00933AFA">
        <w:rPr>
          <w:rFonts w:hint="eastAsia"/>
        </w:rPr>
        <w:t xml:space="preserve">s mastery </w:t>
      </w:r>
      <w:r w:rsidR="00FA6149">
        <w:rPr>
          <w:rFonts w:hint="eastAsia"/>
        </w:rPr>
        <w:t>would</w:t>
      </w:r>
      <w:r w:rsidR="00933AFA">
        <w:rPr>
          <w:rFonts w:hint="eastAsia"/>
        </w:rPr>
        <w:t xml:space="preserve"> </w:t>
      </w:r>
      <w:r w:rsidR="00C8475D">
        <w:rPr>
          <w:rFonts w:hint="eastAsia"/>
        </w:rPr>
        <w:t xml:space="preserve">be </w:t>
      </w:r>
      <w:r w:rsidR="00933AFA">
        <w:rPr>
          <w:rFonts w:hint="eastAsia"/>
        </w:rPr>
        <w:t xml:space="preserve">excluded in </w:t>
      </w:r>
      <w:r w:rsidR="00F048E8">
        <w:rPr>
          <w:rFonts w:hint="eastAsia"/>
        </w:rPr>
        <w:t xml:space="preserve">the </w:t>
      </w:r>
      <w:r w:rsidR="00933AFA">
        <w:rPr>
          <w:rFonts w:hint="eastAsia"/>
        </w:rPr>
        <w:t>later screening stage</w:t>
      </w:r>
      <w:r w:rsidR="00FD0115">
        <w:rPr>
          <w:rFonts w:hint="eastAsia"/>
        </w:rPr>
        <w:t xml:space="preserve">. </w:t>
      </w:r>
      <w:r w:rsidRPr="002863D9">
        <w:rPr>
          <w:rFonts w:eastAsia="Times New Roman"/>
        </w:rPr>
        <w:t xml:space="preserve">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r w:rsidR="00C57F8B" w:rsidRPr="00A35027">
        <w:t>McAuley</w:t>
      </w:r>
      <w:r w:rsidR="00C57F8B">
        <w:rPr>
          <w:rFonts w:hint="eastAsia"/>
        </w:rPr>
        <w:t xml:space="preserve"> et al., 2000</w:t>
      </w:r>
      <w:r w:rsidRPr="002863D9">
        <w:rPr>
          <w:rFonts w:eastAsia="Times New Roman"/>
        </w:rPr>
        <w:t xml:space="preserve">). </w:t>
      </w:r>
    </w:p>
    <w:p w14:paraId="4C7E7C3B" w14:textId="38D4CA4E"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 xml:space="preserve">3.3. </w:t>
      </w:r>
      <w:bookmarkStart w:id="12" w:name="OLE_LINK68"/>
      <w:r>
        <w:t>Eligibility Criteria</w:t>
      </w:r>
      <w:bookmarkEnd w:id="12"/>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81610B">
      <w:pPr>
        <w:spacing w:after="120" w:line="360" w:lineRule="auto"/>
        <w:ind w:firstLine="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076A4F69" w:rsidR="000F7427" w:rsidRPr="0081610B" w:rsidRDefault="000F7427" w:rsidP="0081610B">
      <w:pPr>
        <w:spacing w:after="120" w:line="360" w:lineRule="auto"/>
        <w:ind w:firstLine="360"/>
        <w:jc w:val="both"/>
      </w:pPr>
      <w:r w:rsidRPr="0081610B">
        <w:rPr>
          <w:rFonts w:eastAsia="Times New Roman"/>
          <w:b/>
          <w:bCs/>
        </w:rPr>
        <w:t>Study design</w:t>
      </w:r>
      <w:r w:rsidR="0081610B" w:rsidRPr="0081610B">
        <w:rPr>
          <w:rFonts w:hint="eastAsia"/>
          <w:b/>
          <w:bCs/>
        </w:rPr>
        <w:t>.</w:t>
      </w:r>
      <w:r w:rsidR="0081610B">
        <w:rPr>
          <w:rFonts w:hint="eastAsia"/>
        </w:rPr>
        <w:t xml:space="preserve"> </w:t>
      </w:r>
      <w:r w:rsidRPr="000F7427">
        <w:rPr>
          <w:rFonts w:eastAsia="Times New Roman"/>
        </w:rPr>
        <w:t>Studies were required to be randomized controlled trials (RCTs)</w:t>
      </w:r>
      <w:r w:rsidR="0081610B">
        <w:rPr>
          <w:rFonts w:hint="eastAsia"/>
        </w:rPr>
        <w:t>.</w:t>
      </w:r>
    </w:p>
    <w:p w14:paraId="278D9ECD" w14:textId="378DF0DC" w:rsidR="000F7427" w:rsidRDefault="000F7427" w:rsidP="00D71CDE">
      <w:pPr>
        <w:spacing w:after="120" w:line="360" w:lineRule="auto"/>
        <w:ind w:firstLine="360"/>
        <w:jc w:val="both"/>
      </w:pPr>
      <w:r w:rsidRPr="0081610B">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w:t>
      </w:r>
      <w:r w:rsidR="00F757DC">
        <w:rPr>
          <w:rFonts w:hint="eastAsia"/>
        </w:rPr>
        <w:t>re</w:t>
      </w:r>
      <w:r w:rsidR="00C31385">
        <w:rPr>
          <w:rFonts w:hint="eastAsia"/>
        </w:rPr>
        <w:t>c</w:t>
      </w:r>
      <w:r w:rsidR="00F757DC">
        <w:rPr>
          <w:rFonts w:hint="eastAsia"/>
        </w:rPr>
        <w:t>ruited</w:t>
      </w:r>
      <w:r w:rsidRPr="000F7427">
        <w:rPr>
          <w:rFonts w:eastAsia="Times New Roman"/>
        </w:rPr>
        <w:t xml:space="preserve"> age range, which had to fall entirely within 10 to 19 years. </w:t>
      </w:r>
      <w:r w:rsidR="00D71CDE" w:rsidRPr="00D71CDE">
        <w:rPr>
          <w:rFonts w:eastAsia="Times New Roman"/>
        </w:rPr>
        <w:t xml:space="preserve">Participants had to show clinically significant depressive symptoms at baseline. This was established either by a baseline score meeting or exceeding a published clinical cutoff on a validated depression measure, or by clinician-led identification of clinically significant symptoms when no formal cutoff was applied. </w:t>
      </w:r>
    </w:p>
    <w:p w14:paraId="16EF18C4" w14:textId="048A5252" w:rsidR="00D71CDE" w:rsidRPr="00905454" w:rsidRDefault="00D71CDE" w:rsidP="00D71CDE">
      <w:pPr>
        <w:spacing w:before="240" w:after="120" w:line="276" w:lineRule="auto"/>
      </w:pPr>
      <w:r>
        <w:rPr>
          <w:rFonts w:eastAsia="Times New Roman"/>
          <w:b/>
          <w:bCs/>
        </w:rPr>
        <w:t xml:space="preserve">Table </w:t>
      </w:r>
      <w:r w:rsidR="00086119">
        <w:rPr>
          <w:rFonts w:hint="eastAsia"/>
          <w:b/>
          <w:bCs/>
        </w:rPr>
        <w:t>3</w:t>
      </w:r>
      <w:r>
        <w:rPr>
          <w:rFonts w:eastAsia="Times New Roman"/>
          <w:b/>
          <w:bCs/>
        </w:rPr>
        <w:t>. Validated Depression Measures and Clinical Cutoffs Used for Baseline Eligibility and Severity Classification</w:t>
      </w:r>
      <w:r w:rsidR="00905454">
        <w:rPr>
          <w:rFonts w:hint="eastAsia"/>
          <w:b/>
          <w:bCs/>
        </w:rPr>
        <w:t xml:space="preserve"> (Adapted from </w:t>
      </w:r>
      <w:r w:rsidR="00905454" w:rsidRPr="00905454">
        <w:rPr>
          <w:b/>
          <w:bCs/>
        </w:rPr>
        <w:t>Bjornstad</w:t>
      </w:r>
      <w:r w:rsidR="00905454">
        <w:rPr>
          <w:rFonts w:hint="eastAsia"/>
          <w:b/>
          <w:bCs/>
        </w:rPr>
        <w:t xml:space="preserve"> et al. (2024))</w:t>
      </w:r>
    </w:p>
    <w:tbl>
      <w:tblPr>
        <w:tblW w:w="9360" w:type="dxa"/>
        <w:tblBorders>
          <w:top w:val="single" w:sz="8" w:space="0" w:color="000000"/>
          <w:bottom w:val="single" w:sz="8" w:space="0" w:color="000000"/>
        </w:tblBorders>
        <w:tblLayout w:type="fixed"/>
        <w:tblCellMar>
          <w:left w:w="10" w:type="dxa"/>
          <w:right w:w="10" w:type="dxa"/>
        </w:tblCellMar>
        <w:tblLook w:val="0000" w:firstRow="0" w:lastRow="0" w:firstColumn="0" w:lastColumn="0" w:noHBand="0" w:noVBand="0"/>
      </w:tblPr>
      <w:tblGrid>
        <w:gridCol w:w="1276"/>
        <w:gridCol w:w="1985"/>
        <w:gridCol w:w="1275"/>
        <w:gridCol w:w="993"/>
        <w:gridCol w:w="732"/>
        <w:gridCol w:w="1033"/>
        <w:gridCol w:w="788"/>
        <w:gridCol w:w="1278"/>
      </w:tblGrid>
      <w:tr w:rsidR="00B17069" w14:paraId="57308CE1" w14:textId="77777777" w:rsidTr="00A41A09">
        <w:tc>
          <w:tcPr>
            <w:tcW w:w="1276"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6D95D7B7" w14:textId="77777777" w:rsidR="00D71CDE" w:rsidRDefault="00D71CDE" w:rsidP="00A41B70">
            <w:pPr>
              <w:spacing w:line="276" w:lineRule="auto"/>
            </w:pPr>
            <w:r>
              <w:rPr>
                <w:rFonts w:eastAsia="Times New Roman"/>
                <w:b/>
                <w:bCs/>
                <w:sz w:val="20"/>
                <w:szCs w:val="20"/>
              </w:rPr>
              <w:t>Measure</w:t>
            </w:r>
          </w:p>
        </w:tc>
        <w:tc>
          <w:tcPr>
            <w:tcW w:w="198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28817062" w14:textId="77777777" w:rsidR="00D71CDE" w:rsidRDefault="00D71CDE" w:rsidP="00A41B70">
            <w:pPr>
              <w:spacing w:line="276" w:lineRule="auto"/>
            </w:pPr>
            <w:r>
              <w:rPr>
                <w:rFonts w:eastAsia="Times New Roman"/>
                <w:b/>
                <w:bCs/>
                <w:sz w:val="20"/>
                <w:szCs w:val="20"/>
              </w:rPr>
              <w:t>Full Name</w:t>
            </w:r>
          </w:p>
        </w:tc>
        <w:tc>
          <w:tcPr>
            <w:tcW w:w="127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08C11E78" w14:textId="77777777" w:rsidR="00D71CDE" w:rsidRDefault="00D71CDE" w:rsidP="00A41B70">
            <w:pPr>
              <w:spacing w:line="276" w:lineRule="auto"/>
            </w:pPr>
            <w:r>
              <w:rPr>
                <w:rFonts w:eastAsia="Times New Roman"/>
                <w:b/>
                <w:bCs/>
                <w:sz w:val="20"/>
                <w:szCs w:val="20"/>
              </w:rPr>
              <w:t>Target Population</w:t>
            </w:r>
          </w:p>
        </w:tc>
        <w:tc>
          <w:tcPr>
            <w:tcW w:w="99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3BAA447" w14:textId="77777777" w:rsidR="00D71CDE" w:rsidRDefault="00D71CDE" w:rsidP="00A41B70">
            <w:pPr>
              <w:spacing w:line="276" w:lineRule="auto"/>
              <w:jc w:val="center"/>
            </w:pPr>
            <w:r>
              <w:rPr>
                <w:rFonts w:eastAsia="Times New Roman"/>
                <w:b/>
                <w:bCs/>
                <w:sz w:val="20"/>
                <w:szCs w:val="20"/>
              </w:rPr>
              <w:t>Range</w:t>
            </w:r>
          </w:p>
        </w:tc>
        <w:tc>
          <w:tcPr>
            <w:tcW w:w="732"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5A3D2AF5" w14:textId="77777777" w:rsidR="00D71CDE" w:rsidRDefault="00D71CDE" w:rsidP="00A41B70">
            <w:pPr>
              <w:spacing w:line="276" w:lineRule="auto"/>
              <w:jc w:val="center"/>
            </w:pPr>
            <w:r>
              <w:rPr>
                <w:rFonts w:eastAsia="Times New Roman"/>
                <w:b/>
                <w:bCs/>
                <w:sz w:val="20"/>
                <w:szCs w:val="20"/>
              </w:rPr>
              <w:t>Mild</w:t>
            </w:r>
          </w:p>
        </w:tc>
        <w:tc>
          <w:tcPr>
            <w:tcW w:w="103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7A5D9E2" w14:textId="77777777" w:rsidR="00D71CDE" w:rsidRDefault="00D71CDE" w:rsidP="00A41B70">
            <w:pPr>
              <w:spacing w:line="276" w:lineRule="auto"/>
              <w:jc w:val="center"/>
            </w:pPr>
            <w:r>
              <w:rPr>
                <w:rFonts w:eastAsia="Times New Roman"/>
                <w:b/>
                <w:bCs/>
                <w:sz w:val="20"/>
                <w:szCs w:val="20"/>
              </w:rPr>
              <w:t>Moderate</w:t>
            </w:r>
          </w:p>
        </w:tc>
        <w:tc>
          <w:tcPr>
            <w:tcW w:w="78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0A4ADFC" w14:textId="77777777" w:rsidR="00D71CDE" w:rsidRDefault="00D71CDE" w:rsidP="00A41B70">
            <w:pPr>
              <w:spacing w:line="276" w:lineRule="auto"/>
              <w:jc w:val="center"/>
            </w:pPr>
            <w:r>
              <w:rPr>
                <w:rFonts w:eastAsia="Times New Roman"/>
                <w:b/>
                <w:bCs/>
                <w:sz w:val="20"/>
                <w:szCs w:val="20"/>
              </w:rPr>
              <w:t>Severe</w:t>
            </w:r>
          </w:p>
        </w:tc>
        <w:tc>
          <w:tcPr>
            <w:tcW w:w="127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8B37231" w14:textId="77777777" w:rsidR="00D71CDE" w:rsidRDefault="00D71CDE" w:rsidP="00A41B70">
            <w:pPr>
              <w:spacing w:line="276" w:lineRule="auto"/>
              <w:jc w:val="center"/>
            </w:pPr>
            <w:r>
              <w:rPr>
                <w:rFonts w:eastAsia="Times New Roman"/>
                <w:b/>
                <w:bCs/>
                <w:sz w:val="20"/>
                <w:szCs w:val="20"/>
              </w:rPr>
              <w:t>Clinical Cutoff</w:t>
            </w:r>
          </w:p>
        </w:tc>
      </w:tr>
      <w:tr w:rsidR="00B17069" w14:paraId="5DF9F39E" w14:textId="77777777" w:rsidTr="00A41A09">
        <w:tc>
          <w:tcPr>
            <w:tcW w:w="1276" w:type="dxa"/>
            <w:tcBorders>
              <w:top w:val="single" w:sz="4" w:space="0" w:color="000000"/>
            </w:tcBorders>
            <w:tcMar>
              <w:top w:w="80" w:type="dxa"/>
              <w:left w:w="100" w:type="dxa"/>
              <w:bottom w:w="80" w:type="dxa"/>
              <w:right w:w="100" w:type="dxa"/>
            </w:tcMar>
            <w:vAlign w:val="center"/>
          </w:tcPr>
          <w:p w14:paraId="15DF9159" w14:textId="77777777" w:rsidR="00D71CDE" w:rsidRDefault="00D71CDE" w:rsidP="00A41B70">
            <w:pPr>
              <w:spacing w:line="276" w:lineRule="auto"/>
              <w:rPr>
                <w:b/>
                <w:bCs/>
                <w:sz w:val="20"/>
                <w:szCs w:val="20"/>
              </w:rPr>
            </w:pPr>
            <w:r>
              <w:rPr>
                <w:rFonts w:eastAsia="Times New Roman"/>
                <w:b/>
                <w:bCs/>
                <w:sz w:val="20"/>
                <w:szCs w:val="20"/>
              </w:rPr>
              <w:t>PHQ-9</w:t>
            </w:r>
          </w:p>
          <w:p w14:paraId="7C996DB9" w14:textId="77777777" w:rsidR="00DE7D97" w:rsidRPr="00DE7D97" w:rsidRDefault="00DE7D97" w:rsidP="00A41B70">
            <w:pPr>
              <w:spacing w:line="276" w:lineRule="auto"/>
            </w:pPr>
          </w:p>
        </w:tc>
        <w:tc>
          <w:tcPr>
            <w:tcW w:w="1985" w:type="dxa"/>
            <w:tcBorders>
              <w:top w:val="single" w:sz="4" w:space="0" w:color="000000"/>
            </w:tcBorders>
            <w:tcMar>
              <w:top w:w="80" w:type="dxa"/>
              <w:left w:w="100" w:type="dxa"/>
              <w:bottom w:w="80" w:type="dxa"/>
              <w:right w:w="100" w:type="dxa"/>
            </w:tcMar>
            <w:vAlign w:val="center"/>
          </w:tcPr>
          <w:p w14:paraId="2513582E" w14:textId="77777777" w:rsidR="00D71CDE" w:rsidRDefault="00D71CDE" w:rsidP="00A41B70">
            <w:pPr>
              <w:spacing w:line="276" w:lineRule="auto"/>
            </w:pPr>
            <w:r>
              <w:rPr>
                <w:rFonts w:eastAsia="Times New Roman"/>
                <w:sz w:val="20"/>
                <w:szCs w:val="20"/>
              </w:rPr>
              <w:t>Patient Health Questionnaire-9</w:t>
            </w:r>
          </w:p>
        </w:tc>
        <w:tc>
          <w:tcPr>
            <w:tcW w:w="1275" w:type="dxa"/>
            <w:tcBorders>
              <w:top w:val="single" w:sz="4" w:space="0" w:color="000000"/>
            </w:tcBorders>
            <w:tcMar>
              <w:top w:w="80" w:type="dxa"/>
              <w:left w:w="100" w:type="dxa"/>
              <w:bottom w:w="80" w:type="dxa"/>
              <w:right w:w="100" w:type="dxa"/>
            </w:tcMar>
            <w:vAlign w:val="center"/>
          </w:tcPr>
          <w:p w14:paraId="722AADDB" w14:textId="77777777" w:rsidR="00D71CDE" w:rsidRDefault="00D71CDE" w:rsidP="00A41B70">
            <w:pPr>
              <w:spacing w:line="276" w:lineRule="auto"/>
            </w:pPr>
            <w:r>
              <w:rPr>
                <w:rFonts w:eastAsia="Times New Roman"/>
                <w:sz w:val="20"/>
                <w:szCs w:val="20"/>
              </w:rPr>
              <w:t>Adolescents / adults</w:t>
            </w:r>
          </w:p>
        </w:tc>
        <w:tc>
          <w:tcPr>
            <w:tcW w:w="993" w:type="dxa"/>
            <w:tcBorders>
              <w:top w:val="single" w:sz="4" w:space="0" w:color="000000"/>
            </w:tcBorders>
            <w:tcMar>
              <w:top w:w="80" w:type="dxa"/>
              <w:left w:w="100" w:type="dxa"/>
              <w:bottom w:w="80" w:type="dxa"/>
              <w:right w:w="100" w:type="dxa"/>
            </w:tcMar>
            <w:vAlign w:val="center"/>
          </w:tcPr>
          <w:p w14:paraId="6A5C9FE5" w14:textId="77777777" w:rsidR="00D71CDE" w:rsidRDefault="00D71CDE" w:rsidP="00A41B70">
            <w:pPr>
              <w:spacing w:line="276" w:lineRule="auto"/>
              <w:jc w:val="center"/>
            </w:pPr>
            <w:r>
              <w:rPr>
                <w:rFonts w:eastAsia="Times New Roman"/>
                <w:sz w:val="20"/>
                <w:szCs w:val="20"/>
              </w:rPr>
              <w:t>0–27</w:t>
            </w:r>
          </w:p>
        </w:tc>
        <w:tc>
          <w:tcPr>
            <w:tcW w:w="732" w:type="dxa"/>
            <w:tcBorders>
              <w:top w:val="single" w:sz="4" w:space="0" w:color="000000"/>
            </w:tcBorders>
            <w:tcMar>
              <w:top w:w="80" w:type="dxa"/>
              <w:left w:w="100" w:type="dxa"/>
              <w:bottom w:w="80" w:type="dxa"/>
              <w:right w:w="100" w:type="dxa"/>
            </w:tcMar>
            <w:vAlign w:val="center"/>
          </w:tcPr>
          <w:p w14:paraId="7E6EFF69" w14:textId="77777777" w:rsidR="00D71CDE" w:rsidRDefault="00D71CDE" w:rsidP="00A41B70">
            <w:pPr>
              <w:spacing w:line="276" w:lineRule="auto"/>
              <w:jc w:val="center"/>
            </w:pPr>
            <w:r>
              <w:rPr>
                <w:rFonts w:eastAsia="Times New Roman"/>
                <w:sz w:val="20"/>
                <w:szCs w:val="20"/>
              </w:rPr>
              <w:t>5–9</w:t>
            </w:r>
          </w:p>
        </w:tc>
        <w:tc>
          <w:tcPr>
            <w:tcW w:w="1033" w:type="dxa"/>
            <w:tcBorders>
              <w:top w:val="single" w:sz="4" w:space="0" w:color="000000"/>
            </w:tcBorders>
            <w:tcMar>
              <w:top w:w="80" w:type="dxa"/>
              <w:left w:w="100" w:type="dxa"/>
              <w:bottom w:w="80" w:type="dxa"/>
              <w:right w:w="100" w:type="dxa"/>
            </w:tcMar>
            <w:vAlign w:val="center"/>
          </w:tcPr>
          <w:p w14:paraId="03495C94" w14:textId="77777777" w:rsidR="00D71CDE" w:rsidRDefault="00D71CDE" w:rsidP="00A41B70">
            <w:pPr>
              <w:spacing w:line="276" w:lineRule="auto"/>
              <w:jc w:val="center"/>
            </w:pPr>
            <w:r>
              <w:rPr>
                <w:rFonts w:eastAsia="Times New Roman"/>
                <w:sz w:val="20"/>
                <w:szCs w:val="20"/>
              </w:rPr>
              <w:t>10–14</w:t>
            </w:r>
          </w:p>
        </w:tc>
        <w:tc>
          <w:tcPr>
            <w:tcW w:w="788" w:type="dxa"/>
            <w:tcBorders>
              <w:top w:val="single" w:sz="4" w:space="0" w:color="000000"/>
            </w:tcBorders>
            <w:tcMar>
              <w:top w:w="80" w:type="dxa"/>
              <w:left w:w="100" w:type="dxa"/>
              <w:bottom w:w="80" w:type="dxa"/>
              <w:right w:w="100" w:type="dxa"/>
            </w:tcMar>
            <w:vAlign w:val="center"/>
          </w:tcPr>
          <w:p w14:paraId="30714FF1" w14:textId="77777777" w:rsidR="00D71CDE" w:rsidRDefault="00D71CDE" w:rsidP="00A41B70">
            <w:pPr>
              <w:spacing w:line="276" w:lineRule="auto"/>
              <w:jc w:val="center"/>
            </w:pPr>
            <w:r>
              <w:rPr>
                <w:rFonts w:eastAsia="Times New Roman"/>
                <w:sz w:val="20"/>
                <w:szCs w:val="20"/>
              </w:rPr>
              <w:t>15–27</w:t>
            </w:r>
          </w:p>
        </w:tc>
        <w:tc>
          <w:tcPr>
            <w:tcW w:w="1278" w:type="dxa"/>
            <w:tcBorders>
              <w:top w:val="single" w:sz="4" w:space="0" w:color="000000"/>
            </w:tcBorders>
            <w:tcMar>
              <w:top w:w="80" w:type="dxa"/>
              <w:left w:w="100" w:type="dxa"/>
              <w:bottom w:w="80" w:type="dxa"/>
              <w:right w:w="100" w:type="dxa"/>
            </w:tcMar>
            <w:vAlign w:val="center"/>
          </w:tcPr>
          <w:p w14:paraId="0614908C" w14:textId="77777777" w:rsidR="00D71CDE" w:rsidRDefault="00D71CDE" w:rsidP="00A41B70">
            <w:pPr>
              <w:spacing w:line="276" w:lineRule="auto"/>
              <w:jc w:val="center"/>
            </w:pPr>
            <w:r>
              <w:rPr>
                <w:rFonts w:eastAsia="Times New Roman"/>
                <w:sz w:val="20"/>
                <w:szCs w:val="20"/>
              </w:rPr>
              <w:t>≥10</w:t>
            </w:r>
          </w:p>
        </w:tc>
      </w:tr>
      <w:tr w:rsidR="00DE7D97" w14:paraId="4C9D5CAF" w14:textId="77777777" w:rsidTr="00A41A09">
        <w:tc>
          <w:tcPr>
            <w:tcW w:w="1276" w:type="dxa"/>
            <w:tcMar>
              <w:top w:w="80" w:type="dxa"/>
              <w:left w:w="100" w:type="dxa"/>
              <w:bottom w:w="80" w:type="dxa"/>
              <w:right w:w="100" w:type="dxa"/>
            </w:tcMar>
            <w:vAlign w:val="center"/>
          </w:tcPr>
          <w:p w14:paraId="5903ED68" w14:textId="77777777" w:rsidR="00D71CDE" w:rsidRDefault="00D71CDE" w:rsidP="00A41B70">
            <w:pPr>
              <w:spacing w:line="276" w:lineRule="auto"/>
            </w:pPr>
            <w:r>
              <w:rPr>
                <w:rFonts w:eastAsia="Times New Roman"/>
                <w:b/>
                <w:bCs/>
                <w:sz w:val="20"/>
                <w:szCs w:val="20"/>
              </w:rPr>
              <w:t>PHQ-A</w:t>
            </w:r>
          </w:p>
        </w:tc>
        <w:tc>
          <w:tcPr>
            <w:tcW w:w="1985" w:type="dxa"/>
            <w:tcMar>
              <w:top w:w="80" w:type="dxa"/>
              <w:left w:w="100" w:type="dxa"/>
              <w:bottom w:w="80" w:type="dxa"/>
              <w:right w:w="100" w:type="dxa"/>
            </w:tcMar>
            <w:vAlign w:val="center"/>
          </w:tcPr>
          <w:p w14:paraId="06B79609" w14:textId="77777777" w:rsidR="00D71CDE" w:rsidRDefault="00D71CDE" w:rsidP="00A41B70">
            <w:pPr>
              <w:spacing w:line="276" w:lineRule="auto"/>
            </w:pPr>
            <w:r>
              <w:rPr>
                <w:rFonts w:eastAsia="Times New Roman"/>
                <w:sz w:val="20"/>
                <w:szCs w:val="20"/>
              </w:rPr>
              <w:t>PHQ — Adolescent version</w:t>
            </w:r>
          </w:p>
        </w:tc>
        <w:tc>
          <w:tcPr>
            <w:tcW w:w="1275" w:type="dxa"/>
            <w:tcMar>
              <w:top w:w="80" w:type="dxa"/>
              <w:left w:w="100" w:type="dxa"/>
              <w:bottom w:w="80" w:type="dxa"/>
              <w:right w:w="100" w:type="dxa"/>
            </w:tcMar>
            <w:vAlign w:val="center"/>
          </w:tcPr>
          <w:p w14:paraId="4C039649" w14:textId="77777777" w:rsidR="00D71CDE" w:rsidRDefault="00D71CDE" w:rsidP="00A41B70">
            <w:pPr>
              <w:spacing w:line="276" w:lineRule="auto"/>
            </w:pPr>
            <w:r>
              <w:rPr>
                <w:rFonts w:eastAsia="Times New Roman"/>
                <w:sz w:val="20"/>
                <w:szCs w:val="20"/>
              </w:rPr>
              <w:t>Adolescents</w:t>
            </w:r>
          </w:p>
        </w:tc>
        <w:tc>
          <w:tcPr>
            <w:tcW w:w="993" w:type="dxa"/>
            <w:tcMar>
              <w:top w:w="80" w:type="dxa"/>
              <w:left w:w="100" w:type="dxa"/>
              <w:bottom w:w="80" w:type="dxa"/>
              <w:right w:w="100" w:type="dxa"/>
            </w:tcMar>
            <w:vAlign w:val="center"/>
          </w:tcPr>
          <w:p w14:paraId="40A93F25" w14:textId="77777777" w:rsidR="00D71CDE" w:rsidRDefault="00D71CDE" w:rsidP="00A41B70">
            <w:pPr>
              <w:spacing w:line="276" w:lineRule="auto"/>
              <w:jc w:val="center"/>
            </w:pPr>
            <w:r>
              <w:rPr>
                <w:rFonts w:eastAsia="Times New Roman"/>
                <w:sz w:val="20"/>
                <w:szCs w:val="20"/>
              </w:rPr>
              <w:t>0–27</w:t>
            </w:r>
          </w:p>
        </w:tc>
        <w:tc>
          <w:tcPr>
            <w:tcW w:w="732" w:type="dxa"/>
            <w:tcMar>
              <w:top w:w="80" w:type="dxa"/>
              <w:left w:w="100" w:type="dxa"/>
              <w:bottom w:w="80" w:type="dxa"/>
              <w:right w:w="100" w:type="dxa"/>
            </w:tcMar>
            <w:vAlign w:val="center"/>
          </w:tcPr>
          <w:p w14:paraId="37E83300" w14:textId="77777777" w:rsidR="00D71CDE" w:rsidRDefault="00D71CDE" w:rsidP="00A41B70">
            <w:pPr>
              <w:spacing w:line="276" w:lineRule="auto"/>
              <w:jc w:val="center"/>
            </w:pPr>
            <w:r>
              <w:rPr>
                <w:rFonts w:eastAsia="Times New Roman"/>
                <w:sz w:val="20"/>
                <w:szCs w:val="20"/>
              </w:rPr>
              <w:t>5–9</w:t>
            </w:r>
          </w:p>
        </w:tc>
        <w:tc>
          <w:tcPr>
            <w:tcW w:w="1033" w:type="dxa"/>
            <w:tcMar>
              <w:top w:w="80" w:type="dxa"/>
              <w:left w:w="100" w:type="dxa"/>
              <w:bottom w:w="80" w:type="dxa"/>
              <w:right w:w="100" w:type="dxa"/>
            </w:tcMar>
            <w:vAlign w:val="center"/>
          </w:tcPr>
          <w:p w14:paraId="61F9688E" w14:textId="77777777" w:rsidR="00D71CDE" w:rsidRDefault="00D71CDE" w:rsidP="00A41B70">
            <w:pPr>
              <w:spacing w:line="276" w:lineRule="auto"/>
              <w:jc w:val="center"/>
            </w:pPr>
            <w:r>
              <w:rPr>
                <w:rFonts w:eastAsia="Times New Roman"/>
                <w:sz w:val="20"/>
                <w:szCs w:val="20"/>
              </w:rPr>
              <w:t>10–14</w:t>
            </w:r>
          </w:p>
        </w:tc>
        <w:tc>
          <w:tcPr>
            <w:tcW w:w="788" w:type="dxa"/>
            <w:tcMar>
              <w:top w:w="80" w:type="dxa"/>
              <w:left w:w="100" w:type="dxa"/>
              <w:bottom w:w="80" w:type="dxa"/>
              <w:right w:w="100" w:type="dxa"/>
            </w:tcMar>
            <w:vAlign w:val="center"/>
          </w:tcPr>
          <w:p w14:paraId="382CFC75" w14:textId="77777777" w:rsidR="00D71CDE" w:rsidRDefault="00D71CDE" w:rsidP="00A41B70">
            <w:pPr>
              <w:spacing w:line="276" w:lineRule="auto"/>
              <w:jc w:val="center"/>
            </w:pPr>
            <w:r>
              <w:rPr>
                <w:rFonts w:eastAsia="Times New Roman"/>
                <w:sz w:val="20"/>
                <w:szCs w:val="20"/>
              </w:rPr>
              <w:t>15–27</w:t>
            </w:r>
          </w:p>
        </w:tc>
        <w:tc>
          <w:tcPr>
            <w:tcW w:w="1278" w:type="dxa"/>
            <w:tcMar>
              <w:top w:w="80" w:type="dxa"/>
              <w:left w:w="100" w:type="dxa"/>
              <w:bottom w:w="80" w:type="dxa"/>
              <w:right w:w="100" w:type="dxa"/>
            </w:tcMar>
            <w:vAlign w:val="center"/>
          </w:tcPr>
          <w:p w14:paraId="30DDEB6C" w14:textId="77777777" w:rsidR="00D71CDE" w:rsidRDefault="00D71CDE" w:rsidP="00A41B70">
            <w:pPr>
              <w:spacing w:line="276" w:lineRule="auto"/>
              <w:jc w:val="center"/>
            </w:pPr>
            <w:r>
              <w:rPr>
                <w:rFonts w:eastAsia="Times New Roman"/>
                <w:sz w:val="20"/>
                <w:szCs w:val="20"/>
              </w:rPr>
              <w:t>≥10</w:t>
            </w:r>
          </w:p>
        </w:tc>
      </w:tr>
      <w:tr w:rsidR="00DE7D97" w14:paraId="2AA1D4DC" w14:textId="77777777" w:rsidTr="00A41A09">
        <w:tc>
          <w:tcPr>
            <w:tcW w:w="1276" w:type="dxa"/>
            <w:tcMar>
              <w:top w:w="80" w:type="dxa"/>
              <w:left w:w="100" w:type="dxa"/>
              <w:bottom w:w="80" w:type="dxa"/>
              <w:right w:w="100" w:type="dxa"/>
            </w:tcMar>
            <w:vAlign w:val="center"/>
          </w:tcPr>
          <w:p w14:paraId="50147AF9" w14:textId="77777777" w:rsidR="00D71CDE" w:rsidRPr="00DE7D97" w:rsidRDefault="00D71CDE" w:rsidP="00A41B70">
            <w:pPr>
              <w:spacing w:line="276" w:lineRule="auto"/>
            </w:pPr>
            <w:r>
              <w:rPr>
                <w:rFonts w:eastAsia="Times New Roman"/>
                <w:b/>
                <w:bCs/>
                <w:sz w:val="20"/>
                <w:szCs w:val="20"/>
              </w:rPr>
              <w:t>BDI-II</w:t>
            </w:r>
          </w:p>
        </w:tc>
        <w:tc>
          <w:tcPr>
            <w:tcW w:w="1985" w:type="dxa"/>
            <w:tcMar>
              <w:top w:w="80" w:type="dxa"/>
              <w:left w:w="100" w:type="dxa"/>
              <w:bottom w:w="80" w:type="dxa"/>
              <w:right w:w="100" w:type="dxa"/>
            </w:tcMar>
            <w:vAlign w:val="center"/>
          </w:tcPr>
          <w:p w14:paraId="3CBE8630" w14:textId="77777777" w:rsidR="00D71CDE" w:rsidRDefault="00D71CDE" w:rsidP="00A41B70">
            <w:pPr>
              <w:spacing w:line="276" w:lineRule="auto"/>
            </w:pPr>
            <w:r>
              <w:rPr>
                <w:rFonts w:eastAsia="Times New Roman"/>
                <w:sz w:val="20"/>
                <w:szCs w:val="20"/>
              </w:rPr>
              <w:t>Beck Depression Inventory-II</w:t>
            </w:r>
          </w:p>
        </w:tc>
        <w:tc>
          <w:tcPr>
            <w:tcW w:w="1275" w:type="dxa"/>
            <w:tcMar>
              <w:top w:w="80" w:type="dxa"/>
              <w:left w:w="100" w:type="dxa"/>
              <w:bottom w:w="80" w:type="dxa"/>
              <w:right w:w="100" w:type="dxa"/>
            </w:tcMar>
            <w:vAlign w:val="center"/>
          </w:tcPr>
          <w:p w14:paraId="742EB035" w14:textId="77777777" w:rsidR="00D71CDE" w:rsidRDefault="00D71CDE" w:rsidP="00A41B70">
            <w:pPr>
              <w:spacing w:line="276" w:lineRule="auto"/>
            </w:pPr>
            <w:r>
              <w:rPr>
                <w:rFonts w:eastAsia="Times New Roman"/>
                <w:sz w:val="20"/>
                <w:szCs w:val="20"/>
              </w:rPr>
              <w:t>Age ≥13</w:t>
            </w:r>
          </w:p>
        </w:tc>
        <w:tc>
          <w:tcPr>
            <w:tcW w:w="993" w:type="dxa"/>
            <w:tcMar>
              <w:top w:w="80" w:type="dxa"/>
              <w:left w:w="100" w:type="dxa"/>
              <w:bottom w:w="80" w:type="dxa"/>
              <w:right w:w="100" w:type="dxa"/>
            </w:tcMar>
            <w:vAlign w:val="center"/>
          </w:tcPr>
          <w:p w14:paraId="3E2ADA1D" w14:textId="77777777" w:rsidR="00D71CDE" w:rsidRDefault="00D71CDE" w:rsidP="00A41B70">
            <w:pPr>
              <w:spacing w:line="276" w:lineRule="auto"/>
              <w:jc w:val="center"/>
            </w:pPr>
            <w:r>
              <w:rPr>
                <w:rFonts w:eastAsia="Times New Roman"/>
                <w:sz w:val="20"/>
                <w:szCs w:val="20"/>
              </w:rPr>
              <w:t>0–63</w:t>
            </w:r>
          </w:p>
        </w:tc>
        <w:tc>
          <w:tcPr>
            <w:tcW w:w="732" w:type="dxa"/>
            <w:tcMar>
              <w:top w:w="80" w:type="dxa"/>
              <w:left w:w="100" w:type="dxa"/>
              <w:bottom w:w="80" w:type="dxa"/>
              <w:right w:w="100" w:type="dxa"/>
            </w:tcMar>
            <w:vAlign w:val="center"/>
          </w:tcPr>
          <w:p w14:paraId="0CFE63EE" w14:textId="77777777" w:rsidR="00D71CDE" w:rsidRDefault="00D71CDE" w:rsidP="00A41B70">
            <w:pPr>
              <w:spacing w:line="276" w:lineRule="auto"/>
              <w:jc w:val="center"/>
            </w:pPr>
            <w:r>
              <w:rPr>
                <w:rFonts w:eastAsia="Times New Roman"/>
                <w:sz w:val="20"/>
                <w:szCs w:val="20"/>
              </w:rPr>
              <w:t>14–19</w:t>
            </w:r>
          </w:p>
        </w:tc>
        <w:tc>
          <w:tcPr>
            <w:tcW w:w="1033" w:type="dxa"/>
            <w:tcMar>
              <w:top w:w="80" w:type="dxa"/>
              <w:left w:w="100" w:type="dxa"/>
              <w:bottom w:w="80" w:type="dxa"/>
              <w:right w:w="100" w:type="dxa"/>
            </w:tcMar>
            <w:vAlign w:val="center"/>
          </w:tcPr>
          <w:p w14:paraId="164C4953" w14:textId="77777777" w:rsidR="00D71CDE" w:rsidRDefault="00D71CDE" w:rsidP="00A41B70">
            <w:pPr>
              <w:spacing w:line="276" w:lineRule="auto"/>
              <w:jc w:val="center"/>
            </w:pPr>
            <w:r>
              <w:rPr>
                <w:rFonts w:eastAsia="Times New Roman"/>
                <w:sz w:val="20"/>
                <w:szCs w:val="20"/>
              </w:rPr>
              <w:t>20–28</w:t>
            </w:r>
          </w:p>
        </w:tc>
        <w:tc>
          <w:tcPr>
            <w:tcW w:w="788" w:type="dxa"/>
            <w:tcMar>
              <w:top w:w="80" w:type="dxa"/>
              <w:left w:w="100" w:type="dxa"/>
              <w:bottom w:w="80" w:type="dxa"/>
              <w:right w:w="100" w:type="dxa"/>
            </w:tcMar>
            <w:vAlign w:val="center"/>
          </w:tcPr>
          <w:p w14:paraId="07A5C0E9" w14:textId="77777777" w:rsidR="00D71CDE" w:rsidRDefault="00D71CDE" w:rsidP="00A41B70">
            <w:pPr>
              <w:spacing w:line="276" w:lineRule="auto"/>
              <w:jc w:val="center"/>
            </w:pPr>
            <w:r>
              <w:rPr>
                <w:rFonts w:eastAsia="Times New Roman"/>
                <w:sz w:val="20"/>
                <w:szCs w:val="20"/>
              </w:rPr>
              <w:t>29–63</w:t>
            </w:r>
          </w:p>
        </w:tc>
        <w:tc>
          <w:tcPr>
            <w:tcW w:w="1278" w:type="dxa"/>
            <w:tcMar>
              <w:top w:w="80" w:type="dxa"/>
              <w:left w:w="100" w:type="dxa"/>
              <w:bottom w:w="80" w:type="dxa"/>
              <w:right w:w="100" w:type="dxa"/>
            </w:tcMar>
            <w:vAlign w:val="center"/>
          </w:tcPr>
          <w:p w14:paraId="7CE65041" w14:textId="0C1192C3" w:rsidR="00DE7D97" w:rsidRPr="00DE7D97" w:rsidRDefault="00D71CDE" w:rsidP="00DE7D97">
            <w:pPr>
              <w:spacing w:line="276" w:lineRule="auto"/>
              <w:jc w:val="center"/>
              <w:rPr>
                <w:sz w:val="20"/>
                <w:szCs w:val="20"/>
              </w:rPr>
            </w:pPr>
            <w:r>
              <w:rPr>
                <w:rFonts w:eastAsia="Times New Roman"/>
                <w:sz w:val="20"/>
                <w:szCs w:val="20"/>
              </w:rPr>
              <w:t xml:space="preserve">≥14 </w:t>
            </w:r>
          </w:p>
        </w:tc>
      </w:tr>
      <w:tr w:rsidR="00DE7D97" w14:paraId="1220E637" w14:textId="77777777" w:rsidTr="00A41A09">
        <w:tc>
          <w:tcPr>
            <w:tcW w:w="1276" w:type="dxa"/>
            <w:tcMar>
              <w:top w:w="80" w:type="dxa"/>
              <w:left w:w="100" w:type="dxa"/>
              <w:bottom w:w="80" w:type="dxa"/>
              <w:right w:w="100" w:type="dxa"/>
            </w:tcMar>
            <w:vAlign w:val="center"/>
          </w:tcPr>
          <w:p w14:paraId="1D6FD085" w14:textId="77777777" w:rsidR="00D71CDE" w:rsidRDefault="00D71CDE" w:rsidP="00A41B70">
            <w:pPr>
              <w:spacing w:line="276" w:lineRule="auto"/>
            </w:pPr>
            <w:r>
              <w:rPr>
                <w:rFonts w:eastAsia="Times New Roman"/>
                <w:b/>
                <w:bCs/>
                <w:sz w:val="20"/>
                <w:szCs w:val="20"/>
              </w:rPr>
              <w:t>CDI</w:t>
            </w:r>
          </w:p>
        </w:tc>
        <w:tc>
          <w:tcPr>
            <w:tcW w:w="1985" w:type="dxa"/>
            <w:tcMar>
              <w:top w:w="80" w:type="dxa"/>
              <w:left w:w="100" w:type="dxa"/>
              <w:bottom w:w="80" w:type="dxa"/>
              <w:right w:w="100" w:type="dxa"/>
            </w:tcMar>
            <w:vAlign w:val="center"/>
          </w:tcPr>
          <w:p w14:paraId="659F3490" w14:textId="77777777" w:rsidR="00D71CDE" w:rsidRDefault="00D71CDE" w:rsidP="00A41B70">
            <w:pPr>
              <w:spacing w:line="276" w:lineRule="auto"/>
            </w:pPr>
            <w:r>
              <w:rPr>
                <w:rFonts w:eastAsia="Times New Roman"/>
                <w:sz w:val="20"/>
                <w:szCs w:val="20"/>
              </w:rPr>
              <w:t>Children's Depression Inventory</w:t>
            </w:r>
          </w:p>
        </w:tc>
        <w:tc>
          <w:tcPr>
            <w:tcW w:w="1275" w:type="dxa"/>
            <w:tcMar>
              <w:top w:w="80" w:type="dxa"/>
              <w:left w:w="100" w:type="dxa"/>
              <w:bottom w:w="80" w:type="dxa"/>
              <w:right w:w="100" w:type="dxa"/>
            </w:tcMar>
            <w:vAlign w:val="center"/>
          </w:tcPr>
          <w:p w14:paraId="27B065A2" w14:textId="77777777" w:rsidR="00D71CDE" w:rsidRDefault="00D71CDE" w:rsidP="00A41B70">
            <w:pPr>
              <w:spacing w:line="276" w:lineRule="auto"/>
            </w:pPr>
            <w:r>
              <w:rPr>
                <w:rFonts w:eastAsia="Times New Roman"/>
                <w:sz w:val="20"/>
                <w:szCs w:val="20"/>
              </w:rPr>
              <w:t>Ages 7–17</w:t>
            </w:r>
          </w:p>
        </w:tc>
        <w:tc>
          <w:tcPr>
            <w:tcW w:w="993" w:type="dxa"/>
            <w:tcMar>
              <w:top w:w="80" w:type="dxa"/>
              <w:left w:w="100" w:type="dxa"/>
              <w:bottom w:w="80" w:type="dxa"/>
              <w:right w:w="100" w:type="dxa"/>
            </w:tcMar>
            <w:vAlign w:val="center"/>
          </w:tcPr>
          <w:p w14:paraId="3537D237" w14:textId="77777777" w:rsidR="00D71CDE" w:rsidRDefault="00D71CDE" w:rsidP="00A41B70">
            <w:pPr>
              <w:spacing w:line="276" w:lineRule="auto"/>
              <w:jc w:val="center"/>
            </w:pPr>
            <w:r>
              <w:rPr>
                <w:rFonts w:eastAsia="Times New Roman"/>
                <w:sz w:val="20"/>
                <w:szCs w:val="20"/>
              </w:rPr>
              <w:t>0–54</w:t>
            </w:r>
          </w:p>
        </w:tc>
        <w:tc>
          <w:tcPr>
            <w:tcW w:w="732" w:type="dxa"/>
            <w:tcMar>
              <w:top w:w="80" w:type="dxa"/>
              <w:left w:w="100" w:type="dxa"/>
              <w:bottom w:w="80" w:type="dxa"/>
              <w:right w:w="100" w:type="dxa"/>
            </w:tcMar>
            <w:vAlign w:val="center"/>
          </w:tcPr>
          <w:p w14:paraId="3988641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073C31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340FCD7A"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5D4A9AC9" w14:textId="77777777" w:rsidR="00D71CDE" w:rsidRDefault="00D71CDE" w:rsidP="00A41B70">
            <w:pPr>
              <w:spacing w:line="276" w:lineRule="auto"/>
              <w:jc w:val="center"/>
            </w:pPr>
            <w:r>
              <w:rPr>
                <w:rFonts w:eastAsia="Times New Roman"/>
                <w:sz w:val="20"/>
                <w:szCs w:val="20"/>
              </w:rPr>
              <w:t>≥13 (also ≥19, ≥20)</w:t>
            </w:r>
          </w:p>
        </w:tc>
      </w:tr>
      <w:tr w:rsidR="00DE7D97" w14:paraId="323B778E" w14:textId="77777777" w:rsidTr="00A41A09">
        <w:tc>
          <w:tcPr>
            <w:tcW w:w="1276" w:type="dxa"/>
            <w:tcMar>
              <w:top w:w="80" w:type="dxa"/>
              <w:left w:w="100" w:type="dxa"/>
              <w:bottom w:w="80" w:type="dxa"/>
              <w:right w:w="100" w:type="dxa"/>
            </w:tcMar>
            <w:vAlign w:val="center"/>
          </w:tcPr>
          <w:p w14:paraId="1249FF1E" w14:textId="77777777" w:rsidR="00D71CDE" w:rsidRDefault="00D71CDE" w:rsidP="00A41B70">
            <w:pPr>
              <w:spacing w:line="276" w:lineRule="auto"/>
            </w:pPr>
            <w:r>
              <w:rPr>
                <w:rFonts w:eastAsia="Times New Roman"/>
                <w:b/>
                <w:bCs/>
                <w:sz w:val="20"/>
                <w:szCs w:val="20"/>
              </w:rPr>
              <w:t>CES-D</w:t>
            </w:r>
          </w:p>
        </w:tc>
        <w:tc>
          <w:tcPr>
            <w:tcW w:w="1985" w:type="dxa"/>
            <w:tcMar>
              <w:top w:w="80" w:type="dxa"/>
              <w:left w:w="100" w:type="dxa"/>
              <w:bottom w:w="80" w:type="dxa"/>
              <w:right w:w="100" w:type="dxa"/>
            </w:tcMar>
            <w:vAlign w:val="center"/>
          </w:tcPr>
          <w:p w14:paraId="3BCCEA48" w14:textId="77777777" w:rsidR="00D71CDE" w:rsidRDefault="00D71CDE" w:rsidP="00A41B70">
            <w:pPr>
              <w:spacing w:line="276" w:lineRule="auto"/>
            </w:pPr>
            <w:r>
              <w:rPr>
                <w:rFonts w:eastAsia="Times New Roman"/>
                <w:sz w:val="20"/>
                <w:szCs w:val="20"/>
              </w:rPr>
              <w:t>Center for Epidemiologic Studies Depression Scale</w:t>
            </w:r>
          </w:p>
        </w:tc>
        <w:tc>
          <w:tcPr>
            <w:tcW w:w="1275" w:type="dxa"/>
            <w:tcMar>
              <w:top w:w="80" w:type="dxa"/>
              <w:left w:w="100" w:type="dxa"/>
              <w:bottom w:w="80" w:type="dxa"/>
              <w:right w:w="100" w:type="dxa"/>
            </w:tcMar>
            <w:vAlign w:val="center"/>
          </w:tcPr>
          <w:p w14:paraId="3F449177"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448D5CBE"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E2BCF0B"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1B2DA0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7562E9EC"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6EB50987" w14:textId="77777777" w:rsidR="00D71CDE" w:rsidRDefault="00D71CDE" w:rsidP="00A41B70">
            <w:pPr>
              <w:spacing w:line="276" w:lineRule="auto"/>
              <w:jc w:val="center"/>
            </w:pPr>
            <w:r>
              <w:rPr>
                <w:rFonts w:eastAsia="Times New Roman"/>
                <w:sz w:val="20"/>
                <w:szCs w:val="20"/>
              </w:rPr>
              <w:t>≥16</w:t>
            </w:r>
          </w:p>
        </w:tc>
      </w:tr>
      <w:tr w:rsidR="00DE7D97" w14:paraId="77976DDE" w14:textId="77777777" w:rsidTr="00A41A09">
        <w:tc>
          <w:tcPr>
            <w:tcW w:w="1276" w:type="dxa"/>
            <w:tcMar>
              <w:top w:w="80" w:type="dxa"/>
              <w:left w:w="100" w:type="dxa"/>
              <w:bottom w:w="80" w:type="dxa"/>
              <w:right w:w="100" w:type="dxa"/>
            </w:tcMar>
            <w:vAlign w:val="center"/>
          </w:tcPr>
          <w:p w14:paraId="2E6651A3" w14:textId="77777777" w:rsidR="00D71CDE" w:rsidRDefault="00D71CDE" w:rsidP="00A41B70">
            <w:pPr>
              <w:spacing w:line="276" w:lineRule="auto"/>
            </w:pPr>
            <w:r>
              <w:rPr>
                <w:rFonts w:eastAsia="Times New Roman"/>
                <w:b/>
                <w:bCs/>
                <w:sz w:val="20"/>
                <w:szCs w:val="20"/>
              </w:rPr>
              <w:t>CESD-R</w:t>
            </w:r>
          </w:p>
        </w:tc>
        <w:tc>
          <w:tcPr>
            <w:tcW w:w="1985" w:type="dxa"/>
            <w:tcMar>
              <w:top w:w="80" w:type="dxa"/>
              <w:left w:w="100" w:type="dxa"/>
              <w:bottom w:w="80" w:type="dxa"/>
              <w:right w:w="100" w:type="dxa"/>
            </w:tcMar>
            <w:vAlign w:val="center"/>
          </w:tcPr>
          <w:p w14:paraId="2656A5E5" w14:textId="77777777" w:rsidR="00D71CDE" w:rsidRDefault="00D71CDE" w:rsidP="00A41B70">
            <w:pPr>
              <w:spacing w:line="276" w:lineRule="auto"/>
            </w:pPr>
            <w:r>
              <w:rPr>
                <w:rFonts w:eastAsia="Times New Roman"/>
                <w:sz w:val="20"/>
                <w:szCs w:val="20"/>
              </w:rPr>
              <w:t>CES-D, Revised</w:t>
            </w:r>
          </w:p>
        </w:tc>
        <w:tc>
          <w:tcPr>
            <w:tcW w:w="1275" w:type="dxa"/>
            <w:tcMar>
              <w:top w:w="80" w:type="dxa"/>
              <w:left w:w="100" w:type="dxa"/>
              <w:bottom w:w="80" w:type="dxa"/>
              <w:right w:w="100" w:type="dxa"/>
            </w:tcMar>
            <w:vAlign w:val="center"/>
          </w:tcPr>
          <w:p w14:paraId="65270733"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254C1488"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2BC798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38FEF63"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3DF88CD"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318FE02A" w14:textId="77777777" w:rsidR="00D71CDE" w:rsidRDefault="00D71CDE" w:rsidP="00A41B70">
            <w:pPr>
              <w:spacing w:line="276" w:lineRule="auto"/>
              <w:jc w:val="center"/>
            </w:pPr>
            <w:r>
              <w:rPr>
                <w:rFonts w:eastAsia="Times New Roman"/>
                <w:sz w:val="20"/>
                <w:szCs w:val="20"/>
              </w:rPr>
              <w:t>≥16</w:t>
            </w:r>
          </w:p>
        </w:tc>
      </w:tr>
      <w:tr w:rsidR="00DE7D97" w14:paraId="406E45BF" w14:textId="77777777" w:rsidTr="00A41A09">
        <w:tc>
          <w:tcPr>
            <w:tcW w:w="1276" w:type="dxa"/>
            <w:tcMar>
              <w:top w:w="80" w:type="dxa"/>
              <w:left w:w="100" w:type="dxa"/>
              <w:bottom w:w="80" w:type="dxa"/>
              <w:right w:w="100" w:type="dxa"/>
            </w:tcMar>
            <w:vAlign w:val="center"/>
          </w:tcPr>
          <w:p w14:paraId="075EC9D9" w14:textId="77777777" w:rsidR="00D71CDE" w:rsidRDefault="00D71CDE" w:rsidP="00A41B70">
            <w:pPr>
              <w:spacing w:line="276" w:lineRule="auto"/>
            </w:pPr>
            <w:r>
              <w:rPr>
                <w:rFonts w:eastAsia="Times New Roman"/>
                <w:b/>
                <w:bCs/>
                <w:sz w:val="20"/>
                <w:szCs w:val="20"/>
              </w:rPr>
              <w:t>CDRS-R</w:t>
            </w:r>
          </w:p>
        </w:tc>
        <w:tc>
          <w:tcPr>
            <w:tcW w:w="1985" w:type="dxa"/>
            <w:tcMar>
              <w:top w:w="80" w:type="dxa"/>
              <w:left w:w="100" w:type="dxa"/>
              <w:bottom w:w="80" w:type="dxa"/>
              <w:right w:w="100" w:type="dxa"/>
            </w:tcMar>
            <w:vAlign w:val="center"/>
          </w:tcPr>
          <w:p w14:paraId="5A724865" w14:textId="77777777" w:rsidR="00D71CDE" w:rsidRDefault="00D71CDE" w:rsidP="00A41B70">
            <w:pPr>
              <w:spacing w:line="276" w:lineRule="auto"/>
            </w:pPr>
            <w:r>
              <w:rPr>
                <w:rFonts w:eastAsia="Times New Roman"/>
                <w:sz w:val="20"/>
                <w:szCs w:val="20"/>
              </w:rPr>
              <w:t>Children's Depression Rating Scale, Revised</w:t>
            </w:r>
          </w:p>
        </w:tc>
        <w:tc>
          <w:tcPr>
            <w:tcW w:w="1275" w:type="dxa"/>
            <w:tcMar>
              <w:top w:w="80" w:type="dxa"/>
              <w:left w:w="100" w:type="dxa"/>
              <w:bottom w:w="80" w:type="dxa"/>
              <w:right w:w="100" w:type="dxa"/>
            </w:tcMar>
            <w:vAlign w:val="center"/>
          </w:tcPr>
          <w:p w14:paraId="6D503E3A" w14:textId="77777777" w:rsidR="00D71CDE" w:rsidRDefault="00D71CDE" w:rsidP="00A41B70">
            <w:pPr>
              <w:spacing w:line="276" w:lineRule="auto"/>
            </w:pPr>
            <w:r>
              <w:rPr>
                <w:rFonts w:eastAsia="Times New Roman"/>
                <w:sz w:val="20"/>
                <w:szCs w:val="20"/>
              </w:rPr>
              <w:t>Ages 6–17</w:t>
            </w:r>
          </w:p>
        </w:tc>
        <w:tc>
          <w:tcPr>
            <w:tcW w:w="993" w:type="dxa"/>
            <w:tcMar>
              <w:top w:w="80" w:type="dxa"/>
              <w:left w:w="100" w:type="dxa"/>
              <w:bottom w:w="80" w:type="dxa"/>
              <w:right w:w="100" w:type="dxa"/>
            </w:tcMar>
            <w:vAlign w:val="center"/>
          </w:tcPr>
          <w:p w14:paraId="3A703AB8" w14:textId="77777777" w:rsidR="00D71CDE" w:rsidRDefault="00D71CDE" w:rsidP="00A41B70">
            <w:pPr>
              <w:spacing w:line="276" w:lineRule="auto"/>
              <w:jc w:val="center"/>
            </w:pPr>
            <w:r>
              <w:rPr>
                <w:rFonts w:eastAsia="Times New Roman"/>
                <w:sz w:val="20"/>
                <w:szCs w:val="20"/>
              </w:rPr>
              <w:t>17–113</w:t>
            </w:r>
          </w:p>
        </w:tc>
        <w:tc>
          <w:tcPr>
            <w:tcW w:w="732" w:type="dxa"/>
            <w:tcMar>
              <w:top w:w="80" w:type="dxa"/>
              <w:left w:w="100" w:type="dxa"/>
              <w:bottom w:w="80" w:type="dxa"/>
              <w:right w:w="100" w:type="dxa"/>
            </w:tcMar>
            <w:vAlign w:val="center"/>
          </w:tcPr>
          <w:p w14:paraId="7E898439"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CA287AC"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23BD330"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4C219C19" w14:textId="77777777" w:rsidR="00D71CDE" w:rsidRDefault="00D71CDE" w:rsidP="00A41B70">
            <w:pPr>
              <w:spacing w:line="276" w:lineRule="auto"/>
              <w:jc w:val="center"/>
            </w:pPr>
            <w:r>
              <w:rPr>
                <w:rFonts w:eastAsia="Times New Roman"/>
                <w:sz w:val="20"/>
                <w:szCs w:val="20"/>
              </w:rPr>
              <w:t>≥40 (clinician-rated)</w:t>
            </w:r>
          </w:p>
        </w:tc>
      </w:tr>
      <w:tr w:rsidR="00DE7D97" w14:paraId="18805072" w14:textId="77777777" w:rsidTr="00A41A09">
        <w:tc>
          <w:tcPr>
            <w:tcW w:w="1276" w:type="dxa"/>
            <w:tcMar>
              <w:top w:w="80" w:type="dxa"/>
              <w:left w:w="100" w:type="dxa"/>
              <w:bottom w:w="80" w:type="dxa"/>
              <w:right w:w="100" w:type="dxa"/>
            </w:tcMar>
            <w:vAlign w:val="center"/>
          </w:tcPr>
          <w:p w14:paraId="617698FC" w14:textId="77777777" w:rsidR="00D71CDE" w:rsidRDefault="00D71CDE" w:rsidP="00A41B70">
            <w:pPr>
              <w:spacing w:line="276" w:lineRule="auto"/>
            </w:pPr>
            <w:r>
              <w:rPr>
                <w:rFonts w:eastAsia="Times New Roman"/>
                <w:b/>
                <w:bCs/>
                <w:sz w:val="20"/>
                <w:szCs w:val="20"/>
              </w:rPr>
              <w:lastRenderedPageBreak/>
              <w:t>MFQ</w:t>
            </w:r>
          </w:p>
        </w:tc>
        <w:tc>
          <w:tcPr>
            <w:tcW w:w="1985" w:type="dxa"/>
            <w:tcMar>
              <w:top w:w="80" w:type="dxa"/>
              <w:left w:w="100" w:type="dxa"/>
              <w:bottom w:w="80" w:type="dxa"/>
              <w:right w:w="100" w:type="dxa"/>
            </w:tcMar>
            <w:vAlign w:val="center"/>
          </w:tcPr>
          <w:p w14:paraId="1DD7EB44" w14:textId="77777777" w:rsidR="00D71CDE" w:rsidRDefault="00D71CDE" w:rsidP="00A41B70">
            <w:pPr>
              <w:spacing w:line="276" w:lineRule="auto"/>
            </w:pPr>
            <w:r>
              <w:rPr>
                <w:rFonts w:eastAsia="Times New Roman"/>
                <w:sz w:val="20"/>
                <w:szCs w:val="20"/>
              </w:rPr>
              <w:t>Mood and Feelings Questionnaire (long form)</w:t>
            </w:r>
          </w:p>
        </w:tc>
        <w:tc>
          <w:tcPr>
            <w:tcW w:w="1275" w:type="dxa"/>
            <w:tcMar>
              <w:top w:w="80" w:type="dxa"/>
              <w:left w:w="100" w:type="dxa"/>
              <w:bottom w:w="80" w:type="dxa"/>
              <w:right w:w="100" w:type="dxa"/>
            </w:tcMar>
            <w:vAlign w:val="center"/>
          </w:tcPr>
          <w:p w14:paraId="7F6962DF" w14:textId="669267FF" w:rsidR="00D71CDE" w:rsidRPr="00874DC1" w:rsidRDefault="00D71CDE" w:rsidP="00A41B70">
            <w:pPr>
              <w:spacing w:line="276" w:lineRule="auto"/>
            </w:pPr>
            <w:r>
              <w:rPr>
                <w:rFonts w:eastAsia="Times New Roman"/>
                <w:sz w:val="20"/>
                <w:szCs w:val="20"/>
              </w:rPr>
              <w:t>Ages 6–1</w:t>
            </w:r>
            <w:r w:rsidR="00874DC1">
              <w:rPr>
                <w:rFonts w:hint="eastAsia"/>
                <w:sz w:val="20"/>
                <w:szCs w:val="20"/>
              </w:rPr>
              <w:t>9</w:t>
            </w:r>
          </w:p>
        </w:tc>
        <w:tc>
          <w:tcPr>
            <w:tcW w:w="993" w:type="dxa"/>
            <w:tcMar>
              <w:top w:w="80" w:type="dxa"/>
              <w:left w:w="100" w:type="dxa"/>
              <w:bottom w:w="80" w:type="dxa"/>
              <w:right w:w="100" w:type="dxa"/>
            </w:tcMar>
            <w:vAlign w:val="center"/>
          </w:tcPr>
          <w:p w14:paraId="0902F6AE" w14:textId="77777777" w:rsidR="00D71CDE" w:rsidRDefault="00D71CDE" w:rsidP="00A41B70">
            <w:pPr>
              <w:spacing w:line="276" w:lineRule="auto"/>
              <w:jc w:val="center"/>
            </w:pPr>
            <w:r>
              <w:rPr>
                <w:rFonts w:eastAsia="Times New Roman"/>
                <w:sz w:val="20"/>
                <w:szCs w:val="20"/>
              </w:rPr>
              <w:t>0–66</w:t>
            </w:r>
          </w:p>
        </w:tc>
        <w:tc>
          <w:tcPr>
            <w:tcW w:w="732" w:type="dxa"/>
            <w:tcMar>
              <w:top w:w="80" w:type="dxa"/>
              <w:left w:w="100" w:type="dxa"/>
              <w:bottom w:w="80" w:type="dxa"/>
              <w:right w:w="100" w:type="dxa"/>
            </w:tcMar>
            <w:vAlign w:val="center"/>
          </w:tcPr>
          <w:p w14:paraId="51BE39D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09BCE12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2E15F03B"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1AADCC38" w14:textId="77777777" w:rsidR="00D71CDE" w:rsidRDefault="00D71CDE" w:rsidP="00A41B70">
            <w:pPr>
              <w:spacing w:line="276" w:lineRule="auto"/>
              <w:jc w:val="center"/>
            </w:pPr>
            <w:r>
              <w:rPr>
                <w:rFonts w:eastAsia="Times New Roman"/>
                <w:sz w:val="20"/>
                <w:szCs w:val="20"/>
              </w:rPr>
              <w:t>≥27</w:t>
            </w:r>
          </w:p>
        </w:tc>
      </w:tr>
      <w:tr w:rsidR="00DE7D97" w14:paraId="1F71E388" w14:textId="77777777" w:rsidTr="00A41A09">
        <w:tc>
          <w:tcPr>
            <w:tcW w:w="1276" w:type="dxa"/>
            <w:tcMar>
              <w:top w:w="80" w:type="dxa"/>
              <w:left w:w="100" w:type="dxa"/>
              <w:bottom w:w="80" w:type="dxa"/>
              <w:right w:w="100" w:type="dxa"/>
            </w:tcMar>
            <w:vAlign w:val="center"/>
          </w:tcPr>
          <w:p w14:paraId="2DB2440C" w14:textId="77777777" w:rsidR="00D71CDE" w:rsidRDefault="00D71CDE" w:rsidP="00A41B70">
            <w:pPr>
              <w:spacing w:line="276" w:lineRule="auto"/>
            </w:pPr>
            <w:r>
              <w:rPr>
                <w:rFonts w:eastAsia="Times New Roman"/>
                <w:b/>
                <w:bCs/>
                <w:sz w:val="20"/>
                <w:szCs w:val="20"/>
              </w:rPr>
              <w:t>RADS-2</w:t>
            </w:r>
          </w:p>
        </w:tc>
        <w:tc>
          <w:tcPr>
            <w:tcW w:w="1985" w:type="dxa"/>
            <w:tcMar>
              <w:top w:w="80" w:type="dxa"/>
              <w:left w:w="100" w:type="dxa"/>
              <w:bottom w:w="80" w:type="dxa"/>
              <w:right w:w="100" w:type="dxa"/>
            </w:tcMar>
            <w:vAlign w:val="center"/>
          </w:tcPr>
          <w:p w14:paraId="2AE946A5" w14:textId="77777777" w:rsidR="00D71CDE" w:rsidRDefault="00D71CDE" w:rsidP="00A41B70">
            <w:pPr>
              <w:spacing w:line="276" w:lineRule="auto"/>
            </w:pPr>
            <w:r>
              <w:rPr>
                <w:rFonts w:eastAsia="Times New Roman"/>
                <w:sz w:val="20"/>
                <w:szCs w:val="20"/>
              </w:rPr>
              <w:t>Reynolds Adolescent Depression Scale, 2nd ed.</w:t>
            </w:r>
          </w:p>
        </w:tc>
        <w:tc>
          <w:tcPr>
            <w:tcW w:w="1275" w:type="dxa"/>
            <w:tcMar>
              <w:top w:w="80" w:type="dxa"/>
              <w:left w:w="100" w:type="dxa"/>
              <w:bottom w:w="80" w:type="dxa"/>
              <w:right w:w="100" w:type="dxa"/>
            </w:tcMar>
            <w:vAlign w:val="center"/>
          </w:tcPr>
          <w:p w14:paraId="5247E9F4" w14:textId="77777777" w:rsidR="00D71CDE" w:rsidRDefault="00D71CDE" w:rsidP="00A41B70">
            <w:pPr>
              <w:spacing w:line="276" w:lineRule="auto"/>
            </w:pPr>
            <w:r>
              <w:rPr>
                <w:rFonts w:eastAsia="Times New Roman"/>
                <w:sz w:val="20"/>
                <w:szCs w:val="20"/>
              </w:rPr>
              <w:t>Ages 11–20</w:t>
            </w:r>
          </w:p>
        </w:tc>
        <w:tc>
          <w:tcPr>
            <w:tcW w:w="993" w:type="dxa"/>
            <w:tcMar>
              <w:top w:w="80" w:type="dxa"/>
              <w:left w:w="100" w:type="dxa"/>
              <w:bottom w:w="80" w:type="dxa"/>
              <w:right w:w="100" w:type="dxa"/>
            </w:tcMar>
            <w:vAlign w:val="center"/>
          </w:tcPr>
          <w:p w14:paraId="2BE71075" w14:textId="77777777" w:rsidR="00D71CDE" w:rsidRDefault="00D71CDE" w:rsidP="00A41B70">
            <w:pPr>
              <w:spacing w:line="276" w:lineRule="auto"/>
              <w:jc w:val="center"/>
            </w:pPr>
            <w:r>
              <w:rPr>
                <w:rFonts w:eastAsia="Times New Roman"/>
                <w:sz w:val="20"/>
                <w:szCs w:val="20"/>
              </w:rPr>
              <w:t>30–120</w:t>
            </w:r>
          </w:p>
        </w:tc>
        <w:tc>
          <w:tcPr>
            <w:tcW w:w="732" w:type="dxa"/>
            <w:tcMar>
              <w:top w:w="80" w:type="dxa"/>
              <w:left w:w="100" w:type="dxa"/>
              <w:bottom w:w="80" w:type="dxa"/>
              <w:right w:w="100" w:type="dxa"/>
            </w:tcMar>
            <w:vAlign w:val="center"/>
          </w:tcPr>
          <w:p w14:paraId="5A6F11A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205E406"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6709B3A3"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7A3D5EFC" w14:textId="77777777" w:rsidR="00D71CDE" w:rsidRDefault="00D71CDE" w:rsidP="00A41B70">
            <w:pPr>
              <w:spacing w:line="276" w:lineRule="auto"/>
              <w:jc w:val="center"/>
            </w:pPr>
            <w:r>
              <w:rPr>
                <w:rFonts w:eastAsia="Times New Roman"/>
                <w:sz w:val="20"/>
                <w:szCs w:val="20"/>
              </w:rPr>
              <w:t>≥76 (T-score ≥61)</w:t>
            </w:r>
          </w:p>
        </w:tc>
      </w:tr>
      <w:tr w:rsidR="00B17069" w14:paraId="40FDCC5C" w14:textId="77777777" w:rsidTr="00A41A09">
        <w:tc>
          <w:tcPr>
            <w:tcW w:w="1276" w:type="dxa"/>
            <w:tcMar>
              <w:top w:w="80" w:type="dxa"/>
              <w:left w:w="100" w:type="dxa"/>
              <w:bottom w:w="80" w:type="dxa"/>
              <w:right w:w="100" w:type="dxa"/>
            </w:tcMar>
            <w:vAlign w:val="center"/>
          </w:tcPr>
          <w:p w14:paraId="0D46FCC9" w14:textId="259992F9" w:rsidR="00B17069" w:rsidRPr="00B17069" w:rsidRDefault="00B17069" w:rsidP="00A41B70">
            <w:pPr>
              <w:spacing w:line="276" w:lineRule="auto"/>
              <w:rPr>
                <w:b/>
                <w:bCs/>
                <w:sz w:val="20"/>
                <w:szCs w:val="20"/>
              </w:rPr>
            </w:pPr>
            <w:r>
              <w:rPr>
                <w:rFonts w:hint="eastAsia"/>
                <w:b/>
                <w:bCs/>
                <w:sz w:val="20"/>
                <w:szCs w:val="20"/>
              </w:rPr>
              <w:t>HRSD/HDRS/HAM-D</w:t>
            </w:r>
          </w:p>
        </w:tc>
        <w:tc>
          <w:tcPr>
            <w:tcW w:w="1985" w:type="dxa"/>
            <w:tcMar>
              <w:top w:w="80" w:type="dxa"/>
              <w:left w:w="100" w:type="dxa"/>
              <w:bottom w:w="80" w:type="dxa"/>
              <w:right w:w="100" w:type="dxa"/>
            </w:tcMar>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B17069" w:rsidRPr="00B17069" w14:paraId="21054DDA" w14:textId="77777777" w:rsidTr="00DE7D97">
              <w:trPr>
                <w:tblCellSpacing w:w="15" w:type="dxa"/>
              </w:trPr>
              <w:tc>
                <w:tcPr>
                  <w:tcW w:w="0" w:type="auto"/>
                  <w:vAlign w:val="center"/>
                  <w:hideMark/>
                </w:tcPr>
                <w:p w14:paraId="1BE0FAE1" w14:textId="77777777" w:rsidR="00B17069" w:rsidRPr="00B17069" w:rsidRDefault="00B17069" w:rsidP="00B17069">
                  <w:pPr>
                    <w:spacing w:line="276" w:lineRule="auto"/>
                    <w:rPr>
                      <w:rFonts w:eastAsia="Times New Roman"/>
                      <w:sz w:val="20"/>
                      <w:szCs w:val="20"/>
                    </w:rPr>
                  </w:pPr>
                </w:p>
              </w:tc>
            </w:tr>
          </w:tbl>
          <w:p w14:paraId="63885BF1" w14:textId="77777777" w:rsidR="00B17069" w:rsidRPr="00B17069" w:rsidRDefault="00B17069" w:rsidP="00B17069">
            <w:pPr>
              <w:spacing w:line="276" w:lineRule="auto"/>
              <w:rPr>
                <w:rFonts w:eastAsia="Times New Roman"/>
                <w:vanish/>
                <w:sz w:val="20"/>
                <w:szCs w:val="2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85"/>
            </w:tblGrid>
            <w:tr w:rsidR="00B17069" w:rsidRPr="00B17069" w14:paraId="779CF2AF" w14:textId="77777777" w:rsidTr="00DE7D97">
              <w:trPr>
                <w:tblCellSpacing w:w="15" w:type="dxa"/>
              </w:trPr>
              <w:tc>
                <w:tcPr>
                  <w:tcW w:w="0" w:type="auto"/>
                  <w:vAlign w:val="center"/>
                  <w:hideMark/>
                </w:tcPr>
                <w:p w14:paraId="013C0BCA" w14:textId="77777777" w:rsidR="00B17069" w:rsidRPr="00B17069" w:rsidRDefault="00B17069" w:rsidP="00B17069">
                  <w:pPr>
                    <w:spacing w:line="276" w:lineRule="auto"/>
                    <w:rPr>
                      <w:rFonts w:eastAsia="Times New Roman"/>
                      <w:sz w:val="20"/>
                      <w:szCs w:val="20"/>
                    </w:rPr>
                  </w:pPr>
                  <w:r w:rsidRPr="00B17069">
                    <w:rPr>
                      <w:rFonts w:eastAsia="Times New Roman"/>
                      <w:sz w:val="20"/>
                      <w:szCs w:val="20"/>
                    </w:rPr>
                    <w:t>Hamilton Rating Scale for Depression / Hamilton Depression Rating Scale</w:t>
                  </w:r>
                </w:p>
              </w:tc>
            </w:tr>
          </w:tbl>
          <w:p w14:paraId="775C5341" w14:textId="77777777" w:rsidR="00B17069" w:rsidRDefault="00B17069" w:rsidP="00A41B70">
            <w:pPr>
              <w:spacing w:line="276" w:lineRule="auto"/>
              <w:rPr>
                <w:rFonts w:eastAsia="Times New Roman"/>
                <w:sz w:val="20"/>
                <w:szCs w:val="20"/>
              </w:rPr>
            </w:pPr>
          </w:p>
        </w:tc>
        <w:tc>
          <w:tcPr>
            <w:tcW w:w="1275" w:type="dxa"/>
            <w:tcMar>
              <w:top w:w="80" w:type="dxa"/>
              <w:left w:w="100" w:type="dxa"/>
              <w:bottom w:w="80" w:type="dxa"/>
              <w:right w:w="100" w:type="dxa"/>
            </w:tcMar>
            <w:vAlign w:val="center"/>
          </w:tcPr>
          <w:p w14:paraId="2BF2D336" w14:textId="2CF5740B" w:rsidR="00B17069" w:rsidRDefault="00B17069" w:rsidP="00A41B70">
            <w:pPr>
              <w:spacing w:line="276" w:lineRule="auto"/>
              <w:rPr>
                <w:rFonts w:eastAsia="Times New Roman"/>
                <w:sz w:val="20"/>
                <w:szCs w:val="20"/>
              </w:rPr>
            </w:pPr>
            <w:r w:rsidRPr="00B17069">
              <w:rPr>
                <w:rFonts w:eastAsia="Times New Roman"/>
                <w:sz w:val="20"/>
                <w:szCs w:val="20"/>
              </w:rPr>
              <w:t>Primarily adults; also used in adolescents</w:t>
            </w:r>
          </w:p>
        </w:tc>
        <w:tc>
          <w:tcPr>
            <w:tcW w:w="993" w:type="dxa"/>
            <w:tcMar>
              <w:top w:w="80" w:type="dxa"/>
              <w:left w:w="100" w:type="dxa"/>
              <w:bottom w:w="80" w:type="dxa"/>
              <w:right w:w="100" w:type="dxa"/>
            </w:tcMar>
            <w:vAlign w:val="center"/>
          </w:tcPr>
          <w:p w14:paraId="1D9D75FE" w14:textId="36517422" w:rsidR="00B17069" w:rsidRDefault="002C38AB" w:rsidP="00A41B70">
            <w:pPr>
              <w:spacing w:line="276" w:lineRule="auto"/>
              <w:jc w:val="center"/>
              <w:rPr>
                <w:rFonts w:eastAsia="Times New Roman"/>
                <w:sz w:val="20"/>
                <w:szCs w:val="20"/>
              </w:rPr>
            </w:pPr>
            <w:r w:rsidRPr="002C38AB">
              <w:rPr>
                <w:rFonts w:eastAsia="Times New Roman"/>
                <w:sz w:val="20"/>
                <w:szCs w:val="20"/>
              </w:rPr>
              <w:t>Usually 0–52 for the 17-item version; varies by version</w:t>
            </w:r>
          </w:p>
        </w:tc>
        <w:tc>
          <w:tcPr>
            <w:tcW w:w="732" w:type="dxa"/>
            <w:tcMar>
              <w:top w:w="80" w:type="dxa"/>
              <w:left w:w="100" w:type="dxa"/>
              <w:bottom w:w="80" w:type="dxa"/>
              <w:right w:w="100" w:type="dxa"/>
            </w:tcMar>
            <w:vAlign w:val="center"/>
          </w:tcPr>
          <w:p w14:paraId="179A51A4" w14:textId="77777777" w:rsidR="002C38AB" w:rsidRDefault="002C38AB" w:rsidP="002C38AB">
            <w:pPr>
              <w:rPr>
                <w:rFonts w:eastAsia="Times New Roman"/>
                <w:sz w:val="20"/>
                <w:szCs w:val="20"/>
              </w:rPr>
            </w:pPr>
          </w:p>
          <w:p w14:paraId="652B8DFB" w14:textId="56B8F4AF" w:rsidR="002C38AB" w:rsidRDefault="002C38AB" w:rsidP="002C38AB">
            <w:pPr>
              <w:rPr>
                <w:rFonts w:eastAsia="Times New Roman"/>
                <w:sz w:val="20"/>
                <w:szCs w:val="20"/>
              </w:rPr>
            </w:pPr>
            <w:r w:rsidRPr="002C38AB">
              <w:rPr>
                <w:rFonts w:eastAsia="Times New Roman"/>
                <w:sz w:val="20"/>
                <w:szCs w:val="20"/>
              </w:rPr>
              <w:t>8–16</w:t>
            </w:r>
          </w:p>
          <w:p w14:paraId="3CC44DAB" w14:textId="77777777" w:rsidR="002C38AB" w:rsidRPr="002C38AB" w:rsidRDefault="002C38AB" w:rsidP="002C38AB">
            <w:pPr>
              <w:rPr>
                <w:rFonts w:eastAsia="Times New Roman"/>
                <w:sz w:val="20"/>
                <w:szCs w:val="20"/>
              </w:rPr>
            </w:pPr>
          </w:p>
        </w:tc>
        <w:tc>
          <w:tcPr>
            <w:tcW w:w="1033" w:type="dxa"/>
            <w:tcMar>
              <w:top w:w="80" w:type="dxa"/>
              <w:left w:w="100" w:type="dxa"/>
              <w:bottom w:w="80" w:type="dxa"/>
              <w:right w:w="100" w:type="dxa"/>
            </w:tcMar>
            <w:vAlign w:val="center"/>
          </w:tcPr>
          <w:p w14:paraId="51E45C08" w14:textId="1BFCC4A3" w:rsidR="00B17069" w:rsidRDefault="002C38AB" w:rsidP="00A41B70">
            <w:pPr>
              <w:spacing w:line="276" w:lineRule="auto"/>
              <w:jc w:val="center"/>
              <w:rPr>
                <w:rFonts w:eastAsia="Times New Roman"/>
                <w:sz w:val="20"/>
                <w:szCs w:val="20"/>
              </w:rPr>
            </w:pPr>
            <w:r w:rsidRPr="002C38AB">
              <w:rPr>
                <w:rFonts w:eastAsia="Times New Roman"/>
                <w:sz w:val="20"/>
                <w:szCs w:val="20"/>
              </w:rPr>
              <w:t>17–23</w:t>
            </w:r>
          </w:p>
        </w:tc>
        <w:tc>
          <w:tcPr>
            <w:tcW w:w="788" w:type="dxa"/>
            <w:tcMar>
              <w:top w:w="80" w:type="dxa"/>
              <w:left w:w="100" w:type="dxa"/>
              <w:bottom w:w="80" w:type="dxa"/>
              <w:right w:w="100" w:type="dxa"/>
            </w:tcMar>
            <w:vAlign w:val="center"/>
          </w:tcPr>
          <w:p w14:paraId="40AB809D" w14:textId="01097F8F" w:rsidR="00B17069" w:rsidRDefault="002C38AB" w:rsidP="00A41B70">
            <w:pPr>
              <w:spacing w:line="276" w:lineRule="auto"/>
              <w:jc w:val="center"/>
              <w:rPr>
                <w:rFonts w:eastAsia="Times New Roman"/>
                <w:sz w:val="20"/>
                <w:szCs w:val="20"/>
              </w:rPr>
            </w:pPr>
            <w:r w:rsidRPr="002C38AB">
              <w:rPr>
                <w:rFonts w:eastAsia="Times New Roman"/>
                <w:sz w:val="20"/>
                <w:szCs w:val="20"/>
              </w:rPr>
              <w:t>≥24</w:t>
            </w:r>
          </w:p>
        </w:tc>
        <w:tc>
          <w:tcPr>
            <w:tcW w:w="1278" w:type="dxa"/>
            <w:tcMar>
              <w:top w:w="80" w:type="dxa"/>
              <w:left w:w="100" w:type="dxa"/>
              <w:bottom w:w="80" w:type="dxa"/>
              <w:right w:w="100" w:type="dxa"/>
            </w:tcMar>
            <w:vAlign w:val="center"/>
          </w:tcPr>
          <w:p w14:paraId="0E71DB7C" w14:textId="6A727E75" w:rsidR="00B17069" w:rsidRDefault="00B17069" w:rsidP="00A41B70">
            <w:pPr>
              <w:spacing w:line="276" w:lineRule="auto"/>
              <w:jc w:val="center"/>
              <w:rPr>
                <w:rFonts w:eastAsia="Times New Roman"/>
                <w:sz w:val="20"/>
                <w:szCs w:val="20"/>
              </w:rPr>
            </w:pPr>
            <w:r w:rsidRPr="00B17069">
              <w:rPr>
                <w:rFonts w:eastAsia="Times New Roman"/>
                <w:sz w:val="20"/>
                <w:szCs w:val="20"/>
              </w:rPr>
              <w:t>≥8 or ≥10, depending on version/study</w:t>
            </w:r>
          </w:p>
        </w:tc>
      </w:tr>
    </w:tbl>
    <w:p w14:paraId="406DC7E6" w14:textId="15D02E8B" w:rsidR="00D71CDE" w:rsidRDefault="0089197B" w:rsidP="00BA6731">
      <w:pPr>
        <w:spacing w:before="60" w:after="180" w:line="276" w:lineRule="auto"/>
        <w:rPr>
          <w:sz w:val="20"/>
          <w:szCs w:val="20"/>
        </w:rPr>
      </w:pPr>
      <w:r w:rsidRPr="0089197B">
        <w:rPr>
          <w:rFonts w:eastAsia="Times New Roman"/>
          <w:i/>
          <w:iCs/>
          <w:sz w:val="20"/>
          <w:szCs w:val="20"/>
        </w:rPr>
        <w:t>Note</w:t>
      </w:r>
      <w:r w:rsidRPr="0089197B">
        <w:rPr>
          <w:rFonts w:eastAsia="Times New Roman"/>
          <w:sz w:val="20"/>
          <w:szCs w:val="20"/>
        </w:rPr>
        <w:t xml:space="preserve">. </w:t>
      </w:r>
      <w:r w:rsidR="00874DC1" w:rsidRPr="00874DC1">
        <w:rPr>
          <w:rFonts w:eastAsia="Times New Roman"/>
          <w:sz w:val="20"/>
          <w:szCs w:val="20"/>
        </w:rPr>
        <w:t>Score ranges, severity categories, and clinical cutoffs were derived from the original scale publications, assessment manuals, and established validation studies. Scoring criteria were based on the following sources: PHQ-9 (Kroenke et al., 2001); PHQ-A (Johnson et al., 2002); BDI-II (Beck et al., 1996); CDI (Kovacs, 1992); CES-D (Radloff, 1977); CESD-R (Eaton et al., 2004); CDRS-R (Poznanski &amp; Mokros, 1996); MFQ (Angold et al., 1995); RADS-2 (Reynolds, 2002); and HRSD/HAM-D (Hamilton, 1960; Zimmerman et al., 2013). In cases where individual studies employed sample-specific thresholds, the original study’s reported cutoff was utilized.</w:t>
      </w:r>
    </w:p>
    <w:p w14:paraId="17A2EACD" w14:textId="77777777" w:rsidR="00BA6731" w:rsidRPr="00BA6731" w:rsidRDefault="00BA6731" w:rsidP="00BA6731">
      <w:pPr>
        <w:spacing w:before="60" w:after="180" w:line="276" w:lineRule="auto"/>
        <w:rPr>
          <w:sz w:val="20"/>
          <w:szCs w:val="20"/>
        </w:rPr>
      </w:pPr>
    </w:p>
    <w:p w14:paraId="1494FFB2" w14:textId="6D97C82E" w:rsidR="00774AAF" w:rsidRPr="0081610B" w:rsidRDefault="000F7427" w:rsidP="00F95387">
      <w:pPr>
        <w:spacing w:after="120" w:line="360" w:lineRule="auto"/>
        <w:ind w:firstLine="360"/>
        <w:jc w:val="both"/>
        <w:rPr>
          <w:rFonts w:eastAsia="Times New Roman"/>
        </w:rPr>
      </w:pPr>
      <w:r w:rsidRPr="00BA6731">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Non-therapeutic human contact</w:t>
      </w:r>
      <w:r w:rsidR="0022279C">
        <w:rPr>
          <w:rFonts w:hint="eastAsia"/>
        </w:rPr>
        <w:t>s</w:t>
      </w:r>
      <w:r w:rsidRPr="000F7427">
        <w:rPr>
          <w:rFonts w:eastAsia="Times New Roman"/>
        </w:rPr>
        <w:t xml:space="preserve"> were instead recorded as support-level variables for subgroup analysis (see Section </w:t>
      </w:r>
      <w:r w:rsidR="00BA6731">
        <w:rPr>
          <w:rFonts w:hint="eastAsia"/>
        </w:rPr>
        <w:t>2.4</w:t>
      </w:r>
      <w:r w:rsidRPr="000F7427">
        <w:rPr>
          <w:rFonts w:eastAsia="Times New Roman"/>
        </w:rPr>
        <w:t>.3).</w:t>
      </w:r>
      <w:r w:rsidR="00F95387">
        <w:rPr>
          <w:rFonts w:hint="eastAsia"/>
        </w:rPr>
        <w:t xml:space="preserve"> </w:t>
      </w:r>
      <w:r w:rsidR="00774AAF" w:rsidRPr="0081610B">
        <w:rPr>
          <w:rFonts w:eastAsia="Times New Roman"/>
        </w:rPr>
        <w:t>The intervention was required to contain cognitive restructuring (defined as the identification, evaluation, and modification of maladaptive thoughts) together with at least one behavioral component (behavioral activation, problem-solving</w:t>
      </w:r>
      <w:r w:rsidR="00DF066C">
        <w:rPr>
          <w:rFonts w:hint="eastAsia"/>
        </w:rPr>
        <w:t xml:space="preserve">, relaxation techniques, interpersonal skills </w:t>
      </w:r>
      <w:proofErr w:type="spellStart"/>
      <w:r w:rsidR="00DF066C">
        <w:rPr>
          <w:rFonts w:hint="eastAsia"/>
        </w:rPr>
        <w:t>traing</w:t>
      </w:r>
      <w:proofErr w:type="spellEnd"/>
      <w:r w:rsidR="00774AAF" w:rsidRPr="0081610B">
        <w:rPr>
          <w:rFonts w:eastAsia="Times New Roman"/>
        </w:rPr>
        <w:t>). Component definitions followed the framework summarized in Section 2.4</w:t>
      </w:r>
      <w:r w:rsidR="007A2A3D">
        <w:rPr>
          <w:rFonts w:hint="eastAsia"/>
        </w:rPr>
        <w:t>.2</w:t>
      </w:r>
      <w:r w:rsidR="00774AAF" w:rsidRPr="0081610B">
        <w:rPr>
          <w:rFonts w:eastAsia="Times New Roman"/>
        </w:rPr>
        <w:t xml:space="preserve"> and Appendix B. Interventions delivered through </w:t>
      </w:r>
      <w:proofErr w:type="gramStart"/>
      <w:r w:rsidR="00774AAF" w:rsidRPr="0081610B">
        <w:rPr>
          <w:rFonts w:eastAsia="Times New Roman"/>
        </w:rPr>
        <w:t>artificial-intelligence</w:t>
      </w:r>
      <w:proofErr w:type="gramEnd"/>
      <w:r w:rsidR="00774AAF" w:rsidRPr="0081610B">
        <w:rPr>
          <w:rFonts w:eastAsia="Times New Roman"/>
        </w:rPr>
        <w:t xml:space="preserve"> chatbots that autonomously deliver CBT content without human therapist involvement were eligible as a form of unguided self-help.</w:t>
      </w:r>
    </w:p>
    <w:p w14:paraId="5E408A86" w14:textId="77777777" w:rsidR="000F7427" w:rsidRPr="000F7427" w:rsidRDefault="000F7427" w:rsidP="0081610B">
      <w:pPr>
        <w:spacing w:after="120" w:line="360" w:lineRule="auto"/>
        <w:ind w:firstLine="360"/>
        <w:jc w:val="both"/>
        <w:rPr>
          <w:rFonts w:eastAsia="Times New Roman"/>
        </w:rPr>
      </w:pPr>
      <w:r w:rsidRPr="0022279C">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w:t>
      </w:r>
      <w:bookmarkStart w:id="13" w:name="OLE_LINK71"/>
      <w:r w:rsidRPr="000F7427">
        <w:rPr>
          <w:rFonts w:eastAsia="Times New Roman"/>
        </w:rPr>
        <w:t>For subgroup analysis, the comparator was further classified as passive (waitlist, TAU, no treatment) or minimally active (attention control, information-only control), reflecting evidence that the choice of comparator can substantially shape apparent effect sizes.</w:t>
      </w:r>
      <w:bookmarkEnd w:id="13"/>
    </w:p>
    <w:p w14:paraId="6D0F1769" w14:textId="2C08EBC1" w:rsidR="000F7427" w:rsidRPr="0091777B" w:rsidRDefault="000F7427" w:rsidP="0081610B">
      <w:pPr>
        <w:spacing w:after="120" w:line="360" w:lineRule="auto"/>
        <w:ind w:firstLine="360"/>
        <w:jc w:val="both"/>
      </w:pPr>
      <w:r w:rsidRPr="00324C91">
        <w:rPr>
          <w:rFonts w:eastAsia="Times New Roman"/>
          <w:b/>
          <w:bCs/>
        </w:rPr>
        <w:t xml:space="preserve">Outcomes. </w:t>
      </w:r>
      <w:r w:rsidRPr="000F7427">
        <w:rPr>
          <w:rFonts w:eastAsia="Times New Roman"/>
        </w:rPr>
        <w:t xml:space="preserve">Depressive symptoms were required to be reported as a primary outcome or as a primary treatment target. Depressive symptoms had to be measured at post-intervention using a validated self-report </w:t>
      </w:r>
      <w:r w:rsidRPr="000F7427">
        <w:rPr>
          <w:rFonts w:eastAsia="Times New Roman"/>
        </w:rPr>
        <w:lastRenderedPageBreak/>
        <w:t>or clinician-rated instrument. 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r w:rsidR="0091777B">
        <w:rPr>
          <w:rFonts w:hint="eastAsia"/>
        </w:rPr>
        <w:t xml:space="preserve"> </w:t>
      </w:r>
      <w:r w:rsidR="0091777B" w:rsidRPr="000F7427">
        <w:rPr>
          <w:rFonts w:eastAsia="Times New Roman"/>
        </w:rPr>
        <w:t>Studies had to report sufficient statistical information (means, standard deviations or equivalents, and sample sizes) to permit computation of standardized mean differences.</w:t>
      </w:r>
    </w:p>
    <w:p w14:paraId="070525B9" w14:textId="77777777" w:rsidR="000C3784" w:rsidRDefault="00D450DC">
      <w:pPr>
        <w:pStyle w:val="3"/>
      </w:pPr>
      <w:r>
        <w:t>3.3.2. Additional Exclusion Conditions</w:t>
      </w:r>
    </w:p>
    <w:p w14:paraId="50F436E5" w14:textId="77777777" w:rsidR="00CF5535" w:rsidRPr="00CF5535" w:rsidRDefault="00CF5535" w:rsidP="00315DB5">
      <w:pPr>
        <w:spacing w:after="120" w:line="360" w:lineRule="auto"/>
        <w:ind w:firstLine="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315DB5">
      <w:pPr>
        <w:spacing w:after="120" w:line="360" w:lineRule="auto"/>
        <w:ind w:firstLine="360"/>
        <w:jc w:val="both"/>
        <w:rPr>
          <w:rFonts w:eastAsia="Times New Roman"/>
        </w:rPr>
      </w:pPr>
      <w:bookmarkStart w:id="14" w:name="OLE_LINK72"/>
      <w:r w:rsidRPr="00315DB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bookmarkEnd w:id="14"/>
    <w:p w14:paraId="24B5A0F9" w14:textId="7B73562D" w:rsidR="00CF5535" w:rsidRPr="00CF5535" w:rsidRDefault="00CF5535" w:rsidP="00315DB5">
      <w:pPr>
        <w:spacing w:after="120" w:line="360" w:lineRule="auto"/>
        <w:ind w:firstLine="360"/>
        <w:jc w:val="both"/>
        <w:rPr>
          <w:rFonts w:eastAsia="Times New Roman"/>
        </w:rPr>
      </w:pPr>
      <w:r w:rsidRPr="00315DB5">
        <w:rPr>
          <w:rFonts w:eastAsia="Times New Roman"/>
          <w:b/>
          <w:bCs/>
        </w:rPr>
        <w:t xml:space="preserve">Samples with substantially limited generalizability. </w:t>
      </w:r>
      <w:r w:rsidRPr="00CF5535">
        <w:rPr>
          <w:rFonts w:eastAsia="Times New Roman"/>
        </w:rPr>
        <w:t xml:space="preserve">Studies whose samples were drawn from populations differing substantially from the general adolescent population in ways directly relevant to self-help CBT response were excluded. For example, samples consisting exclusively of pregnant adolescents </w:t>
      </w:r>
      <w:r w:rsidR="00315DB5">
        <w:rPr>
          <w:rFonts w:hint="eastAsia"/>
        </w:rPr>
        <w:t xml:space="preserve">or college adolescents </w:t>
      </w:r>
      <w:r w:rsidRPr="00CF5535">
        <w:rPr>
          <w:rFonts w:eastAsia="Times New Roman"/>
        </w:rPr>
        <w:t>were excluded because hormonal, social, and clinical circumstances differ substantially from those of the general adolescent population, and the response to self-help CBT in such samples may not generalize.</w:t>
      </w:r>
    </w:p>
    <w:p w14:paraId="3403C86D" w14:textId="77777777" w:rsidR="00CF5535" w:rsidRPr="00CF5535" w:rsidRDefault="00CF5535" w:rsidP="00315DB5">
      <w:pPr>
        <w:spacing w:after="120" w:line="360" w:lineRule="auto"/>
        <w:ind w:firstLine="360"/>
        <w:jc w:val="both"/>
        <w:rPr>
          <w:rFonts w:eastAsia="Times New Roman"/>
        </w:rPr>
      </w:pPr>
      <w:r w:rsidRPr="00DF066C">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0ABFD892" w:rsidR="00CF5535" w:rsidRPr="00C127A3" w:rsidRDefault="00CF5535" w:rsidP="00315DB5">
      <w:pPr>
        <w:spacing w:after="120" w:line="360" w:lineRule="auto"/>
        <w:ind w:firstLine="360"/>
        <w:jc w:val="both"/>
      </w:pPr>
      <w:r w:rsidRPr="00DF066C">
        <w:rPr>
          <w:rFonts w:eastAsia="Times New Roman"/>
          <w:b/>
          <w:bCs/>
        </w:rPr>
        <w:t xml:space="preserve">Theoretical framework mismatch. </w:t>
      </w:r>
      <w:r w:rsidRPr="00CF5535">
        <w:rPr>
          <w:rFonts w:eastAsia="Times New Roman"/>
        </w:rPr>
        <w:t>Studies whose interventions shared surface-level features with CBT but were grounded in a fundamentally different theoretical framework were excluded. Examples include Acceptance and Commitment Therapy</w:t>
      </w:r>
      <w:r w:rsidR="000D3B7B">
        <w:rPr>
          <w:rFonts w:hint="eastAsia"/>
        </w:rPr>
        <w:t xml:space="preserve"> and </w:t>
      </w:r>
      <w:r w:rsidRPr="00CF5535">
        <w:rPr>
          <w:rFonts w:eastAsia="Times New Roman"/>
        </w:rPr>
        <w:t>Mindfulness-Based Cognitive Therapy</w:t>
      </w:r>
      <w:r w:rsidR="00C127A3">
        <w:rPr>
          <w:rFonts w:hint="eastAsia"/>
        </w:rPr>
        <w:t xml:space="preserve">, whose principles are rooted in accepting thoughts in </w:t>
      </w:r>
      <w:proofErr w:type="spellStart"/>
      <w:r w:rsidR="00C127A3" w:rsidRPr="00C127A3">
        <w:t>non‐judgemental</w:t>
      </w:r>
      <w:proofErr w:type="spellEnd"/>
      <w:r w:rsidR="00C127A3">
        <w:rPr>
          <w:rFonts w:hint="eastAsia"/>
        </w:rPr>
        <w:t xml:space="preserve"> manner, were excluded.</w:t>
      </w:r>
    </w:p>
    <w:p w14:paraId="681030CB" w14:textId="77777777" w:rsidR="000C3784" w:rsidRDefault="00D450DC">
      <w:pPr>
        <w:pStyle w:val="2"/>
      </w:pPr>
      <w:r>
        <w:lastRenderedPageBreak/>
        <w:t>3.4. Study Selection</w:t>
      </w:r>
    </w:p>
    <w:p w14:paraId="58195B92" w14:textId="7FFD20A7" w:rsidR="0024335A" w:rsidRDefault="0024335A" w:rsidP="0024335A">
      <w:pPr>
        <w:spacing w:after="120" w:line="360" w:lineRule="auto"/>
        <w:ind w:firstLine="360"/>
        <w:jc w:val="both"/>
      </w:pPr>
      <w:bookmarkStart w:id="15" w:name="OLE_LINK73"/>
      <w:r w:rsidRPr="0024335A">
        <w:t xml:space="preserve">Data were extracted into a standardized workbook of three linked sheets. </w:t>
      </w:r>
      <w:proofErr w:type="spellStart"/>
      <w:r w:rsidRPr="0024335A">
        <w:t>Study_Info</w:t>
      </w:r>
      <w:proofErr w:type="spellEnd"/>
      <w:r w:rsidRPr="0024335A">
        <w:t xml:space="preserve"> held study-level characteristics, </w:t>
      </w:r>
      <w:proofErr w:type="spellStart"/>
      <w:r w:rsidRPr="0024335A">
        <w:t>Outcome_Data</w:t>
      </w:r>
      <w:proofErr w:type="spellEnd"/>
      <w:r w:rsidRPr="0024335A">
        <w:t xml:space="preserve"> held effect-size inputs at each timepoint, and </w:t>
      </w:r>
      <w:proofErr w:type="gramStart"/>
      <w:r w:rsidRPr="0024335A">
        <w:t>RoB</w:t>
      </w:r>
      <w:proofErr w:type="gramEnd"/>
      <w:r w:rsidRPr="0024335A">
        <w:t>_2.0 held the risk-of-bias judgments. Each field was either transcribed directly from the primary report or assigned by reviewer coding. Table 3.X lists the extracted fields, their source sheet, and the extraction approach.</w:t>
      </w:r>
    </w:p>
    <w:p w14:paraId="62D3D866" w14:textId="77777777" w:rsidR="000C3784" w:rsidRDefault="00D450DC">
      <w:pPr>
        <w:pStyle w:val="2"/>
      </w:pPr>
      <w:r>
        <w:t>3.5. Data Extraction</w:t>
      </w:r>
    </w:p>
    <w:p w14:paraId="78041ABB" w14:textId="77777777" w:rsidR="00753333" w:rsidRPr="00753333" w:rsidRDefault="00753333" w:rsidP="00753333">
      <w:pPr>
        <w:spacing w:after="120" w:line="360" w:lineRule="auto"/>
        <w:ind w:firstLine="360"/>
        <w:jc w:val="both"/>
      </w:pPr>
      <w:r w:rsidRPr="00753333">
        <w:t>Data were extracted into a structured workbook with separate sheets for study-level characteristics, outcome data, and risk-of-bias judgments. The extraction form was designed to support effect-size calculation, subgroup coding, sensitivity analyses, and acceptability analysis.</w:t>
      </w:r>
    </w:p>
    <w:p w14:paraId="508273B7" w14:textId="77777777" w:rsidR="00753333" w:rsidRPr="00753333" w:rsidRDefault="00753333" w:rsidP="00753333">
      <w:pPr>
        <w:spacing w:after="120" w:line="360" w:lineRule="auto"/>
        <w:ind w:firstLine="360"/>
        <w:jc w:val="both"/>
      </w:pPr>
      <w:r w:rsidRPr="00753333">
        <w:t>For each included study, study-level information was extracted, including publication details, country, study design, recruitment setting, participant age, sample size, baseline depression severity, intervention format, comparator type, and follow-up timing. Intervention characteristics were recorded at both the program level and the component level, including delivery modality, duration, intended dose where estimable, CBT components, and non-therapeutic support features.</w:t>
      </w:r>
    </w:p>
    <w:p w14:paraId="45BC7D5B" w14:textId="53A0AF32" w:rsidR="00753333" w:rsidRPr="00753333" w:rsidRDefault="00753333" w:rsidP="00753333">
      <w:pPr>
        <w:spacing w:after="120" w:line="360" w:lineRule="auto"/>
        <w:ind w:firstLine="360"/>
        <w:jc w:val="both"/>
      </w:pPr>
      <w:r w:rsidRPr="00753333">
        <w:t>Outcome data were extracted separately for each relevant time point. These included the depression measure used, analysis sample size, group means, standard deviations or equivalent variance information, and whether the reported values were endpoint scores, change scores, adjusted means, or standardized effects. When standard deviations were not directly reported, equivalent information such as confidence intervals or standard errors was extracted where available. Dropout numbers in each arm were also extracted for the acceptability analysis.</w:t>
      </w:r>
    </w:p>
    <w:bookmarkEnd w:id="15"/>
    <w:p w14:paraId="73324A91" w14:textId="21FFCA22" w:rsidR="000C3784" w:rsidRDefault="00D450DC">
      <w:pPr>
        <w:pStyle w:val="2"/>
      </w:pPr>
      <w:r>
        <w:t>3.</w:t>
      </w:r>
      <w:r w:rsidR="009607CD">
        <w:rPr>
          <w:rFonts w:eastAsiaTheme="minorEastAsia" w:hint="eastAsia"/>
        </w:rPr>
        <w:t>6</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38E67C89" w:rsidR="000C3784" w:rsidRDefault="00D450DC">
      <w:pPr>
        <w:pStyle w:val="2"/>
      </w:pPr>
      <w:r>
        <w:t>3.</w:t>
      </w:r>
      <w:r w:rsidR="00CB4E77">
        <w:rPr>
          <w:rFonts w:eastAsiaTheme="minorEastAsia" w:hint="eastAsia"/>
        </w:rPr>
        <w:t>7</w:t>
      </w:r>
      <w:r>
        <w:t>. Data Synthesis and Statistical Analysis</w:t>
      </w:r>
    </w:p>
    <w:p w14:paraId="0051DDB9" w14:textId="41F1F097" w:rsidR="000C3784" w:rsidRDefault="00D450DC">
      <w:pPr>
        <w:pStyle w:val="3"/>
      </w:pPr>
      <w:r>
        <w:lastRenderedPageBreak/>
        <w:t>3.</w:t>
      </w:r>
      <w:r w:rsidR="00CB4E77">
        <w:rPr>
          <w:rFonts w:eastAsiaTheme="minorEastAsia" w:hint="eastAsia"/>
        </w:rPr>
        <w:t>7</w:t>
      </w:r>
      <w:r>
        <w:t>.1. Effect-Size Calculation</w:t>
      </w:r>
    </w:p>
    <w:p w14:paraId="75E21273" w14:textId="77777777" w:rsidR="00F77A5E" w:rsidRDefault="00F77A5E" w:rsidP="00F77A5E">
      <w:pPr>
        <w:spacing w:after="120" w:line="360" w:lineRule="auto"/>
        <w:ind w:firstLine="360"/>
        <w:jc w:val="both"/>
      </w:pPr>
      <w:r w:rsidRPr="00F77A5E">
        <w:t xml:space="preserve">Effect sizes were calculated as Hedges' </w:t>
      </w:r>
      <w:r w:rsidRPr="00F77A5E">
        <w:rPr>
          <w:i/>
          <w:iCs/>
        </w:rPr>
        <w:t>g</w:t>
      </w:r>
      <w:r w:rsidRPr="00F77A5E">
        <w:t xml:space="preserve">, the standardized mean difference with a small-sample correction (Hedges &amp; Olkin, 1985). Most included studies reported </w:t>
      </w:r>
      <w:bookmarkStart w:id="16" w:name="OLE_LINK77"/>
      <w:r w:rsidRPr="00F77A5E">
        <w:t>post-intervention endpoint values</w:t>
      </w:r>
      <w:bookmarkEnd w:id="16"/>
      <w:r w:rsidRPr="00F77A5E">
        <w:t xml:space="preserve">, several reported change-from-baseline outcomes, and one study reported a standardized mean difference with its 95% confidence interval. </w:t>
      </w:r>
    </w:p>
    <w:p w14:paraId="684E5C03" w14:textId="77777777" w:rsidR="00F77A5E" w:rsidRDefault="00F77A5E" w:rsidP="000E3F8B">
      <w:pPr>
        <w:spacing w:after="120" w:line="360" w:lineRule="auto"/>
        <w:ind w:firstLine="360"/>
        <w:jc w:val="both"/>
      </w:pPr>
      <w:r w:rsidRPr="00F77A5E">
        <w:t xml:space="preserve">When the effect measure is a standardized mean difference, combining post-intervention values and change scores is not recommended in principle, because the standard deviations used for standardization reflect different sources of variation (Higgins et al., 2021). Harrer et al. (2025) further showed that the choice of standardizing denominator can itself change the magnitude of a standardized mean difference, which is why a single consistent standardizer is preferable when the data allow it. One recommended approach is to standardize all effect sizes with the post-intervention standard deviation (Higgins et al., 2021). This approach was not feasible in the present review, because the two studies reporting change-from-baseline outcomes did not provide post-intervention standard deviations. </w:t>
      </w:r>
    </w:p>
    <w:p w14:paraId="1334A31C" w14:textId="42A955A0" w:rsidR="00F77A5E" w:rsidRPr="00F77A5E" w:rsidRDefault="00F77A5E" w:rsidP="00F77A5E">
      <w:pPr>
        <w:spacing w:after="120" w:line="360" w:lineRule="auto"/>
        <w:ind w:firstLine="360"/>
        <w:jc w:val="both"/>
      </w:pPr>
      <w:r w:rsidRPr="00F77A5E">
        <w:t xml:space="preserve">Empirical evidence nonetheless indicates that this combination has little effect on the pooled estimate. In a meta-epidemiological study of osteoarthritis trials, combining follow-up and change data did not alter the pooled standardized mean difference (da Costa et al., 2013). In the field of psychological interventions for depression, </w:t>
      </w:r>
      <w:proofErr w:type="spellStart"/>
      <w:r w:rsidRPr="00F77A5E">
        <w:t>Ostinelli</w:t>
      </w:r>
      <w:proofErr w:type="spellEnd"/>
      <w:r w:rsidRPr="00F77A5E">
        <w:t xml:space="preserve"> et al. (2024) found that pooling endpoint and change-based standardized mean differences did not meaningfully affect the summary estimate, even in the most extreme scenarios they examined.</w:t>
      </w:r>
      <w:r w:rsidR="006445F8">
        <w:rPr>
          <w:rFonts w:hint="eastAsia"/>
        </w:rPr>
        <w:t xml:space="preserve"> </w:t>
      </w:r>
    </w:p>
    <w:p w14:paraId="4E65B59C" w14:textId="33F0B44D" w:rsidR="00F77A5E" w:rsidRPr="00F77A5E" w:rsidRDefault="00F77A5E" w:rsidP="008E4DD0">
      <w:pPr>
        <w:spacing w:after="120" w:line="360" w:lineRule="auto"/>
        <w:ind w:firstLine="360"/>
        <w:jc w:val="both"/>
      </w:pPr>
      <w:r w:rsidRPr="00F77A5E">
        <w:t>On this basis, effect sizes were computed from the data available in each report. Endpoint studies were analyzed from post-intervention values, change-from-baseline studies from change scores, and the single study reporting a between-group effect from its reported value and confidence interval. Because this decision affects both the pooled estimate and its interpretation, all available results were first pooled, and a post-hoc sensitivity analysis restricted to endpoint-based effect sizes was then conducted to confirm the robustness of the pooled estimate.</w:t>
      </w:r>
    </w:p>
    <w:p w14:paraId="32352052" w14:textId="292EEFBB" w:rsidR="00D01F5C" w:rsidRPr="00D01F5C" w:rsidRDefault="00D01F5C" w:rsidP="00D01F5C">
      <w:pPr>
        <w:spacing w:after="120" w:line="360" w:lineRule="auto"/>
        <w:jc w:val="both"/>
      </w:pPr>
      <m:oMathPara>
        <m:oMath>
          <m:r>
            <w:rPr>
              <w:rFonts w:ascii="Cambria Math" w:hAnsi="Cambria Math" w:hint="eastAsia"/>
            </w:rPr>
            <m:t>g</m:t>
          </m:r>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SMD</m:t>
          </m:r>
        </m:oMath>
      </m:oMathPara>
    </w:p>
    <w:p w14:paraId="4A7B43EC" w14:textId="77777777" w:rsidR="008E4DD0" w:rsidRPr="008E4DD0" w:rsidRDefault="00F50362" w:rsidP="003B32AA">
      <w:pPr>
        <w:spacing w:after="120" w:line="360" w:lineRule="auto"/>
        <w:ind w:firstLine="360"/>
        <w:jc w:val="both"/>
      </w:pPr>
      <m:oMathPara>
        <m:oMath>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1-</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m:t>
              </m:r>
              <m:d>
                <m:dPr>
                  <m:ctrlPr>
                    <w:rPr>
                      <w:rFonts w:ascii="Cambria Math" w:hAnsi="Cambria Math"/>
                      <w:i/>
                    </w:rPr>
                  </m:ctrlPr>
                </m:dPr>
                <m:e>
                  <m:r>
                    <w:rPr>
                      <w:rFonts w:ascii="Cambria Math" w:hAnsi="Cambria Math"/>
                    </w:rPr>
                    <m:t>df</m:t>
                  </m:r>
                </m:e>
              </m:d>
              <m:r>
                <w:rPr>
                  <w:rFonts w:ascii="Cambria Math" w:hAnsi="Cambria Math"/>
                </w:rPr>
                <m:t>-1</m:t>
              </m:r>
              <m:ctrlPr>
                <w:rPr>
                  <w:rFonts w:ascii="Cambria Math" w:hAnsi="Cambria Math"/>
                  <w:i/>
                </w:rPr>
              </m:ctrlPr>
            </m:den>
          </m:f>
          <m:r>
            <w:rPr>
              <w:rFonts w:ascii="Cambria Math" w:hAnsi="Cambria Math"/>
            </w:rPr>
            <m:t xml:space="preserve">  </m:t>
          </m:r>
        </m:oMath>
      </m:oMathPara>
    </w:p>
    <w:p w14:paraId="7193E465" w14:textId="77777777" w:rsidR="008E4DD0" w:rsidRPr="008E4DD0" w:rsidRDefault="00F50362" w:rsidP="003B32AA">
      <w:pPr>
        <w:spacing w:after="120" w:line="360" w:lineRule="auto"/>
        <w:ind w:firstLine="360"/>
        <w:jc w:val="both"/>
      </w:pPr>
      <m:oMathPara>
        <m:oMath>
          <m:r>
            <w:rPr>
              <w:rFonts w:ascii="Cambria Math" w:hAnsi="Cambria Math"/>
            </w:rPr>
            <m:t xml:space="preserve">df=n-2  </m:t>
          </m:r>
        </m:oMath>
      </m:oMathPara>
    </w:p>
    <w:p w14:paraId="38793131" w14:textId="266B6812" w:rsidR="009A6242" w:rsidRPr="00C8187A" w:rsidRDefault="00F50362" w:rsidP="00C8187A">
      <w:pPr>
        <w:spacing w:after="120" w:line="360" w:lineRule="auto"/>
        <w:ind w:firstLine="360"/>
        <w:jc w:val="both"/>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4B610D86" w14:textId="77777777" w:rsidR="00C8187A" w:rsidRDefault="00C8187A" w:rsidP="00C8187A">
      <w:pPr>
        <w:spacing w:after="120" w:line="360" w:lineRule="auto"/>
        <w:ind w:firstLine="360"/>
        <w:jc w:val="both"/>
      </w:pPr>
    </w:p>
    <w:p w14:paraId="07E94A9F" w14:textId="7E97C129" w:rsidR="008074FA" w:rsidRPr="008A37BE" w:rsidRDefault="009A6242" w:rsidP="00BA62EF">
      <w:pPr>
        <w:spacing w:after="120" w:line="360" w:lineRule="auto"/>
        <w:jc w:val="both"/>
        <w:rPr>
          <w:b/>
          <w:bCs/>
        </w:rPr>
      </w:pPr>
      <w:r w:rsidRPr="008A37BE">
        <w:rPr>
          <w:rFonts w:hint="eastAsia"/>
          <w:b/>
          <w:bCs/>
        </w:rPr>
        <w:lastRenderedPageBreak/>
        <w:t xml:space="preserve">Type A </w:t>
      </w:r>
      <w:r w:rsidR="00DE5BAE">
        <w:rPr>
          <w:b/>
          <w:bCs/>
        </w:rPr>
        <w:t>—</w:t>
      </w:r>
      <w:r w:rsidRPr="008A37BE">
        <w:rPr>
          <w:rFonts w:hint="eastAsia"/>
          <w:b/>
          <w:bCs/>
        </w:rPr>
        <w:t xml:space="preserve"> </w:t>
      </w:r>
      <w:bookmarkStart w:id="17" w:name="OLE_LINK78"/>
      <w:r w:rsidR="008A37BE">
        <w:rPr>
          <w:rFonts w:hint="eastAsia"/>
          <w:b/>
          <w:bCs/>
        </w:rPr>
        <w:t>P</w:t>
      </w:r>
      <w:r w:rsidR="008A37BE" w:rsidRPr="008A37BE">
        <w:rPr>
          <w:b/>
          <w:bCs/>
        </w:rPr>
        <w:t>ost-</w:t>
      </w:r>
      <w:r w:rsidR="008A37BE">
        <w:rPr>
          <w:rFonts w:hint="eastAsia"/>
          <w:b/>
          <w:bCs/>
        </w:rPr>
        <w:t>I</w:t>
      </w:r>
      <w:r w:rsidR="008A37BE" w:rsidRPr="008A37BE">
        <w:rPr>
          <w:b/>
          <w:bCs/>
        </w:rPr>
        <w:t xml:space="preserve">ntervention </w:t>
      </w:r>
      <w:r w:rsidR="008A37BE">
        <w:rPr>
          <w:rFonts w:hint="eastAsia"/>
          <w:b/>
          <w:bCs/>
        </w:rPr>
        <w:t>E</w:t>
      </w:r>
      <w:r w:rsidR="008A37BE" w:rsidRPr="008A37BE">
        <w:rPr>
          <w:b/>
          <w:bCs/>
        </w:rPr>
        <w:t xml:space="preserve">ndpoint </w:t>
      </w:r>
    </w:p>
    <w:p w14:paraId="0A545893" w14:textId="77777777" w:rsidR="008074FA" w:rsidRPr="008074FA" w:rsidRDefault="008074FA" w:rsidP="00BA62EF">
      <w:pPr>
        <w:spacing w:after="120" w:line="360" w:lineRule="auto"/>
        <w:jc w:val="both"/>
      </w:pPr>
    </w:p>
    <w:p w14:paraId="7088276E" w14:textId="3441C69D" w:rsidR="00E12D72" w:rsidRDefault="00D01F5C" w:rsidP="008E4DD0">
      <w:pPr>
        <w:spacing w:after="120" w:line="360" w:lineRule="auto"/>
        <w:jc w:val="cente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exp</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ctrlPr>
                    <w:rPr>
                      <w:rFonts w:ascii="Cambria Math" w:hAnsi="Cambria Math"/>
                      <w:i/>
                    </w:rPr>
                  </m:ctrlPr>
                </m:e>
                <m:sub>
                  <m:r>
                    <m:rPr>
                      <m:sty m:val="p"/>
                    </m:rP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21D5CE1F" w14:textId="5A6D4A4D" w:rsidR="008074FA" w:rsidRPr="008074FA" w:rsidRDefault="00000000" w:rsidP="008E4DD0">
      <w:pPr>
        <w:spacing w:after="120"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7B00BA72" w14:textId="1B2063CF" w:rsidR="009A6242" w:rsidRPr="0024335A" w:rsidRDefault="0024335A" w:rsidP="0024335A">
      <w:pPr>
        <w:spacing w:after="120"/>
        <w:rPr>
          <w:sz w:val="20"/>
          <w:szCs w:val="20"/>
        </w:rPr>
      </w:pPr>
      <w:r w:rsidRPr="0024335A">
        <w:rPr>
          <w:i/>
          <w:iCs/>
          <w:sz w:val="20"/>
          <w:szCs w:val="20"/>
        </w:rPr>
        <w:t>Note.</w:t>
      </w:r>
      <w:r w:rsidRPr="0024335A">
        <w:rPr>
          <w:sz w:val="20"/>
          <w:szCs w:val="20"/>
        </w:rPr>
        <w:t xml:space="preserve"> </w:t>
      </w:r>
      <w:r w:rsidRPr="0024335A">
        <w:rPr>
          <w:i/>
          <w:iCs/>
          <w:sz w:val="20"/>
          <w:szCs w:val="20"/>
        </w:rPr>
        <w:t>g</w:t>
      </w:r>
      <w:r w:rsidRPr="0024335A">
        <w:rPr>
          <w:sz w:val="20"/>
          <w:szCs w:val="20"/>
        </w:rPr>
        <w:t xml:space="preserve"> = Hedges' </w:t>
      </w:r>
      <w:r w:rsidRPr="0024335A">
        <w:rPr>
          <w:i/>
          <w:iCs/>
          <w:sz w:val="20"/>
          <w:szCs w:val="20"/>
        </w:rPr>
        <w:t>g</w:t>
      </w:r>
      <w:r w:rsidRPr="0024335A">
        <w:rPr>
          <w:sz w:val="20"/>
          <w:szCs w:val="20"/>
        </w:rPr>
        <w:t xml:space="preserve"> (bias-corrected effect size). </w:t>
      </w:r>
      <w:r w:rsidR="00DE5BAE" w:rsidRPr="00DE5BAE">
        <w:rPr>
          <w:i/>
          <w:iCs/>
          <w:sz w:val="20"/>
          <w:szCs w:val="20"/>
        </w:rPr>
        <w:t>J</w:t>
      </w:r>
      <w:r w:rsidR="00DE5BAE" w:rsidRPr="00DE5BAE">
        <w:rPr>
          <w:sz w:val="20"/>
          <w:szCs w:val="20"/>
        </w:rPr>
        <w:t>(</w:t>
      </w:r>
      <w:proofErr w:type="spellStart"/>
      <w:r w:rsidR="00DE5BAE" w:rsidRPr="00DE5BAE">
        <w:rPr>
          <w:i/>
          <w:iCs/>
          <w:sz w:val="20"/>
          <w:szCs w:val="20"/>
        </w:rPr>
        <w:t>df</w:t>
      </w:r>
      <w:proofErr w:type="spellEnd"/>
      <w:r w:rsidR="00DE5BAE" w:rsidRPr="00DE5BAE">
        <w:rPr>
          <w:sz w:val="20"/>
          <w:szCs w:val="20"/>
        </w:rPr>
        <w:t xml:space="preserve">) = small-sample correction factor. </w:t>
      </w:r>
      <w:proofErr w:type="spellStart"/>
      <w:r w:rsidR="00DE5BAE" w:rsidRPr="00DE5BAE">
        <w:rPr>
          <w:i/>
          <w:iCs/>
          <w:sz w:val="20"/>
          <w:szCs w:val="20"/>
        </w:rPr>
        <w:t>df</w:t>
      </w:r>
      <w:proofErr w:type="spellEnd"/>
      <w:r w:rsidR="00DE5BAE" w:rsidRPr="00DE5BAE">
        <w:rPr>
          <w:sz w:val="20"/>
          <w:szCs w:val="20"/>
        </w:rPr>
        <w:t xml:space="preserve"> = degrees of freedom (</w:t>
      </w:r>
      <w:r w:rsidR="00DE5BAE" w:rsidRPr="00DE5BAE">
        <w:rPr>
          <w:i/>
          <w:iCs/>
          <w:sz w:val="20"/>
          <w:szCs w:val="20"/>
        </w:rPr>
        <w:t>n</w:t>
      </w:r>
      <w:r w:rsidR="00DE5BAE" w:rsidRPr="00DE5BAE">
        <w:rPr>
          <w:sz w:val="20"/>
          <w:szCs w:val="20"/>
        </w:rPr>
        <w:t xml:space="preserve"> − 2).</w:t>
      </w:r>
      <w:r w:rsidR="00DE5BAE">
        <w:rPr>
          <w:rFonts w:hint="eastAsia"/>
          <w:sz w:val="20"/>
          <w:szCs w:val="20"/>
        </w:rPr>
        <w:t xml:space="preserve"> </w:t>
      </w:r>
      <w:r w:rsidRPr="0024335A">
        <w:rPr>
          <w:sz w:val="20"/>
          <w:szCs w:val="20"/>
        </w:rPr>
        <w:t xml:space="preserve">SMD = uncorrected standardized mean difference. </w:t>
      </w:r>
      <w:r w:rsidRPr="0024335A">
        <w:rPr>
          <w:i/>
          <w:iCs/>
          <w:sz w:val="20"/>
          <w:szCs w:val="20"/>
        </w:rPr>
        <w:t>n</w:t>
      </w:r>
      <w:r w:rsidRPr="0024335A">
        <w:rPr>
          <w:sz w:val="20"/>
          <w:szCs w:val="20"/>
        </w:rPr>
        <w:t xml:space="preserve"> = total sample size (</w:t>
      </w:r>
      <w:r w:rsidRPr="0024335A">
        <w:rPr>
          <w:i/>
          <w:iCs/>
          <w:sz w:val="20"/>
          <w:szCs w:val="20"/>
        </w:rPr>
        <w:t>n</w:t>
      </w:r>
      <w:r w:rsidRPr="0024335A">
        <w:rPr>
          <w:sz w:val="20"/>
          <w:szCs w:val="20"/>
        </w:rPr>
        <w:t xml:space="preserve">ₑₓₚ +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w:t>
      </w:r>
      <w:r w:rsidRPr="0024335A">
        <w:rPr>
          <w:i/>
          <w:iCs/>
          <w:sz w:val="20"/>
          <w:szCs w:val="20"/>
        </w:rPr>
        <w:t>n</w:t>
      </w:r>
      <w:r w:rsidRPr="0024335A">
        <w:rPr>
          <w:sz w:val="20"/>
          <w:szCs w:val="20"/>
        </w:rPr>
        <w:t xml:space="preserve">ₑₓₚ and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 intervention and control group sample sizes. </w:t>
      </w:r>
      <w:r w:rsidRPr="0024335A">
        <w:rPr>
          <w:i/>
          <w:iCs/>
          <w:sz w:val="20"/>
          <w:szCs w:val="20"/>
        </w:rPr>
        <w:t>x̄</w:t>
      </w:r>
      <w:r w:rsidRPr="0024335A">
        <w:rPr>
          <w:sz w:val="20"/>
          <w:szCs w:val="20"/>
        </w:rPr>
        <w:t xml:space="preserve">ₑₓₚ and </w:t>
      </w:r>
      <w:r w:rsidRPr="0024335A">
        <w:rPr>
          <w:i/>
          <w:iCs/>
          <w:sz w:val="20"/>
          <w:szCs w:val="20"/>
        </w:rPr>
        <w:t>x̄</w:t>
      </w:r>
      <w:r w:rsidRPr="0024335A">
        <w:rPr>
          <w:rFonts w:ascii="Cambria Math" w:hAnsi="Cambria Math" w:cs="Cambria Math"/>
          <w:sz w:val="20"/>
          <w:szCs w:val="20"/>
        </w:rPr>
        <w:t>𝒸</w:t>
      </w:r>
      <w:r w:rsidRPr="0024335A">
        <w:rPr>
          <w:sz w:val="20"/>
          <w:szCs w:val="20"/>
        </w:rPr>
        <w:t xml:space="preserve">ₜᵣₗ = post-intervention means of the two groups. </w:t>
      </w:r>
      <w:r w:rsidRPr="0024335A">
        <w:rPr>
          <w:i/>
          <w:iCs/>
          <w:sz w:val="20"/>
          <w:szCs w:val="20"/>
        </w:rPr>
        <w:t>s</w:t>
      </w:r>
      <w:r w:rsidRPr="0024335A">
        <w:rPr>
          <w:sz w:val="20"/>
          <w:szCs w:val="20"/>
        </w:rPr>
        <w:t xml:space="preserve">ₑₓₚ and </w:t>
      </w:r>
      <w:r w:rsidRPr="0024335A">
        <w:rPr>
          <w:i/>
          <w:iCs/>
          <w:sz w:val="20"/>
          <w:szCs w:val="20"/>
        </w:rPr>
        <w:t>s</w:t>
      </w:r>
      <w:r w:rsidRPr="0024335A">
        <w:rPr>
          <w:rFonts w:ascii="Cambria Math" w:hAnsi="Cambria Math" w:cs="Cambria Math"/>
          <w:sz w:val="20"/>
          <w:szCs w:val="20"/>
        </w:rPr>
        <w:t>𝒸</w:t>
      </w:r>
      <w:r w:rsidRPr="0024335A">
        <w:rPr>
          <w:sz w:val="20"/>
          <w:szCs w:val="20"/>
        </w:rPr>
        <w:t xml:space="preserve">ₜᵣₗ = post-intervention standard deviations. </w:t>
      </w:r>
      <w:r w:rsidRPr="0024335A">
        <w:rPr>
          <w:i/>
          <w:iCs/>
          <w:sz w:val="20"/>
          <w:szCs w:val="20"/>
        </w:rPr>
        <w:t>s</w:t>
      </w:r>
      <w:r w:rsidRPr="0024335A">
        <w:rPr>
          <w:sz w:val="20"/>
          <w:szCs w:val="20"/>
        </w:rPr>
        <w:t>ₚₒₒₗₑ</w:t>
      </w:r>
      <w:r w:rsidRPr="0024335A">
        <w:rPr>
          <w:rFonts w:ascii="Cambria Math" w:hAnsi="Cambria Math" w:cs="Cambria Math"/>
          <w:sz w:val="20"/>
          <w:szCs w:val="20"/>
        </w:rPr>
        <w:t>𝒹</w:t>
      </w:r>
      <w:r w:rsidRPr="0024335A">
        <w:rPr>
          <w:sz w:val="20"/>
          <w:szCs w:val="20"/>
        </w:rPr>
        <w:t xml:space="preserve"> = pooled standard deviation</w:t>
      </w:r>
    </w:p>
    <w:p w14:paraId="1B5A8715" w14:textId="77777777" w:rsidR="0024335A" w:rsidRDefault="0024335A" w:rsidP="009A6242">
      <w:pPr>
        <w:spacing w:after="120" w:line="360" w:lineRule="auto"/>
      </w:pPr>
    </w:p>
    <w:p w14:paraId="6CBAEAB4" w14:textId="3A2A9D45" w:rsidR="000F48E3" w:rsidRDefault="009A6242" w:rsidP="00E13B07">
      <w:pPr>
        <w:spacing w:after="120" w:line="360" w:lineRule="auto"/>
        <w:rPr>
          <w:b/>
          <w:bCs/>
        </w:rPr>
      </w:pPr>
      <w:bookmarkStart w:id="18" w:name="OLE_LINK9"/>
      <w:r w:rsidRPr="009A6242">
        <w:rPr>
          <w:rFonts w:hint="eastAsia"/>
          <w:b/>
          <w:bCs/>
        </w:rPr>
        <w:t xml:space="preserve">Type B </w:t>
      </w:r>
      <w:r w:rsidR="00DE5BAE">
        <w:rPr>
          <w:b/>
          <w:bCs/>
        </w:rPr>
        <w:t>—</w:t>
      </w:r>
      <w:r w:rsidRPr="009A6242">
        <w:rPr>
          <w:rFonts w:hint="eastAsia"/>
          <w:b/>
          <w:bCs/>
        </w:rPr>
        <w:t xml:space="preserve"> </w:t>
      </w:r>
      <w:bookmarkEnd w:id="18"/>
      <w:r w:rsidR="00D335F2">
        <w:rPr>
          <w:rFonts w:hint="eastAsia"/>
          <w:b/>
          <w:bCs/>
        </w:rPr>
        <w:t>Change-From-Bas</w:t>
      </w:r>
      <w:r w:rsidR="00FB04A4">
        <w:rPr>
          <w:rFonts w:hint="eastAsia"/>
          <w:b/>
          <w:bCs/>
        </w:rPr>
        <w:t>e</w:t>
      </w:r>
      <w:r w:rsidR="00D335F2">
        <w:rPr>
          <w:rFonts w:hint="eastAsia"/>
          <w:b/>
          <w:bCs/>
        </w:rPr>
        <w:t>line</w:t>
      </w:r>
    </w:p>
    <w:p w14:paraId="298FFA24" w14:textId="77777777" w:rsidR="00E13B07" w:rsidRPr="00E13B07" w:rsidRDefault="00E13B07" w:rsidP="00E13B07">
      <w:pPr>
        <w:spacing w:after="120" w:line="360" w:lineRule="auto"/>
        <w:rPr>
          <w:b/>
          <w:bCs/>
        </w:rPr>
      </w:pPr>
    </w:p>
    <w:p w14:paraId="529A36B4" w14:textId="2DC860F0" w:rsidR="00706A30" w:rsidRPr="00706A30" w:rsidRDefault="00D01F5C" w:rsidP="009A6242">
      <w:pPr>
        <w:spacing w:after="120" w:line="360" w:lineRule="auto"/>
        <w:rPr>
          <w:b/>
          <w:bCs/>
        </w:rP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exp</m:t>
                  </m:r>
                </m:sub>
              </m:sSub>
              <m:r>
                <w:rPr>
                  <w:rFonts w:ascii="Cambria Math" w:hAnsi="Cambria Math"/>
                </w:rPr>
                <m:t>-</m:t>
              </m:r>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4109F72E" w14:textId="7B3B9F6A" w:rsidR="006962D6" w:rsidRPr="008E4DD0" w:rsidRDefault="00000000" w:rsidP="009A6242">
      <w:pPr>
        <w:spacing w:after="120"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23C4E010" w14:textId="77777777" w:rsidR="00C8187A" w:rsidRPr="00C8187A" w:rsidRDefault="00C8187A"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exp</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exp</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 xml:space="preserve"> </m:t>
              </m:r>
            </m:e>
          </m:rad>
        </m:oMath>
      </m:oMathPara>
    </w:p>
    <w:p w14:paraId="7613B770" w14:textId="27813B18" w:rsidR="008074FA" w:rsidRPr="00C8187A" w:rsidRDefault="001619F0" w:rsidP="009A6242">
      <w:pPr>
        <w:spacing w:after="120" w:line="360" w:lineRule="auto"/>
      </w:pPr>
      <m:oMathPara>
        <m:oMath>
          <m:r>
            <w:rPr>
              <w:rFonts w:ascii="Cambria Math" w:hAnsi="Cambria Math"/>
            </w:rPr>
            <m:t xml:space="preserve"> </m:t>
          </m:r>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ctrl</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ctrl</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e>
          </m:rad>
        </m:oMath>
      </m:oMathPara>
    </w:p>
    <w:p w14:paraId="6938675B" w14:textId="77777777" w:rsidR="00C8187A" w:rsidRPr="00C8187A" w:rsidRDefault="00C8187A"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exp</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upper exp</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lower exp</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r>
            <w:rPr>
              <w:rFonts w:ascii="Cambria Math" w:hAnsi="Cambria Math"/>
            </w:rPr>
            <m:t xml:space="preserve"> </m:t>
          </m:r>
        </m:oMath>
      </m:oMathPara>
    </w:p>
    <w:p w14:paraId="329DF962" w14:textId="2793B94C" w:rsidR="00711E55" w:rsidRPr="00E35841" w:rsidRDefault="00E35841"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ctrl</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upper ctrl</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lower ctrl</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128CEA3D" w14:textId="7B180A26" w:rsidR="00E35841" w:rsidRPr="0024335A" w:rsidRDefault="0024335A" w:rsidP="0024335A">
      <w:pPr>
        <w:spacing w:after="120"/>
        <w:rPr>
          <w:sz w:val="20"/>
          <w:szCs w:val="20"/>
        </w:rPr>
      </w:pPr>
      <w:r w:rsidRPr="0024335A">
        <w:rPr>
          <w:i/>
          <w:iCs/>
          <w:sz w:val="20"/>
          <w:szCs w:val="20"/>
        </w:rPr>
        <w:t xml:space="preserve">Note. </w:t>
      </w:r>
      <w:r w:rsidRPr="0024335A">
        <w:rPr>
          <w:sz w:val="20"/>
          <w:szCs w:val="20"/>
        </w:rPr>
        <w:t xml:space="preserve">Symbols are as defined for Type A, with the following additions. </w:t>
      </w:r>
      <w:proofErr w:type="spellStart"/>
      <w:r w:rsidRPr="0024335A">
        <w:rPr>
          <w:sz w:val="20"/>
          <w:szCs w:val="20"/>
        </w:rPr>
        <w:t>Δx</w:t>
      </w:r>
      <w:proofErr w:type="spellEnd"/>
      <w:r w:rsidRPr="0024335A">
        <w:rPr>
          <w:sz w:val="20"/>
          <w:szCs w:val="20"/>
        </w:rPr>
        <w:t xml:space="preserve">̄ₑₓₚ and </w:t>
      </w:r>
      <w:proofErr w:type="spellStart"/>
      <w:r w:rsidRPr="0024335A">
        <w:rPr>
          <w:sz w:val="20"/>
          <w:szCs w:val="20"/>
        </w:rPr>
        <w:t>Δx</w:t>
      </w:r>
      <w:proofErr w:type="spellEnd"/>
      <w:r w:rsidRPr="0024335A">
        <w:rPr>
          <w:sz w:val="20"/>
          <w:szCs w:val="20"/>
        </w:rPr>
        <w:t>̄</w:t>
      </w:r>
      <w:r w:rsidRPr="0024335A">
        <w:rPr>
          <w:rFonts w:ascii="Cambria Math" w:hAnsi="Cambria Math" w:cs="Cambria Math"/>
          <w:sz w:val="20"/>
          <w:szCs w:val="20"/>
        </w:rPr>
        <w:t>𝒸</w:t>
      </w:r>
      <w:r w:rsidRPr="0024335A">
        <w:rPr>
          <w:sz w:val="20"/>
          <w:szCs w:val="20"/>
        </w:rPr>
        <w:t xml:space="preserve">ₜᵣₗ = mean change scores of the two groups. </w:t>
      </w:r>
      <w:proofErr w:type="spellStart"/>
      <w:r w:rsidRPr="0024335A">
        <w:rPr>
          <w:sz w:val="20"/>
          <w:szCs w:val="20"/>
        </w:rPr>
        <w:t>SD_Δexp</w:t>
      </w:r>
      <w:proofErr w:type="spellEnd"/>
      <w:r w:rsidRPr="0024335A">
        <w:rPr>
          <w:sz w:val="20"/>
          <w:szCs w:val="20"/>
        </w:rPr>
        <w:t xml:space="preserve"> and </w:t>
      </w:r>
      <w:proofErr w:type="spellStart"/>
      <w:r w:rsidRPr="0024335A">
        <w:rPr>
          <w:sz w:val="20"/>
          <w:szCs w:val="20"/>
        </w:rPr>
        <w:t>SD_Δctrl</w:t>
      </w:r>
      <w:proofErr w:type="spellEnd"/>
      <w:r w:rsidRPr="0024335A">
        <w:rPr>
          <w:sz w:val="20"/>
          <w:szCs w:val="20"/>
        </w:rPr>
        <w:t xml:space="preserve"> = standard deviations of the change scores. </w:t>
      </w:r>
      <w:proofErr w:type="spellStart"/>
      <w:r w:rsidRPr="0024335A">
        <w:rPr>
          <w:sz w:val="20"/>
          <w:szCs w:val="20"/>
        </w:rPr>
        <w:t>SE_Δexp</w:t>
      </w:r>
      <w:proofErr w:type="spellEnd"/>
      <w:r w:rsidRPr="0024335A">
        <w:rPr>
          <w:sz w:val="20"/>
          <w:szCs w:val="20"/>
        </w:rPr>
        <w:t xml:space="preserve"> and </w:t>
      </w:r>
      <w:proofErr w:type="spellStart"/>
      <w:r w:rsidRPr="0024335A">
        <w:rPr>
          <w:sz w:val="20"/>
          <w:szCs w:val="20"/>
        </w:rPr>
        <w:t>SE_Δctrl</w:t>
      </w:r>
      <w:proofErr w:type="spellEnd"/>
      <w:r w:rsidRPr="0024335A">
        <w:rPr>
          <w:sz w:val="20"/>
          <w:szCs w:val="20"/>
        </w:rPr>
        <w:t xml:space="preserve"> = standard errors of the change scores. </w:t>
      </w:r>
      <w:proofErr w:type="spellStart"/>
      <w:r w:rsidRPr="0024335A">
        <w:rPr>
          <w:sz w:val="20"/>
          <w:szCs w:val="20"/>
        </w:rPr>
        <w:t>CI_upper</w:t>
      </w:r>
      <w:proofErr w:type="spellEnd"/>
      <w:r w:rsidRPr="0024335A">
        <w:rPr>
          <w:sz w:val="20"/>
          <w:szCs w:val="20"/>
        </w:rPr>
        <w:t xml:space="preserve"> and </w:t>
      </w:r>
      <w:proofErr w:type="spellStart"/>
      <w:r w:rsidRPr="0024335A">
        <w:rPr>
          <w:sz w:val="20"/>
          <w:szCs w:val="20"/>
        </w:rPr>
        <w:t>CI_lower</w:t>
      </w:r>
      <w:proofErr w:type="spellEnd"/>
      <w:r w:rsidRPr="0024335A">
        <w:rPr>
          <w:sz w:val="20"/>
          <w:szCs w:val="20"/>
        </w:rPr>
        <w:t xml:space="preserve"> = upper and lower limits of the 95% confidence interval of the change score.</w:t>
      </w:r>
    </w:p>
    <w:p w14:paraId="1BD43925" w14:textId="77777777" w:rsidR="0024335A" w:rsidRPr="0024335A" w:rsidRDefault="0024335A" w:rsidP="0024335A">
      <w:pPr>
        <w:spacing w:after="120"/>
        <w:rPr>
          <w:i/>
          <w:iCs/>
          <w:sz w:val="20"/>
          <w:szCs w:val="20"/>
        </w:rPr>
      </w:pPr>
    </w:p>
    <w:p w14:paraId="519FB593" w14:textId="137C11D2" w:rsidR="007A7CCF" w:rsidRDefault="00290F5C" w:rsidP="00984EEF">
      <w:pPr>
        <w:spacing w:after="120" w:line="360" w:lineRule="auto"/>
      </w:pPr>
      <w:r w:rsidRPr="009A6242">
        <w:rPr>
          <w:rFonts w:hint="eastAsia"/>
          <w:b/>
          <w:bCs/>
        </w:rPr>
        <w:t xml:space="preserve">Type </w:t>
      </w:r>
      <w:r>
        <w:rPr>
          <w:rFonts w:hint="eastAsia"/>
          <w:b/>
          <w:bCs/>
        </w:rPr>
        <w:t>C</w:t>
      </w:r>
      <w:r w:rsidRPr="009A6242">
        <w:rPr>
          <w:rFonts w:hint="eastAsia"/>
          <w:b/>
          <w:bCs/>
        </w:rPr>
        <w:t xml:space="preserve"> </w:t>
      </w:r>
      <w:r w:rsidR="00DE5BAE">
        <w:rPr>
          <w:b/>
          <w:bCs/>
        </w:rPr>
        <w:t>—</w:t>
      </w:r>
      <w:r>
        <w:rPr>
          <w:rFonts w:hint="eastAsia"/>
          <w:b/>
          <w:bCs/>
        </w:rPr>
        <w:t xml:space="preserve"> Reported Between-Group </w:t>
      </w:r>
      <w:r w:rsidRPr="00290F5C">
        <w:rPr>
          <w:rFonts w:hint="eastAsia"/>
          <w:b/>
          <w:bCs/>
          <w:i/>
          <w:iCs/>
        </w:rPr>
        <w:t>d</w:t>
      </w:r>
      <w:r>
        <w:rPr>
          <w:rFonts w:hint="eastAsia"/>
          <w:b/>
          <w:bCs/>
        </w:rPr>
        <w:t xml:space="preserve"> with CI</w:t>
      </w:r>
      <w:r w:rsidR="007803F5">
        <w:tab/>
      </w:r>
    </w:p>
    <w:p w14:paraId="1C5D4B13" w14:textId="77777777" w:rsidR="00E13B07" w:rsidRPr="00E13B07" w:rsidRDefault="00E13B07" w:rsidP="00984EEF">
      <w:pPr>
        <w:spacing w:after="120" w:line="360" w:lineRule="auto"/>
      </w:pPr>
    </w:p>
    <w:p w14:paraId="1D6810C3" w14:textId="442B9ACA" w:rsidR="009A6242" w:rsidRPr="00B72CF8" w:rsidRDefault="00B72CF8" w:rsidP="009A6242">
      <w:pPr>
        <w:spacing w:after="120" w:line="360" w:lineRule="auto"/>
        <w:rPr>
          <w:bCs/>
        </w:rPr>
      </w:pPr>
      <m:oMathPara>
        <m:oMath>
          <m:r>
            <w:rPr>
              <w:rFonts w:ascii="Cambria Math" w:hAnsi="Cambria Math"/>
            </w:rPr>
            <m:t>S</m:t>
          </m:r>
          <m:sSub>
            <m:sSubPr>
              <m:ctrlPr>
                <w:rPr>
                  <w:rFonts w:ascii="Cambria Math" w:hAnsi="Cambria Math"/>
                  <w:bCs/>
                  <w:i/>
                </w:rPr>
              </m:ctrlPr>
            </m:sSubPr>
            <m:e>
              <m:r>
                <w:rPr>
                  <w:rFonts w:ascii="Cambria Math" w:hAnsi="Cambria Math"/>
                </w:rPr>
                <m:t>E</m:t>
              </m:r>
            </m:e>
            <m:sub>
              <m:r>
                <w:rPr>
                  <w:rFonts w:ascii="Cambria Math" w:hAnsi="Cambria Math"/>
                </w:rPr>
                <m:t>SMD</m:t>
              </m:r>
            </m:sub>
          </m:sSub>
          <m:r>
            <w:rPr>
              <w:rFonts w:ascii="Cambria Math" w:hAnsi="Cambria Math"/>
            </w:rPr>
            <m:t>=</m:t>
          </m:r>
          <m:f>
            <m:fPr>
              <m:ctrlPr>
                <w:rPr>
                  <w:rFonts w:ascii="Cambria Math" w:hAnsi="Cambria Math"/>
                  <w:bCs/>
                </w:rPr>
              </m:ctrlPr>
            </m:fPr>
            <m:num>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upper</m:t>
                  </m:r>
                </m:sub>
              </m:sSub>
              <m:r>
                <w:rPr>
                  <w:rFonts w:ascii="Cambria Math" w:hAnsi="Cambria Math"/>
                </w:rPr>
                <m:t>-C</m:t>
              </m:r>
              <m:sSub>
                <m:sSubPr>
                  <m:ctrlPr>
                    <w:rPr>
                      <w:rFonts w:ascii="Cambria Math" w:hAnsi="Cambria Math"/>
                      <w:bCs/>
                      <w:i/>
                    </w:rPr>
                  </m:ctrlPr>
                </m:sSubPr>
                <m:e>
                  <m:r>
                    <w:rPr>
                      <w:rFonts w:ascii="Cambria Math" w:hAnsi="Cambria Math"/>
                    </w:rPr>
                    <m:t>I</m:t>
                  </m:r>
                </m:e>
                <m:sub>
                  <m:r>
                    <w:rPr>
                      <w:rFonts w:ascii="Cambria Math" w:hAnsi="Cambria Math"/>
                    </w:rPr>
                    <m:t>lower</m:t>
                  </m:r>
                </m:sub>
              </m:sSub>
              <m:ctrlPr>
                <w:rPr>
                  <w:rFonts w:ascii="Cambria Math" w:hAnsi="Cambria Math"/>
                  <w:bCs/>
                  <w:i/>
                </w:rPr>
              </m:ctrlPr>
            </m:num>
            <m:den>
              <m:r>
                <w:rPr>
                  <w:rFonts w:ascii="Cambria Math" w:hAnsi="Cambria Math"/>
                </w:rPr>
                <m:t>2</m:t>
              </m:r>
              <m:r>
                <m:rPr>
                  <m:sty m:val="p"/>
                </m:rPr>
                <w:rPr>
                  <w:rFonts w:ascii="Cambria Math" w:hAnsi="Cambria Math" w:hint="eastAsia"/>
                </w:rPr>
                <m:t>×</m:t>
              </m:r>
              <m:r>
                <w:rPr>
                  <w:rFonts w:ascii="Cambria Math" w:hAnsi="Cambria Math"/>
                </w:rPr>
                <m:t>1.96</m:t>
              </m:r>
              <m:ctrlPr>
                <w:rPr>
                  <w:rFonts w:ascii="Cambria Math" w:hAnsi="Cambria Math"/>
                  <w:bCs/>
                  <w:i/>
                </w:rPr>
              </m:ctrlPr>
            </m:den>
          </m:f>
        </m:oMath>
      </m:oMathPara>
    </w:p>
    <w:p w14:paraId="7AB546FE" w14:textId="1D4EB1D5" w:rsidR="00B72CF8" w:rsidRPr="0059449A" w:rsidRDefault="00000000" w:rsidP="0059449A">
      <w:pPr>
        <w:spacing w:after="120" w:line="360" w:lineRule="auto"/>
      </w:pPr>
      <m:oMathPara>
        <m:oMath>
          <m:sSub>
            <m:sSubPr>
              <m:ctrlPr>
                <w:rPr>
                  <w:rFonts w:ascii="Cambria Math" w:hAnsi="Cambria Math"/>
                  <w:i/>
                </w:rPr>
              </m:ctrlPr>
            </m:sSubPr>
            <m:e>
              <m:r>
                <w:rPr>
                  <w:rFonts w:ascii="Cambria Math" w:hAnsi="Cambria Math"/>
                </w:rPr>
                <m:t>V</m:t>
              </m:r>
            </m:e>
            <m:sub>
              <m:r>
                <w:rPr>
                  <w:rFonts w:ascii="Cambria Math" w:hAnsi="Cambria Math"/>
                </w:rPr>
                <m:t>SMD</m:t>
              </m:r>
            </m:sub>
          </m:sSub>
          <m:r>
            <w:rPr>
              <w:rFonts w:ascii="Cambria Math" w:hAnsi="Cambria Math"/>
            </w:rPr>
            <m:t>=S</m:t>
          </m:r>
          <m:sSubSup>
            <m:sSubSupPr>
              <m:ctrlPr>
                <w:rPr>
                  <w:rFonts w:ascii="Cambria Math" w:hAnsi="Cambria Math"/>
                  <w:i/>
                </w:rPr>
              </m:ctrlPr>
            </m:sSubSupPr>
            <m:e>
              <m:r>
                <w:rPr>
                  <w:rFonts w:ascii="Cambria Math" w:hAnsi="Cambria Math"/>
                </w:rPr>
                <m:t>E</m:t>
              </m:r>
            </m:e>
            <m:sub>
              <m:r>
                <w:rPr>
                  <w:rFonts w:ascii="Cambria Math" w:hAnsi="Cambria Math"/>
                </w:rPr>
                <m:t>SMD</m:t>
              </m:r>
            </m:sub>
            <m:sup>
              <m:r>
                <w:rPr>
                  <w:rFonts w:ascii="Cambria Math" w:hAnsi="Cambria Math"/>
                </w:rPr>
                <m:t>2</m:t>
              </m:r>
            </m:sup>
          </m:sSubSup>
        </m:oMath>
      </m:oMathPara>
      <w:bookmarkStart w:id="19" w:name="OLE_LINK81"/>
    </w:p>
    <w:p w14:paraId="06CDE5DC" w14:textId="57DE0010" w:rsidR="000C2CFF" w:rsidRPr="004C5D59" w:rsidRDefault="000C2CFF" w:rsidP="000C2CFF">
      <w:pPr>
        <w:spacing w:after="120"/>
        <w:rPr>
          <w:sz w:val="16"/>
          <w:szCs w:val="16"/>
        </w:rPr>
      </w:pPr>
      <w:r w:rsidRPr="004C5D59">
        <w:rPr>
          <w:i/>
          <w:iCs/>
          <w:sz w:val="16"/>
          <w:szCs w:val="16"/>
        </w:rPr>
        <w:t>Note</w:t>
      </w:r>
      <w:r w:rsidRPr="004C5D59">
        <w:rPr>
          <w:sz w:val="16"/>
          <w:szCs w:val="16"/>
        </w:rPr>
        <w:t>.</w:t>
      </w:r>
      <w:r w:rsidR="00DE5BAE" w:rsidRPr="004C5D59">
        <w:rPr>
          <w:sz w:val="16"/>
          <w:szCs w:val="16"/>
        </w:rPr>
        <w:t xml:space="preserve"> The reported between-group </w:t>
      </w:r>
      <w:r w:rsidR="00DE5BAE" w:rsidRPr="004C5D59">
        <w:rPr>
          <w:i/>
          <w:iCs/>
          <w:sz w:val="16"/>
          <w:szCs w:val="16"/>
        </w:rPr>
        <w:t>d</w:t>
      </w:r>
      <w:r w:rsidR="00DE5BAE" w:rsidRPr="004C5D59">
        <w:rPr>
          <w:sz w:val="16"/>
          <w:szCs w:val="16"/>
        </w:rPr>
        <w:t xml:space="preserve"> was used directly as the effect size. Because the contributing study had a large sample, the difference between the uncorrected </w:t>
      </w:r>
      <w:r w:rsidR="00DE5BAE" w:rsidRPr="004C5D59">
        <w:rPr>
          <w:i/>
          <w:iCs/>
          <w:sz w:val="16"/>
          <w:szCs w:val="16"/>
        </w:rPr>
        <w:t>d</w:t>
      </w:r>
      <w:r w:rsidR="00DE5BAE" w:rsidRPr="004C5D59">
        <w:rPr>
          <w:sz w:val="16"/>
          <w:szCs w:val="16"/>
        </w:rPr>
        <w:t xml:space="preserve"> and Hedges' </w:t>
      </w:r>
      <w:r w:rsidR="00DE5BAE" w:rsidRPr="004C5D59">
        <w:rPr>
          <w:i/>
          <w:iCs/>
          <w:sz w:val="16"/>
          <w:szCs w:val="16"/>
        </w:rPr>
        <w:t>g</w:t>
      </w:r>
      <w:r w:rsidR="00DE5BAE" w:rsidRPr="004C5D59">
        <w:rPr>
          <w:sz w:val="16"/>
          <w:szCs w:val="16"/>
        </w:rPr>
        <w:t xml:space="preserve"> is negligible, so no further correction was applied.</w:t>
      </w:r>
      <w:r w:rsidRPr="004C5D59">
        <w:rPr>
          <w:sz w:val="16"/>
          <w:szCs w:val="16"/>
        </w:rPr>
        <w:t xml:space="preserve"> </w:t>
      </w:r>
      <m:oMath>
        <m:r>
          <w:rPr>
            <w:rFonts w:ascii="Cambria Math" w:hAnsi="Cambria Math"/>
            <w:sz w:val="16"/>
            <w:szCs w:val="16"/>
          </w:rPr>
          <m:t>S</m:t>
        </m:r>
        <m:sSub>
          <m:sSubPr>
            <m:ctrlPr>
              <w:rPr>
                <w:rFonts w:ascii="Cambria Math" w:hAnsi="Cambria Math"/>
                <w:i/>
                <w:sz w:val="16"/>
                <w:szCs w:val="16"/>
              </w:rPr>
            </m:ctrlPr>
          </m:sSubPr>
          <m:e>
            <m:r>
              <w:rPr>
                <w:rFonts w:ascii="Cambria Math" w:hAnsi="Cambria Math"/>
                <w:sz w:val="16"/>
                <w:szCs w:val="16"/>
              </w:rPr>
              <m:t>E</m:t>
            </m:r>
          </m:e>
          <m:sub>
            <m:r>
              <w:rPr>
                <w:rFonts w:ascii="Cambria Math" w:hAnsi="Cambria Math"/>
                <w:sz w:val="16"/>
                <w:szCs w:val="16"/>
              </w:rPr>
              <m:t>SMD</m:t>
            </m:r>
          </m:sub>
        </m:sSub>
      </m:oMath>
      <w:r w:rsidRPr="004C5D59">
        <w:rPr>
          <w:sz w:val="16"/>
          <w:szCs w:val="16"/>
        </w:rPr>
        <w:t xml:space="preserve"> and </w:t>
      </w:r>
      <m:oMath>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SMD</m:t>
            </m:r>
          </m:sub>
        </m:sSub>
      </m:oMath>
      <w:r w:rsidRPr="004C5D59">
        <w:rPr>
          <w:sz w:val="16"/>
          <w:szCs w:val="16"/>
        </w:rPr>
        <w:t xml:space="preserve"> denote the standard error and sampling variance of the reported standardized effect size.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upper</m:t>
            </m:r>
          </m:sub>
        </m:sSub>
      </m:oMath>
      <w:r w:rsidRPr="004C5D59">
        <w:rPr>
          <w:sz w:val="16"/>
          <w:szCs w:val="16"/>
        </w:rPr>
        <w:t xml:space="preserve">​ and </w:t>
      </w:r>
      <m:oMath>
        <m:r>
          <w:rPr>
            <w:rFonts w:ascii="Cambria Math" w:hAnsi="Cambria Math"/>
            <w:sz w:val="16"/>
            <w:szCs w:val="16"/>
          </w:rPr>
          <m:t>C</m:t>
        </m:r>
        <m:sSub>
          <m:sSubPr>
            <m:ctrlPr>
              <w:rPr>
                <w:rFonts w:ascii="Cambria Math" w:hAnsi="Cambria Math"/>
                <w:i/>
                <w:sz w:val="16"/>
                <w:szCs w:val="16"/>
              </w:rPr>
            </m:ctrlPr>
          </m:sSubPr>
          <m:e>
            <m:r>
              <w:rPr>
                <w:rFonts w:ascii="Cambria Math" w:hAnsi="Cambria Math"/>
                <w:sz w:val="16"/>
                <w:szCs w:val="16"/>
              </w:rPr>
              <m:t>I</m:t>
            </m:r>
          </m:e>
          <m:sub>
            <m:r>
              <w:rPr>
                <w:rFonts w:ascii="Cambria Math" w:hAnsi="Cambria Math"/>
                <w:sz w:val="16"/>
                <w:szCs w:val="16"/>
              </w:rPr>
              <m:t>lower</m:t>
            </m:r>
          </m:sub>
        </m:sSub>
      </m:oMath>
      <w:r w:rsidRPr="004C5D59">
        <w:rPr>
          <w:sz w:val="16"/>
          <w:szCs w:val="16"/>
        </w:rPr>
        <w:t xml:space="preserve">are the upper and lower limits of the reported 95% confidence interval. The standard error was derived from the confidence interval width assuming a </w:t>
      </w:r>
      <w:proofErr w:type="gramStart"/>
      <w:r w:rsidRPr="004C5D59">
        <w:rPr>
          <w:sz w:val="16"/>
          <w:szCs w:val="16"/>
        </w:rPr>
        <w:t>normal-based</w:t>
      </w:r>
      <w:proofErr w:type="gramEnd"/>
      <w:r w:rsidRPr="004C5D59">
        <w:rPr>
          <w:sz w:val="16"/>
          <w:szCs w:val="16"/>
        </w:rPr>
        <w:t xml:space="preserve"> 95% confidence interval.</w:t>
      </w:r>
    </w:p>
    <w:bookmarkEnd w:id="19"/>
    <w:p w14:paraId="6705161E" w14:textId="77777777" w:rsidR="007A7CCF" w:rsidRPr="000C2CFF" w:rsidRDefault="007A7CCF" w:rsidP="009A6242">
      <w:pPr>
        <w:spacing w:after="120" w:line="360" w:lineRule="auto"/>
        <w:rPr>
          <w:b/>
          <w:bCs/>
        </w:rPr>
      </w:pPr>
    </w:p>
    <w:bookmarkEnd w:id="17"/>
    <w:p w14:paraId="0C8749AA" w14:textId="2FE4C4FE" w:rsidR="000C3784" w:rsidRDefault="00D450DC">
      <w:pPr>
        <w:pStyle w:val="3"/>
        <w:rPr>
          <w:rFonts w:eastAsiaTheme="minorEastAsia"/>
        </w:rPr>
      </w:pPr>
      <w:r>
        <w:t>3.</w:t>
      </w:r>
      <w:r w:rsidR="00CB4E77">
        <w:rPr>
          <w:rFonts w:eastAsiaTheme="minorEastAsia" w:hint="eastAsia"/>
        </w:rPr>
        <w:t>7</w:t>
      </w:r>
      <w:r>
        <w:t>.2. Pooling and Heterogeneity</w:t>
      </w:r>
    </w:p>
    <w:p w14:paraId="14068A6C" w14:textId="0CA2F4FF" w:rsidR="000C0538" w:rsidRPr="000C0538" w:rsidRDefault="000C0538" w:rsidP="000C0538">
      <w:pPr>
        <w:ind w:firstLine="360"/>
        <w:rPr>
          <w:b/>
          <w:bCs/>
        </w:rPr>
      </w:pPr>
      <w:r w:rsidRPr="000C0538">
        <w:rPr>
          <w:rFonts w:hint="eastAsia"/>
          <w:b/>
          <w:bCs/>
        </w:rPr>
        <w:t xml:space="preserve">Pooled </w:t>
      </w:r>
      <w:r w:rsidRPr="000C0538">
        <w:rPr>
          <w:b/>
          <w:bCs/>
        </w:rPr>
        <w:t>effect</w:t>
      </w:r>
      <w:r w:rsidRPr="000C0538">
        <w:rPr>
          <w:rFonts w:hint="eastAsia"/>
          <w:b/>
          <w:bCs/>
        </w:rPr>
        <w:t xml:space="preserve"> size</w:t>
      </w:r>
    </w:p>
    <w:p w14:paraId="502B4E2C" w14:textId="77777777" w:rsidR="000C0538" w:rsidRPr="000C0538" w:rsidRDefault="000C0538" w:rsidP="000C0538"/>
    <w:p w14:paraId="6FE368A8" w14:textId="22E64531" w:rsidR="00BE2F96" w:rsidRDefault="00092C7B" w:rsidP="00BE2F96">
      <w:pPr>
        <w:spacing w:after="120" w:line="360" w:lineRule="auto"/>
        <w:ind w:firstLine="360"/>
        <w:jc w:val="both"/>
      </w:pPr>
      <w:r w:rsidRPr="00092C7B">
        <w:t xml:space="preserve">Because the included trials varied in population characteristics, intervention composition, and dosage, between-study variance was assumed a priori to be non-zero, and all pooled estimates were computed using a random-effects model. </w:t>
      </w:r>
    </w:p>
    <w:p w14:paraId="3C32B9E9" w14:textId="4D3BC77E" w:rsidR="00B423C5" w:rsidRPr="00B423C5" w:rsidRDefault="00B423C5" w:rsidP="005F08E8">
      <w:pPr>
        <w:spacing w:after="120" w:line="360" w:lineRule="auto"/>
        <w:ind w:firstLine="360"/>
        <w:jc w:val="both"/>
      </w:pPr>
      <w:r w:rsidRPr="00B423C5">
        <w:t xml:space="preserve">In a random-effects model, the observed effect size of study </w:t>
      </w:r>
      <w:proofErr w:type="spellStart"/>
      <w:r w:rsidRPr="00B423C5">
        <w:rPr>
          <w:i/>
          <w:iCs/>
        </w:rPr>
        <w:t>i</w:t>
      </w:r>
      <w:proofErr w:type="spellEnd"/>
      <w:r w:rsidRPr="00B423C5">
        <w:t>, denoted as</w:t>
      </w:r>
      <w:r>
        <w:rPr>
          <w:rFonts w:hint="eastAsia"/>
        </w:rP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oMath>
      <w:r w:rsidRPr="00B423C5">
        <w:t xml:space="preserve">, is assumed to estimate a study-specific true effect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oMath>
      <w:r w:rsidRPr="00B423C5">
        <w:t xml:space="preserve"> with sampling error:</w:t>
      </w:r>
    </w:p>
    <w:bookmarkStart w:id="20" w:name="OLE_LINK76"/>
    <w:p w14:paraId="6D2D731F" w14:textId="640CA2ED" w:rsidR="00B423C5" w:rsidRPr="00B423C5" w:rsidRDefault="00000000" w:rsidP="00B423C5">
      <w:pPr>
        <w:spacing w:after="120" w:line="360" w:lineRule="auto"/>
        <w:ind w:firstLine="360"/>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θ</m:t>
                  </m:r>
                </m:e>
              </m:acc>
            </m:e>
            <m:sub>
              <m:r>
                <m:rPr>
                  <m:sty m:val="p"/>
                </m:rP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θ</m:t>
              </m:r>
              <m:ctrlPr>
                <w:rPr>
                  <w:rFonts w:ascii="Cambria Math" w:hAnsi="Cambria Math"/>
                  <w:i/>
                </w:rPr>
              </m:ctrlPr>
            </m:e>
            <m:sub>
              <m:r>
                <m:rPr>
                  <m:sty m:val="p"/>
                </m:rP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bookmarkEnd w:id="20"/>
    <w:p w14:paraId="370F3581" w14:textId="77777777" w:rsidR="00010C8C" w:rsidRDefault="00010C8C" w:rsidP="00952B59">
      <w:pPr>
        <w:spacing w:after="120" w:line="360" w:lineRule="auto"/>
        <w:ind w:firstLine="360"/>
        <w:jc w:val="both"/>
      </w:pPr>
      <w:r w:rsidRPr="00010C8C">
        <w:t>Because the random-effects model allows true effects to differ across studies, each study-specific true effect is modeled as a deviation from the overall mean true effect:</w:t>
      </w:r>
    </w:p>
    <w:p w14:paraId="415D9A39" w14:textId="0E4CE58E" w:rsidR="006F456E" w:rsidRPr="00AE1CE8" w:rsidRDefault="00000000" w:rsidP="00952B59">
      <w:pPr>
        <w:spacing w:after="120" w:line="360" w:lineRule="auto"/>
        <w:ind w:firstLine="360"/>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w:bookmarkStart w:id="21" w:name="OLE_LINK79"/>
          <m:r>
            <m:rPr>
              <m:sty m:val="p"/>
            </m:rPr>
            <w:rPr>
              <w:rFonts w:ascii="Cambria Math" w:hAnsi="Cambria Math"/>
            </w:rPr>
            <m:t>θ</m:t>
          </m:r>
          <m:r>
            <w:rPr>
              <w:rFonts w:ascii="Cambria Math" w:hAnsi="Cambria Math"/>
            </w:rPr>
            <m:t>+</m:t>
          </m:r>
          <w:bookmarkStart w:id="22" w:name="OLE_LINK69"/>
          <m:sSub>
            <m:sSubPr>
              <m:ctrlPr>
                <w:rPr>
                  <w:rFonts w:ascii="Cambria Math" w:hAnsi="Cambria Math"/>
                  <w:i/>
                </w:rPr>
              </m:ctrlPr>
            </m:sSubPr>
            <m:e>
              <m:r>
                <w:rPr>
                  <w:rFonts w:ascii="Cambria Math" w:hAnsi="Cambria Math"/>
                </w:rPr>
                <m:t>u</m:t>
              </m:r>
            </m:e>
            <m:sub>
              <m:r>
                <w:rPr>
                  <w:rFonts w:ascii="Cambria Math" w:hAnsi="Cambria Math"/>
                </w:rPr>
                <m:t>i</m:t>
              </m:r>
            </m:sub>
          </m:sSub>
        </m:oMath>
      </m:oMathPara>
      <w:bookmarkEnd w:id="21"/>
      <w:bookmarkEnd w:id="22"/>
    </w:p>
    <w:p w14:paraId="61BB8D4E" w14:textId="07F15E1D" w:rsidR="00AE1CE8" w:rsidRPr="00010C8C" w:rsidRDefault="00010C8C" w:rsidP="00010C8C">
      <w:pPr>
        <w:spacing w:after="120" w:line="360" w:lineRule="auto"/>
        <w:ind w:firstLine="360"/>
        <w:jc w:val="both"/>
      </w:pPr>
      <w:r w:rsidRPr="00010C8C">
        <w:t xml:space="preserve">where </w:t>
      </w:r>
      <m:oMath>
        <m:r>
          <m:rPr>
            <m:sty m:val="p"/>
          </m:rPr>
          <w:rPr>
            <w:rFonts w:ascii="Cambria Math" w:hAnsi="Cambria Math"/>
          </w:rPr>
          <m:t>θ</m:t>
        </m:r>
      </m:oMath>
      <w:r w:rsidRPr="00010C8C">
        <w:t xml:space="preserve"> represents the overall mean true effect,</w:t>
      </w:r>
      <w:r>
        <w:rPr>
          <w:rFonts w:hint="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010C8C">
        <w:t xml:space="preserve"> represents the study-specific deviation from this mean,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010C8C">
        <w:t xml:space="preserve"> represents within-study sampling error. Equivalently, the random-effects model can be written as:</w:t>
      </w:r>
    </w:p>
    <w:p w14:paraId="0A17FC2E" w14:textId="7B231965" w:rsidR="00AE1CE8" w:rsidRPr="00952B59" w:rsidRDefault="00000000" w:rsidP="00010C8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r>
            <m:rPr>
              <m:sty m:val="p"/>
            </m:rPr>
            <w:rPr>
              <w:rFonts w:ascii="Cambria Math" w:hAnsi="Cambria Math"/>
            </w:rPr>
            <m:t>θ</m:t>
          </m:r>
          <w:bookmarkStart w:id="23" w:name="OLE_LINK82"/>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w:bookmarkEnd w:id="23"/>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51740B48" w14:textId="32E5D551" w:rsidR="002B48EF" w:rsidRDefault="002B48EF" w:rsidP="002B48EF">
      <w:pPr>
        <w:spacing w:after="120" w:line="360" w:lineRule="auto"/>
        <w:ind w:firstLine="360"/>
        <w:jc w:val="both"/>
      </w:pPr>
      <w:r w:rsidRPr="002B48EF">
        <w:t xml:space="preserve">The study-specific deviations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B48EF">
        <w:t xml:space="preserve"> were treated as random effects rather than as separate fixed parameters. These deviations were assumed to follow a normal distribution with mean zero and between-study variance </w:t>
      </w:r>
      <w:r w:rsidRPr="00092C7B">
        <w:rPr>
          <w:i/>
          <w:iCs/>
        </w:rPr>
        <w:t>τ</w:t>
      </w:r>
      <w:r w:rsidRPr="00092C7B">
        <w:t>²</w:t>
      </w:r>
      <w:r w:rsidRPr="002B48EF">
        <w:t>:</w:t>
      </w:r>
    </w:p>
    <w:p w14:paraId="75E189C3" w14:textId="4215EAA0" w:rsidR="002B48EF" w:rsidRPr="002B48EF" w:rsidRDefault="00000000" w:rsidP="00E13B07">
      <w:pPr>
        <w:spacing w:after="120" w:line="360" w:lineRule="auto"/>
        <w:ind w:firstLine="360"/>
        <w:jc w:val="both"/>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264D402E" w14:textId="634909BB" w:rsidR="002B48EF" w:rsidRDefault="002B48EF" w:rsidP="002B48EF">
      <w:pPr>
        <w:spacing w:after="120" w:line="360" w:lineRule="auto"/>
        <w:ind w:firstLine="360"/>
        <w:jc w:val="both"/>
      </w:pPr>
      <w:r w:rsidRPr="002B48EF">
        <w:t xml:space="preserve">Thus, </w:t>
      </w:r>
      <w:r w:rsidRPr="002B48EF">
        <w:rPr>
          <w:i/>
          <w:iCs/>
        </w:rPr>
        <w:t>τ</w:t>
      </w:r>
      <w:r w:rsidRPr="002B48EF">
        <w:t>² quantifies the extent to which the study-specific true effects vary around the overall mean true effect.</w:t>
      </w:r>
      <w:r w:rsidR="000C0538">
        <w:rPr>
          <w:rFonts w:hint="eastAsia"/>
        </w:rPr>
        <w:t xml:space="preserve"> The pooled true effect estimate can be written as:</w:t>
      </w:r>
    </w:p>
    <w:p w14:paraId="7AE8183E" w14:textId="77777777" w:rsidR="00C207CF" w:rsidRDefault="00C207CF" w:rsidP="002B48EF">
      <w:pPr>
        <w:spacing w:after="120" w:line="360" w:lineRule="auto"/>
        <w:ind w:firstLine="360"/>
        <w:jc w:val="both"/>
      </w:pPr>
    </w:p>
    <w:p w14:paraId="7FE35156" w14:textId="5E6C2377" w:rsidR="00C207CF" w:rsidRPr="00C207CF" w:rsidRDefault="00000000" w:rsidP="00C207CF">
      <w:pPr>
        <w:spacing w:after="120" w:line="360" w:lineRule="auto"/>
        <w:ind w:firstLine="360"/>
        <w:jc w:val="both"/>
        <w:rPr>
          <w:i/>
        </w:rPr>
      </w:pPr>
      <m:oMathPara>
        <m:oMath>
          <m:acc>
            <m:accPr>
              <m:ctrlPr>
                <w:rPr>
                  <w:rFonts w:ascii="Cambria Math" w:hAnsi="Cambria Math"/>
                </w:rPr>
              </m:ctrlPr>
            </m:accPr>
            <m:e>
              <m:r>
                <m:rPr>
                  <m:sty m:val="p"/>
                </m:rPr>
                <w:rPr>
                  <w:rFonts w:ascii="Cambria Math" w:hAnsi="Cambria Math"/>
                </w:rPr>
                <m:t>θ</m:t>
              </m:r>
            </m:e>
          </m:acc>
          <m:r>
            <w:rPr>
              <w:rFonts w:ascii="Cambria Math" w:hAnsi="Cambria Math"/>
            </w:rPr>
            <m:t>=</m:t>
          </m:r>
          <w:bookmarkStart w:id="24" w:name="OLE_LINK98"/>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w:bookmarkStart w:id="25" w:name="OLE_LINK89"/>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w:bookmarkEnd w:id="25"/>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ctrlPr>
                    <w:rPr>
                      <w:rFonts w:ascii="Cambria Math" w:hAnsi="Cambria Math"/>
                      <w:i/>
                    </w:rPr>
                  </m:ctrlPr>
                </m:e>
              </m:nary>
              <m:ctrlPr>
                <w:rPr>
                  <w:rFonts w:ascii="Cambria Math" w:hAnsi="Cambria Math"/>
                  <w:i/>
                </w:rPr>
              </m:ctrlPr>
            </m:den>
          </m:f>
          <w:bookmarkEnd w:id="24"/>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RE</m:t>
              </m:r>
            </m:sup>
          </m:sSub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ctrlPr>
                <w:rPr>
                  <w:rFonts w:ascii="Cambria Math" w:hAnsi="Cambria Math"/>
                  <w:i/>
                </w:rPr>
              </m:ctrlPr>
            </m:den>
          </m:f>
        </m:oMath>
      </m:oMathPara>
    </w:p>
    <w:p w14:paraId="4738AB3E" w14:textId="632887ED" w:rsidR="000C0538" w:rsidRPr="00C207CF" w:rsidRDefault="000C0538" w:rsidP="000C0538">
      <w:pPr>
        <w:spacing w:after="120"/>
        <w:jc w:val="both"/>
        <w:rPr>
          <w:sz w:val="16"/>
          <w:szCs w:val="16"/>
        </w:rPr>
      </w:pPr>
      <w:r w:rsidRPr="00C207CF">
        <w:rPr>
          <w:i/>
          <w:iCs/>
          <w:sz w:val="16"/>
          <w:szCs w:val="16"/>
        </w:rPr>
        <w:lastRenderedPageBreak/>
        <w:t>Note.</w:t>
      </w:r>
      <w:r w:rsidRPr="00C207CF">
        <w:rPr>
          <w:sz w:val="16"/>
          <w:szCs w:val="16"/>
        </w:rPr>
        <w:t xml:space="preserve"> </w:t>
      </w:r>
      <m:oMath>
        <m:sSubSup>
          <m:sSubSupPr>
            <m:ctrlPr>
              <w:rPr>
                <w:rFonts w:ascii="Cambria Math" w:hAnsi="Cambria Math"/>
                <w:i/>
                <w:sz w:val="16"/>
                <w:szCs w:val="16"/>
              </w:rPr>
            </m:ctrlPr>
          </m:sSubSupPr>
          <m:e>
            <m:r>
              <w:rPr>
                <w:rFonts w:ascii="Cambria Math" w:hAnsi="Cambria Math"/>
                <w:sz w:val="16"/>
                <w:szCs w:val="16"/>
              </w:rPr>
              <m:t>w</m:t>
            </m:r>
          </m:e>
          <m:sub>
            <m:r>
              <w:rPr>
                <w:rFonts w:ascii="Cambria Math" w:hAnsi="Cambria Math"/>
                <w:sz w:val="16"/>
                <w:szCs w:val="16"/>
              </w:rPr>
              <m:t>i</m:t>
            </m:r>
          </m:sub>
          <m:sup>
            <m:r>
              <w:rPr>
                <w:rFonts w:ascii="Cambria Math" w:hAnsi="Cambria Math"/>
                <w:sz w:val="16"/>
                <w:szCs w:val="16"/>
              </w:rPr>
              <m:t>RE</m:t>
            </m:r>
          </m:sup>
        </m:sSubSup>
      </m:oMath>
      <w:r w:rsidRPr="00C207CF">
        <w:rPr>
          <w:sz w:val="16"/>
          <w:szCs w:val="16"/>
        </w:rPr>
        <w:t xml:space="preserve"> = weight assigned to study</w:t>
      </w:r>
      <w:r w:rsidR="004B7C40" w:rsidRPr="00C207CF">
        <w:rPr>
          <w:rFonts w:hint="eastAsia"/>
          <w:sz w:val="16"/>
          <w:szCs w:val="16"/>
        </w:rPr>
        <w:t xml:space="preserve"> </w:t>
      </w:r>
      <w:proofErr w:type="spellStart"/>
      <w:r w:rsidR="004B7C40" w:rsidRPr="00C207CF">
        <w:rPr>
          <w:rFonts w:hint="eastAsia"/>
          <w:i/>
          <w:iCs/>
          <w:sz w:val="16"/>
          <w:szCs w:val="16"/>
        </w:rPr>
        <w:t>i</w:t>
      </w:r>
      <w:proofErr w:type="spellEnd"/>
      <w:r w:rsidR="004B7C40" w:rsidRPr="00C207CF">
        <w:rPr>
          <w:rFonts w:hint="eastAsia"/>
          <w:sz w:val="16"/>
          <w:szCs w:val="16"/>
        </w:rPr>
        <w:t xml:space="preserve"> in random effect model.</w:t>
      </w:r>
      <w:r w:rsidRPr="00C207CF">
        <w:rPr>
          <w:sz w:val="16"/>
          <w:szCs w:val="16"/>
        </w:rPr>
        <w:t xml:space="preserve"> </w:t>
      </w:r>
      <w:r w:rsidRPr="00C207CF">
        <w:rPr>
          <w:i/>
          <w:iCs/>
          <w:sz w:val="16"/>
          <w:szCs w:val="16"/>
        </w:rPr>
        <w:t>yᵢ</w:t>
      </w:r>
      <w:r w:rsidRPr="00C207CF">
        <w:rPr>
          <w:sz w:val="16"/>
          <w:szCs w:val="16"/>
        </w:rPr>
        <w:t xml:space="preserve"> = Hedges' </w:t>
      </w:r>
      <w:r w:rsidRPr="00C207CF">
        <w:rPr>
          <w:i/>
          <w:iCs/>
          <w:sz w:val="16"/>
          <w:szCs w:val="16"/>
        </w:rPr>
        <w:t>g</w:t>
      </w:r>
      <w:r w:rsidRPr="00C207CF">
        <w:rPr>
          <w:sz w:val="16"/>
          <w:szCs w:val="16"/>
        </w:rPr>
        <w:t xml:space="preserve"> of study </w:t>
      </w:r>
      <w:proofErr w:type="spellStart"/>
      <w:r w:rsidRPr="00C207CF">
        <w:rPr>
          <w:i/>
          <w:iCs/>
          <w:sz w:val="16"/>
          <w:szCs w:val="16"/>
        </w:rPr>
        <w:t>i</w:t>
      </w:r>
      <w:proofErr w:type="spellEnd"/>
      <w:r w:rsidRPr="00C207CF">
        <w:rPr>
          <w:sz w:val="16"/>
          <w:szCs w:val="16"/>
        </w:rPr>
        <w:t xml:space="preserve">. </w:t>
      </w:r>
      <w:r w:rsidRPr="00C207CF">
        <w:rPr>
          <w:i/>
          <w:iCs/>
          <w:sz w:val="16"/>
          <w:szCs w:val="16"/>
        </w:rPr>
        <w:t>vᵢ</w:t>
      </w:r>
      <w:r w:rsidRPr="00C207CF">
        <w:rPr>
          <w:sz w:val="16"/>
          <w:szCs w:val="16"/>
        </w:rPr>
        <w:t xml:space="preserve"> = within-study sampling variance of study </w:t>
      </w:r>
      <w:proofErr w:type="spellStart"/>
      <w:r w:rsidRPr="00C207CF">
        <w:rPr>
          <w:i/>
          <w:iCs/>
          <w:sz w:val="16"/>
          <w:szCs w:val="16"/>
        </w:rPr>
        <w:t>i</w:t>
      </w:r>
      <w:proofErr w:type="spellEnd"/>
      <w:r w:rsidRPr="00C207CF">
        <w:rPr>
          <w:sz w:val="16"/>
          <w:szCs w:val="16"/>
        </w:rPr>
        <w:t xml:space="preserve">. </w:t>
      </w:r>
      <w:r w:rsidRPr="00C207CF">
        <w:rPr>
          <w:i/>
          <w:iCs/>
          <w:sz w:val="16"/>
          <w:szCs w:val="16"/>
        </w:rPr>
        <w:t>τ</w:t>
      </w:r>
      <w:r w:rsidRPr="00C207CF">
        <w:rPr>
          <w:sz w:val="16"/>
          <w:szCs w:val="16"/>
        </w:rPr>
        <w:t xml:space="preserve">² = between-study variance. </w:t>
      </w:r>
      <w:r w:rsidRPr="00C207CF">
        <w:rPr>
          <w:i/>
          <w:iCs/>
          <w:sz w:val="16"/>
          <w:szCs w:val="16"/>
        </w:rPr>
        <w:t>k</w:t>
      </w:r>
      <w:r w:rsidRPr="00C207CF">
        <w:rPr>
          <w:sz w:val="16"/>
          <w:szCs w:val="16"/>
        </w:rPr>
        <w:t xml:space="preserve"> = number of studies.</w:t>
      </w:r>
    </w:p>
    <w:p w14:paraId="24258E8E" w14:textId="77777777" w:rsidR="000C0538" w:rsidRDefault="000C0538" w:rsidP="000C0538">
      <w:pPr>
        <w:spacing w:after="120" w:line="360" w:lineRule="auto"/>
        <w:jc w:val="both"/>
      </w:pPr>
    </w:p>
    <w:p w14:paraId="54D7A5D4" w14:textId="04073915" w:rsidR="00241FE4" w:rsidRDefault="00092C7B">
      <w:pPr>
        <w:spacing w:after="120" w:line="360" w:lineRule="auto"/>
        <w:ind w:firstLine="360"/>
        <w:jc w:val="both"/>
      </w:pPr>
      <w:r w:rsidRPr="00092C7B">
        <w:t xml:space="preserve">Between-study variance </w:t>
      </w:r>
      <w:bookmarkStart w:id="26" w:name="OLE_LINK83"/>
      <w:r w:rsidRPr="00092C7B">
        <w:rPr>
          <w:i/>
          <w:iCs/>
        </w:rPr>
        <w:t>τ</w:t>
      </w:r>
      <w:r w:rsidRPr="00092C7B">
        <w:t>²</w:t>
      </w:r>
      <w:bookmarkEnd w:id="26"/>
      <w:r w:rsidRPr="00092C7B">
        <w:t xml:space="preserve"> was estimated with the restricted maximum-likelihood (REML) estimator</w:t>
      </w:r>
      <w:r w:rsidR="003C65B9">
        <w:rPr>
          <w:rFonts w:hint="eastAsia"/>
        </w:rPr>
        <w:t xml:space="preserve"> (</w:t>
      </w:r>
      <w:proofErr w:type="spellStart"/>
      <w:r w:rsidR="003C65B9" w:rsidRPr="003C65B9">
        <w:t>Viechtbauer</w:t>
      </w:r>
      <w:proofErr w:type="spellEnd"/>
      <w:r w:rsidR="003C65B9">
        <w:rPr>
          <w:rFonts w:hint="eastAsia"/>
        </w:rPr>
        <w:t>, 2005)</w:t>
      </w:r>
      <w:r w:rsidRPr="00092C7B">
        <w:t>. Because the number of included studies was small, the confidence interval of each pooled estimate was calculated with the Hartung-Knapp adjustment, which reduces the risk of false-positive findings when few studies are available (</w:t>
      </w:r>
      <w:proofErr w:type="spellStart"/>
      <w:r w:rsidRPr="00092C7B">
        <w:t>IntHout</w:t>
      </w:r>
      <w:proofErr w:type="spellEnd"/>
      <w:r w:rsidRPr="00092C7B">
        <w:t xml:space="preserve"> et al., 2014; Langan et al., 2019). </w:t>
      </w:r>
    </w:p>
    <w:p w14:paraId="50D9FE3D" w14:textId="77777777" w:rsidR="00926386" w:rsidRDefault="00926386" w:rsidP="00926386">
      <w:pPr>
        <w:spacing w:after="120" w:line="360" w:lineRule="auto"/>
        <w:ind w:firstLine="360"/>
        <w:jc w:val="both"/>
      </w:pPr>
      <w:bookmarkStart w:id="27" w:name="OLE_LINK80"/>
      <w:r w:rsidRPr="0089294E">
        <w:t xml:space="preserve">Standardized mean differences are commonly interpreted using Cohen's (1988) conventional benchmarks. These benchmarks, however, were not derived for any specific clinical context. In the treatment of depression, even an effect as small as </w:t>
      </w:r>
      <w:proofErr w:type="spellStart"/>
      <w:r w:rsidRPr="0089294E">
        <w:t>SMD</w:t>
      </w:r>
      <w:r w:rsidRPr="001228FD">
        <w:rPr>
          <w:vertAlign w:val="subscript"/>
        </w:rPr>
        <w:t>between</w:t>
      </w:r>
      <w:proofErr w:type="spellEnd"/>
      <w:r w:rsidRPr="0089294E">
        <w:t xml:space="preserve"> = 0.24 can be clinically meaningful (Cuijpers et al., 2014). This meta-analysis therefore adopted empirically derived effect-size thresholds for psychotherapy in depression, using the age-specific values reported for children and adolescents (Nordahl-Hansen et al., 2024).</w:t>
      </w:r>
    </w:p>
    <w:p w14:paraId="55FB5DEC" w14:textId="77777777" w:rsidR="00926386" w:rsidRDefault="00926386" w:rsidP="00926386">
      <w:pPr>
        <w:spacing w:after="120"/>
        <w:jc w:val="both"/>
      </w:pPr>
    </w:p>
    <w:p w14:paraId="274F18ED" w14:textId="77777777" w:rsidR="00926386" w:rsidRPr="006750A9" w:rsidRDefault="00926386" w:rsidP="00926386">
      <w:pPr>
        <w:spacing w:after="120"/>
        <w:jc w:val="both"/>
        <w:rPr>
          <w:b/>
          <w:bCs/>
        </w:rPr>
      </w:pPr>
      <w:r w:rsidRPr="006750A9">
        <w:rPr>
          <w:rFonts w:hint="eastAsia"/>
          <w:b/>
          <w:bCs/>
        </w:rPr>
        <w:t xml:space="preserve">Table </w:t>
      </w:r>
      <w:r>
        <w:rPr>
          <w:rFonts w:hint="eastAsia"/>
          <w:b/>
          <w:bCs/>
        </w:rPr>
        <w:t>4</w:t>
      </w:r>
      <w:r w:rsidRPr="006750A9">
        <w:rPr>
          <w:rFonts w:hint="eastAsia"/>
          <w:b/>
          <w:bCs/>
        </w:rPr>
        <w:t xml:space="preserve">. </w:t>
      </w:r>
      <w:r w:rsidRPr="0089294E">
        <w:rPr>
          <w:b/>
          <w:bCs/>
        </w:rPr>
        <w:t>Effect-</w:t>
      </w:r>
      <w:r>
        <w:rPr>
          <w:rFonts w:hint="eastAsia"/>
          <w:b/>
          <w:bCs/>
        </w:rPr>
        <w:t>S</w:t>
      </w:r>
      <w:r w:rsidRPr="0089294E">
        <w:rPr>
          <w:b/>
          <w:bCs/>
        </w:rPr>
        <w:t xml:space="preserve">ize </w:t>
      </w:r>
      <w:r>
        <w:rPr>
          <w:rFonts w:hint="eastAsia"/>
          <w:b/>
          <w:bCs/>
        </w:rPr>
        <w:t>I</w:t>
      </w:r>
      <w:r w:rsidRPr="0089294E">
        <w:rPr>
          <w:b/>
          <w:bCs/>
        </w:rPr>
        <w:t xml:space="preserve">nterpretation </w:t>
      </w:r>
      <w:r>
        <w:rPr>
          <w:rFonts w:hint="eastAsia"/>
          <w:b/>
          <w:bCs/>
        </w:rPr>
        <w:t>T</w:t>
      </w:r>
      <w:r w:rsidRPr="0089294E">
        <w:rPr>
          <w:b/>
          <w:bCs/>
        </w:rPr>
        <w:t>hresholds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926386" w14:paraId="0F2056A3" w14:textId="77777777" w:rsidTr="00EF71F7">
        <w:trPr>
          <w:jc w:val="center"/>
        </w:trPr>
        <w:tc>
          <w:tcPr>
            <w:tcW w:w="3116" w:type="dxa"/>
            <w:tcBorders>
              <w:top w:val="single" w:sz="8" w:space="0" w:color="auto"/>
              <w:bottom w:val="single" w:sz="4" w:space="0" w:color="auto"/>
            </w:tcBorders>
          </w:tcPr>
          <w:p w14:paraId="207C0F0C" w14:textId="77777777" w:rsidR="00926386" w:rsidRDefault="00926386" w:rsidP="00EF71F7">
            <w:pPr>
              <w:spacing w:after="120"/>
              <w:jc w:val="both"/>
            </w:pPr>
            <w:r>
              <w:rPr>
                <w:rFonts w:hint="eastAsia"/>
              </w:rPr>
              <w:t>Interpretation</w:t>
            </w:r>
          </w:p>
        </w:tc>
        <w:tc>
          <w:tcPr>
            <w:tcW w:w="3117" w:type="dxa"/>
            <w:tcBorders>
              <w:top w:val="single" w:sz="8" w:space="0" w:color="auto"/>
              <w:bottom w:val="single" w:sz="4" w:space="0" w:color="auto"/>
            </w:tcBorders>
          </w:tcPr>
          <w:p w14:paraId="5259F5C2" w14:textId="77777777" w:rsidR="00926386" w:rsidRDefault="00926386" w:rsidP="00EF71F7">
            <w:pPr>
              <w:spacing w:after="120"/>
              <w:jc w:val="both"/>
            </w:pPr>
            <w:r w:rsidRPr="00086119">
              <w:t>Cohen</w:t>
            </w:r>
            <w:r>
              <w:rPr>
                <w:rFonts w:hint="eastAsia"/>
              </w:rPr>
              <w:t xml:space="preserve"> (1988)</w:t>
            </w:r>
          </w:p>
        </w:tc>
        <w:tc>
          <w:tcPr>
            <w:tcW w:w="3117" w:type="dxa"/>
            <w:tcBorders>
              <w:top w:val="single" w:sz="8" w:space="0" w:color="auto"/>
              <w:bottom w:val="single" w:sz="4" w:space="0" w:color="auto"/>
            </w:tcBorders>
          </w:tcPr>
          <w:p w14:paraId="6035E85E" w14:textId="77777777" w:rsidR="00926386" w:rsidRDefault="00926386" w:rsidP="00EF71F7">
            <w:pPr>
              <w:spacing w:after="120"/>
              <w:jc w:val="both"/>
            </w:pPr>
            <w:r>
              <w:rPr>
                <w:rFonts w:hint="eastAsia"/>
              </w:rPr>
              <w:t>Nordahl et al. (2024)</w:t>
            </w:r>
          </w:p>
        </w:tc>
      </w:tr>
      <w:tr w:rsidR="00926386" w14:paraId="3D40E52B" w14:textId="77777777" w:rsidTr="00EF71F7">
        <w:trPr>
          <w:jc w:val="center"/>
        </w:trPr>
        <w:tc>
          <w:tcPr>
            <w:tcW w:w="3116" w:type="dxa"/>
            <w:tcBorders>
              <w:top w:val="single" w:sz="4" w:space="0" w:color="auto"/>
            </w:tcBorders>
          </w:tcPr>
          <w:p w14:paraId="66A861B0" w14:textId="77777777" w:rsidR="00926386" w:rsidRDefault="00926386" w:rsidP="00EF71F7">
            <w:pPr>
              <w:spacing w:after="120"/>
              <w:jc w:val="both"/>
            </w:pPr>
            <w:r>
              <w:rPr>
                <w:rFonts w:hint="eastAsia"/>
              </w:rPr>
              <w:t>Small</w:t>
            </w:r>
          </w:p>
        </w:tc>
        <w:tc>
          <w:tcPr>
            <w:tcW w:w="3117" w:type="dxa"/>
            <w:tcBorders>
              <w:top w:val="single" w:sz="4" w:space="0" w:color="auto"/>
            </w:tcBorders>
          </w:tcPr>
          <w:p w14:paraId="64B878CC" w14:textId="77777777" w:rsidR="00926386" w:rsidRDefault="00926386" w:rsidP="00EF71F7">
            <w:pPr>
              <w:spacing w:after="120"/>
              <w:jc w:val="both"/>
            </w:pPr>
            <w:r>
              <w:rPr>
                <w:rFonts w:hint="eastAsia"/>
              </w:rPr>
              <w:t>0.20</w:t>
            </w:r>
          </w:p>
        </w:tc>
        <w:tc>
          <w:tcPr>
            <w:tcW w:w="3117" w:type="dxa"/>
            <w:tcBorders>
              <w:top w:val="single" w:sz="4" w:space="0" w:color="auto"/>
            </w:tcBorders>
          </w:tcPr>
          <w:p w14:paraId="13FF1E7A" w14:textId="77777777" w:rsidR="00926386" w:rsidRDefault="00926386" w:rsidP="00EF71F7">
            <w:pPr>
              <w:spacing w:after="120"/>
              <w:jc w:val="both"/>
            </w:pPr>
            <w:r>
              <w:rPr>
                <w:rFonts w:hint="eastAsia"/>
              </w:rPr>
              <w:t>0.215</w:t>
            </w:r>
          </w:p>
        </w:tc>
      </w:tr>
      <w:tr w:rsidR="00926386" w14:paraId="26F15598" w14:textId="77777777" w:rsidTr="00EF71F7">
        <w:trPr>
          <w:jc w:val="center"/>
        </w:trPr>
        <w:tc>
          <w:tcPr>
            <w:tcW w:w="3116" w:type="dxa"/>
          </w:tcPr>
          <w:p w14:paraId="7DA47AF5" w14:textId="77777777" w:rsidR="00926386" w:rsidRDefault="00926386" w:rsidP="00EF71F7">
            <w:pPr>
              <w:spacing w:after="120"/>
              <w:jc w:val="both"/>
            </w:pPr>
            <w:r>
              <w:t>M</w:t>
            </w:r>
            <w:r>
              <w:rPr>
                <w:rFonts w:hint="eastAsia"/>
              </w:rPr>
              <w:t xml:space="preserve">oderate </w:t>
            </w:r>
          </w:p>
        </w:tc>
        <w:tc>
          <w:tcPr>
            <w:tcW w:w="3117" w:type="dxa"/>
          </w:tcPr>
          <w:p w14:paraId="2A0E0F21" w14:textId="77777777" w:rsidR="00926386" w:rsidRDefault="00926386" w:rsidP="00EF71F7">
            <w:pPr>
              <w:spacing w:after="120"/>
              <w:jc w:val="both"/>
            </w:pPr>
            <w:r>
              <w:rPr>
                <w:rFonts w:hint="eastAsia"/>
              </w:rPr>
              <w:t>0.50</w:t>
            </w:r>
          </w:p>
        </w:tc>
        <w:tc>
          <w:tcPr>
            <w:tcW w:w="3117" w:type="dxa"/>
          </w:tcPr>
          <w:p w14:paraId="78671DDB" w14:textId="77777777" w:rsidR="00926386" w:rsidRDefault="00926386" w:rsidP="00EF71F7">
            <w:pPr>
              <w:spacing w:after="120"/>
              <w:jc w:val="both"/>
            </w:pPr>
            <w:r>
              <w:rPr>
                <w:rFonts w:hint="eastAsia"/>
              </w:rPr>
              <w:t>0.340</w:t>
            </w:r>
          </w:p>
        </w:tc>
      </w:tr>
      <w:tr w:rsidR="00926386" w14:paraId="460270D8" w14:textId="77777777" w:rsidTr="00EF71F7">
        <w:trPr>
          <w:jc w:val="center"/>
        </w:trPr>
        <w:tc>
          <w:tcPr>
            <w:tcW w:w="3116" w:type="dxa"/>
          </w:tcPr>
          <w:p w14:paraId="136D6597" w14:textId="77777777" w:rsidR="00926386" w:rsidRDefault="00926386" w:rsidP="00EF71F7">
            <w:pPr>
              <w:spacing w:after="120"/>
              <w:jc w:val="both"/>
            </w:pPr>
            <w:r>
              <w:rPr>
                <w:rFonts w:hint="eastAsia"/>
              </w:rPr>
              <w:t>Large</w:t>
            </w:r>
          </w:p>
        </w:tc>
        <w:tc>
          <w:tcPr>
            <w:tcW w:w="3117" w:type="dxa"/>
          </w:tcPr>
          <w:p w14:paraId="66DEFC43" w14:textId="77777777" w:rsidR="00926386" w:rsidRDefault="00926386" w:rsidP="00EF71F7">
            <w:pPr>
              <w:spacing w:after="120"/>
              <w:jc w:val="both"/>
            </w:pPr>
            <w:r>
              <w:rPr>
                <w:rFonts w:hint="eastAsia"/>
              </w:rPr>
              <w:t>0.80</w:t>
            </w:r>
          </w:p>
        </w:tc>
        <w:tc>
          <w:tcPr>
            <w:tcW w:w="3117" w:type="dxa"/>
          </w:tcPr>
          <w:p w14:paraId="13808F34" w14:textId="77777777" w:rsidR="00926386" w:rsidRDefault="00926386" w:rsidP="00EF71F7">
            <w:pPr>
              <w:spacing w:after="120"/>
              <w:jc w:val="both"/>
            </w:pPr>
            <w:r>
              <w:rPr>
                <w:rFonts w:hint="eastAsia"/>
              </w:rPr>
              <w:t>0.695</w:t>
            </w:r>
          </w:p>
        </w:tc>
      </w:tr>
    </w:tbl>
    <w:p w14:paraId="66AFD5B9" w14:textId="77777777" w:rsidR="00926386" w:rsidRPr="004C5D59" w:rsidRDefault="00926386" w:rsidP="00926386">
      <w:pPr>
        <w:spacing w:after="120"/>
        <w:rPr>
          <w:sz w:val="16"/>
          <w:szCs w:val="16"/>
        </w:rPr>
      </w:pPr>
      <w:r w:rsidRPr="004C5D59">
        <w:rPr>
          <w:i/>
          <w:iCs/>
          <w:sz w:val="16"/>
          <w:szCs w:val="16"/>
        </w:rPr>
        <w:t>Note</w:t>
      </w:r>
      <w:r w:rsidRPr="004C5D59">
        <w:rPr>
          <w:sz w:val="16"/>
          <w:szCs w:val="16"/>
        </w:rPr>
        <w:t>.</w:t>
      </w:r>
      <w:r w:rsidRPr="004C5D59">
        <w:rPr>
          <w:rFonts w:hint="eastAsia"/>
          <w:sz w:val="16"/>
          <w:szCs w:val="16"/>
        </w:rPr>
        <w:t xml:space="preserve"> </w:t>
      </w:r>
      <w:r w:rsidRPr="004C5D59">
        <w:rPr>
          <w:sz w:val="16"/>
          <w:szCs w:val="16"/>
        </w:rPr>
        <w:t xml:space="preserve">Values are thresholds for the standardized mean difference (Hedges' </w:t>
      </w:r>
      <w:r w:rsidRPr="004C5D59">
        <w:rPr>
          <w:i/>
          <w:iCs/>
          <w:sz w:val="16"/>
          <w:szCs w:val="16"/>
        </w:rPr>
        <w:t>g</w:t>
      </w:r>
      <w:r w:rsidRPr="004C5D59">
        <w:rPr>
          <w:sz w:val="16"/>
          <w:szCs w:val="16"/>
        </w:rPr>
        <w:t xml:space="preserve">). Cohen (1988) values are the conventional benchmarks. Nordahl-Hansen et al. (2024) values are the empirically derived 25th, 50th, and 75th percentile thresholds for the children and </w:t>
      </w:r>
      <w:proofErr w:type="gramStart"/>
      <w:r w:rsidRPr="004C5D59">
        <w:rPr>
          <w:sz w:val="16"/>
          <w:szCs w:val="16"/>
        </w:rPr>
        <w:t>adolescents</w:t>
      </w:r>
      <w:proofErr w:type="gramEnd"/>
      <w:r w:rsidRPr="004C5D59">
        <w:rPr>
          <w:sz w:val="16"/>
          <w:szCs w:val="16"/>
        </w:rPr>
        <w:t xml:space="preserve"> subgroup.</w:t>
      </w:r>
    </w:p>
    <w:bookmarkEnd w:id="27"/>
    <w:p w14:paraId="3D4C341E" w14:textId="77777777" w:rsidR="00926386" w:rsidRPr="00926386" w:rsidRDefault="00926386">
      <w:pPr>
        <w:spacing w:after="120" w:line="360" w:lineRule="auto"/>
        <w:ind w:firstLine="360"/>
        <w:jc w:val="both"/>
      </w:pPr>
    </w:p>
    <w:p w14:paraId="13088AE4" w14:textId="77777777" w:rsidR="000C0538" w:rsidRDefault="000C0538">
      <w:pPr>
        <w:spacing w:after="120" w:line="360" w:lineRule="auto"/>
        <w:ind w:firstLine="360"/>
        <w:jc w:val="both"/>
      </w:pPr>
    </w:p>
    <w:p w14:paraId="47279808" w14:textId="313C0C0D" w:rsidR="000C0538" w:rsidRPr="000C0538" w:rsidRDefault="000C0538">
      <w:pPr>
        <w:spacing w:after="120" w:line="360" w:lineRule="auto"/>
        <w:ind w:firstLine="360"/>
        <w:jc w:val="both"/>
        <w:rPr>
          <w:b/>
          <w:bCs/>
        </w:rPr>
      </w:pPr>
      <w:r w:rsidRPr="000C0538">
        <w:rPr>
          <w:rFonts w:hint="eastAsia"/>
          <w:b/>
          <w:bCs/>
        </w:rPr>
        <w:t>Heterogeneity</w:t>
      </w:r>
    </w:p>
    <w:p w14:paraId="44903B02" w14:textId="04982096" w:rsidR="0096433D" w:rsidRDefault="00645D7F" w:rsidP="00645D7F">
      <w:pPr>
        <w:spacing w:after="120" w:line="360" w:lineRule="auto"/>
        <w:ind w:firstLine="360"/>
        <w:jc w:val="both"/>
      </w:pPr>
      <w:r w:rsidRPr="00645D7F">
        <w:t xml:space="preserve">Heterogeneity was quantified using Cochran's </w:t>
      </w:r>
      <w:r w:rsidRPr="00645D7F">
        <w:rPr>
          <w:i/>
          <w:iCs/>
        </w:rPr>
        <w:t>Q</w:t>
      </w:r>
      <w:r w:rsidRPr="00645D7F">
        <w:t xml:space="preserve">, </w:t>
      </w:r>
      <w:r w:rsidRPr="00645D7F">
        <w:rPr>
          <w:rFonts w:hint="eastAsia"/>
          <w:i/>
          <w:iCs/>
        </w:rPr>
        <w:t>I</w:t>
      </w:r>
      <w:r w:rsidRPr="00645D7F">
        <w:rPr>
          <w:rFonts w:hint="eastAsia"/>
          <w:vertAlign w:val="superscript"/>
        </w:rPr>
        <w:t>2</w:t>
      </w:r>
      <w:r w:rsidRPr="00645D7F">
        <w:t>, and</w:t>
      </w:r>
      <w:r>
        <w:rPr>
          <w:rFonts w:hint="eastAsia"/>
        </w:rPr>
        <w:t xml:space="preserve"> </w:t>
      </w:r>
      <m:oMath>
        <m:sSup>
          <m:sSupPr>
            <m:ctrlPr>
              <w:rPr>
                <w:rFonts w:ascii="Cambria Math" w:hAnsi="Cambria Math"/>
                <w:i/>
              </w:rPr>
            </m:ctrlPr>
          </m:sSupPr>
          <m:e>
            <m:r>
              <m:rPr>
                <m:sty m:val="p"/>
              </m:rPr>
              <w:rPr>
                <w:rFonts w:ascii="Cambria Math" w:hAnsi="Cambria Math"/>
              </w:rPr>
              <m:t>τ</m:t>
            </m:r>
          </m:e>
          <m:sup>
            <m:r>
              <w:rPr>
                <w:rFonts w:ascii="Cambria Math" w:hAnsi="Cambria Math"/>
              </w:rPr>
              <m:t>2</m:t>
            </m:r>
          </m:sup>
        </m:sSup>
      </m:oMath>
      <w:r w:rsidRPr="00645D7F">
        <w:t xml:space="preserve">. Cochran's </w:t>
      </w:r>
      <w:r w:rsidRPr="00645D7F">
        <w:rPr>
          <w:i/>
          <w:iCs/>
        </w:rPr>
        <w:t>Q</w:t>
      </w:r>
      <w:r w:rsidRPr="00645D7F">
        <w:t xml:space="preserve"> evaluates whether the dispersion of observed study effects around the pooled effect is greater than would be expected from sampling error alone:</w:t>
      </w:r>
    </w:p>
    <w:p w14:paraId="65A89C78" w14:textId="108790B9" w:rsidR="00C43BB7" w:rsidRPr="00C43BB7" w:rsidRDefault="00C43BB7" w:rsidP="0096433D">
      <w:pPr>
        <w:spacing w:after="120" w:line="360" w:lineRule="auto"/>
        <w:jc w:val="both"/>
        <w:rPr>
          <w:sz w:val="24"/>
          <w:szCs w:val="24"/>
        </w:rPr>
      </w:pPr>
      <m:oMathPara>
        <m:oMath>
          <m:r>
            <m:rPr>
              <m:sty m:val="p"/>
            </m:rPr>
            <w:rPr>
              <w:rFonts w:ascii="Cambria Math" w:hAnsi="Cambria Math"/>
              <w:sz w:val="24"/>
              <w:szCs w:val="24"/>
            </w:rPr>
            <m:t>Q</m:t>
          </m:r>
          <m:r>
            <w:rPr>
              <w:rFonts w:ascii="Cambria Math" w:hAnsi="Cambria Math"/>
              <w:sz w:val="24"/>
              <w:szCs w:val="24"/>
            </w:rPr>
            <m:t>=</m:t>
          </m:r>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k</m:t>
              </m:r>
              <m:ctrlPr>
                <w:rPr>
                  <w:rFonts w:ascii="Cambria Math" w:hAnsi="Cambria Math"/>
                  <w:i/>
                  <w:sz w:val="24"/>
                  <w:szCs w:val="24"/>
                </w:rPr>
              </m:ctrlPr>
            </m:sup>
            <m:e>
              <m:sSubSup>
                <m:sSubSupPr>
                  <m:ctrlPr>
                    <w:rPr>
                      <w:rFonts w:ascii="Cambria Math" w:hAnsi="Cambria Math"/>
                      <w:i/>
                      <w:sz w:val="24"/>
                      <w:szCs w:val="24"/>
                    </w:rPr>
                  </m:ctrlPr>
                </m:sSubSupPr>
                <m:e>
                  <m:r>
                    <w:rPr>
                      <w:rFonts w:ascii="Cambria Math" w:hAnsi="Cambria Math"/>
                      <w:sz w:val="24"/>
                      <w:szCs w:val="24"/>
                    </w:rPr>
                    <m:t>w</m:t>
                  </m:r>
                </m:e>
                <m:sub>
                  <m:r>
                    <w:rPr>
                      <w:rFonts w:ascii="Cambria Math" w:hAnsi="Cambria Math"/>
                      <w:sz w:val="24"/>
                      <w:szCs w:val="24"/>
                    </w:rPr>
                    <m:t>i</m:t>
                  </m:r>
                </m:sub>
                <m:sup>
                  <m:r>
                    <w:rPr>
                      <w:rFonts w:ascii="Cambria Math" w:hAnsi="Cambria Math"/>
                      <w:sz w:val="24"/>
                      <w:szCs w:val="24"/>
                    </w:rPr>
                    <m:t>FE</m:t>
                  </m:r>
                </m:sup>
              </m:sSubSup>
              <m:sSup>
                <m:sSupPr>
                  <m:ctrlPr>
                    <w:rPr>
                      <w:rFonts w:ascii="Cambria Math" w:hAnsi="Cambria Math"/>
                      <w:i/>
                      <w:sz w:val="24"/>
                      <w:szCs w:val="24"/>
                    </w:rPr>
                  </m:ctrlPr>
                </m:sSupPr>
                <m:e>
                  <m:d>
                    <m:dPr>
                      <m:ctrlPr>
                        <w:rPr>
                          <w:rFonts w:ascii="Cambria Math" w:hAnsi="Cambria Math"/>
                          <w:sz w:val="24"/>
                          <w:szCs w:val="24"/>
                        </w:rPr>
                      </m:ctrlPr>
                    </m:dPr>
                    <m:e>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ctrlPr>
                            <w:rPr>
                              <w:rFonts w:ascii="Cambria Math" w:hAnsi="Cambria Math"/>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sz w:val="24"/>
                                  <w:szCs w:val="24"/>
                                </w:rPr>
                              </m:ctrlPr>
                            </m:accPr>
                            <m:e>
                              <m:r>
                                <m:rPr>
                                  <m:sty m:val="p"/>
                                </m:rPr>
                                <w:rPr>
                                  <w:rFonts w:ascii="Cambria Math" w:hAnsi="Cambria Math"/>
                                  <w:sz w:val="24"/>
                                  <w:szCs w:val="24"/>
                                </w:rPr>
                                <m:t>θ</m:t>
                              </m:r>
                            </m:e>
                          </m:acc>
                        </m:e>
                        <m:sub>
                          <m:r>
                            <w:rPr>
                              <w:rFonts w:ascii="Cambria Math" w:hAnsi="Cambria Math"/>
                              <w:sz w:val="24"/>
                              <w:szCs w:val="24"/>
                            </w:rPr>
                            <m:t>FE</m:t>
                          </m:r>
                        </m:sub>
                      </m:sSub>
                      <m:ctrlPr>
                        <w:rPr>
                          <w:rFonts w:ascii="Cambria Math" w:hAnsi="Cambria Math"/>
                          <w:i/>
                          <w:sz w:val="24"/>
                          <w:szCs w:val="24"/>
                        </w:rPr>
                      </m:ctrlPr>
                    </m:e>
                  </m:d>
                </m:e>
                <m:sup>
                  <m:r>
                    <w:rPr>
                      <w:rFonts w:ascii="Cambria Math" w:hAnsi="Cambria Math"/>
                      <w:sz w:val="24"/>
                      <w:szCs w:val="24"/>
                    </w:rPr>
                    <m:t>2</m:t>
                  </m:r>
                </m:sup>
              </m:sSup>
              <m:ctrlPr>
                <w:rPr>
                  <w:rFonts w:ascii="Cambria Math" w:hAnsi="Cambria Math"/>
                  <w:i/>
                  <w:sz w:val="24"/>
                  <w:szCs w:val="24"/>
                </w:rPr>
              </m:ctrlPr>
            </m:e>
          </m:nary>
        </m:oMath>
      </m:oMathPara>
    </w:p>
    <w:p w14:paraId="5FAD3758" w14:textId="6E904DE9" w:rsidR="00432A58" w:rsidRPr="00EC04D2" w:rsidRDefault="00432A58" w:rsidP="0096433D">
      <w:pPr>
        <w:spacing w:after="120" w:line="360" w:lineRule="auto"/>
        <w:jc w:val="both"/>
        <w:rPr>
          <w:sz w:val="24"/>
          <w:szCs w:val="24"/>
        </w:rPr>
      </w:pPr>
      <m:oMathPara>
        <m:oMath>
          <m:r>
            <w:rPr>
              <w:rFonts w:ascii="Cambria Math" w:hAnsi="Cambria Math"/>
            </w:rPr>
            <m:t>Q~</m:t>
          </m:r>
          <m:sSubSup>
            <m:sSubSupPr>
              <m:ctrlPr>
                <w:rPr>
                  <w:rFonts w:ascii="Cambria Math" w:hAnsi="Cambria Math"/>
                  <w:i/>
                </w:rPr>
              </m:ctrlPr>
            </m:sSubSupPr>
            <m:e>
              <m:r>
                <m:rPr>
                  <m:sty m:val="p"/>
                </m:rPr>
                <w:rPr>
                  <w:rFonts w:ascii="Cambria Math" w:hAnsi="Cambria Math"/>
                </w:rPr>
                <m:t>χ</m:t>
              </m:r>
            </m:e>
            <m:sub>
              <m:r>
                <w:rPr>
                  <w:rFonts w:ascii="Cambria Math" w:hAnsi="Cambria Math"/>
                </w:rPr>
                <m:t>k-1</m:t>
              </m:r>
            </m:sub>
            <m:sup>
              <m:r>
                <w:rPr>
                  <w:rFonts w:ascii="Cambria Math" w:hAnsi="Cambria Math"/>
                </w:rPr>
                <m:t>2</m:t>
              </m:r>
            </m:sup>
          </m:sSubSup>
        </m:oMath>
      </m:oMathPara>
    </w:p>
    <w:p w14:paraId="2447D60E" w14:textId="3926CE8E" w:rsidR="00432A58" w:rsidRPr="00F12818" w:rsidRDefault="00645D7F" w:rsidP="0096433D">
      <w:pPr>
        <w:spacing w:after="120" w:line="360" w:lineRule="auto"/>
        <w:jc w:val="both"/>
        <w:rPr>
          <w:iCs/>
        </w:rPr>
      </w:pPr>
      <w:r>
        <w:tab/>
      </w:r>
      <w:r w:rsidRPr="00645D7F">
        <w:t xml:space="preserve">where </w:t>
      </w:r>
      <w:r>
        <w:rPr>
          <w:rFonts w:hint="eastAsia"/>
        </w:rPr>
        <w:t xml:space="preserve"> </w:t>
      </w:r>
      <m:oMath>
        <m:sSub>
          <m:sSubPr>
            <m:ctrlPr>
              <w:rPr>
                <w:rFonts w:ascii="Cambria Math" w:hAnsi="Cambria Math"/>
                <w:iCs/>
              </w:rPr>
            </m:ctrlPr>
          </m:sSubPr>
          <m:e>
            <m:acc>
              <m:accPr>
                <m:ctrlPr>
                  <w:rPr>
                    <w:rFonts w:ascii="Cambria Math" w:hAnsi="Cambria Math"/>
                    <w:iCs/>
                  </w:rPr>
                </m:ctrlPr>
              </m:accPr>
              <m:e>
                <m:r>
                  <m:rPr>
                    <m:sty m:val="p"/>
                  </m:rPr>
                  <w:rPr>
                    <w:rFonts w:ascii="Cambria Math" w:hAnsi="Cambria Math"/>
                  </w:rPr>
                  <m:t>θ</m:t>
                </m:r>
              </m:e>
            </m:acc>
          </m:e>
          <m:sub>
            <m:r>
              <m:rPr>
                <m:sty m:val="p"/>
              </m:rPr>
              <w:rPr>
                <w:rFonts w:ascii="Cambria Math" w:hAnsi="Cambria Math"/>
              </w:rPr>
              <m:t>FE</m:t>
            </m:r>
          </m:sub>
        </m:sSub>
      </m:oMath>
      <w:r w:rsidR="00F12818">
        <w:rPr>
          <w:rFonts w:hint="eastAsia"/>
          <w:iCs/>
        </w:rPr>
        <w:t xml:space="preserve"> </w:t>
      </w:r>
      <w:r w:rsidRPr="00645D7F">
        <w:t xml:space="preserve">is the fixed-effect pooled estimate, and </w:t>
      </w:r>
      <w:r w:rsidRPr="00645D7F">
        <w:rPr>
          <w:i/>
          <w:iCs/>
        </w:rPr>
        <w:t>k</w:t>
      </w:r>
      <w:r w:rsidRPr="00645D7F">
        <w:t xml:space="preserve"> is the number of studies. </w:t>
      </w:r>
      <w:r w:rsidR="00225746" w:rsidRPr="00225746">
        <w:t xml:space="preserve">Under the null hypothesis of homogeneity, Cochran's </w:t>
      </w:r>
      <w:r w:rsidR="00225746" w:rsidRPr="00225746">
        <w:rPr>
          <w:rFonts w:hint="eastAsia"/>
          <w:i/>
          <w:iCs/>
        </w:rPr>
        <w:t>Q</w:t>
      </w:r>
      <w:r w:rsidR="00225746" w:rsidRPr="00225746">
        <w:t xml:space="preserve"> approximately follows a chi-square distribution with </w:t>
      </w:r>
      <w:r w:rsidR="00225746" w:rsidRPr="00225746">
        <w:rPr>
          <w:i/>
          <w:iCs/>
        </w:rPr>
        <w:t>k</w:t>
      </w:r>
      <w:r w:rsidR="00225746" w:rsidRPr="00225746">
        <w:t>−</w:t>
      </w:r>
      <w:r w:rsidR="00225746">
        <w:rPr>
          <w:rFonts w:hint="eastAsia"/>
        </w:rPr>
        <w:t>1</w:t>
      </w:r>
      <w:r w:rsidR="00225746" w:rsidRPr="00225746">
        <w:t xml:space="preserve"> degrees of freedom.</w:t>
      </w:r>
    </w:p>
    <w:p w14:paraId="0C05DBAD" w14:textId="32F55FB8" w:rsidR="00FB3BC0" w:rsidRDefault="00EC76E3" w:rsidP="00EC76E3">
      <w:pPr>
        <w:spacing w:after="120" w:line="360" w:lineRule="auto"/>
        <w:ind w:firstLine="360"/>
        <w:jc w:val="both"/>
      </w:pPr>
      <w:r w:rsidRPr="00432A58">
        <w:rPr>
          <w:rFonts w:hint="eastAsia"/>
          <w:i/>
          <w:iCs/>
        </w:rPr>
        <w:lastRenderedPageBreak/>
        <w:t>I</w:t>
      </w:r>
      <w:r w:rsidRPr="00432A58">
        <w:rPr>
          <w:rFonts w:hint="eastAsia"/>
          <w:vertAlign w:val="superscript"/>
        </w:rPr>
        <w:t>2</w:t>
      </w:r>
      <w:r>
        <w:rPr>
          <w:rFonts w:hint="eastAsia"/>
        </w:rPr>
        <w:t xml:space="preserve"> </w:t>
      </w:r>
      <w:r w:rsidR="00432A58">
        <w:rPr>
          <w:rFonts w:hint="eastAsia"/>
        </w:rPr>
        <w:t>further estimates the proportion of deviation that cannot be accounted by random sampling error</w:t>
      </w:r>
      <w:r w:rsidR="00A56615">
        <w:rPr>
          <w:rFonts w:hint="eastAsia"/>
        </w:rPr>
        <w:t xml:space="preserve">. </w:t>
      </w:r>
      <w:r w:rsidR="00645D7F" w:rsidRPr="00645D7F">
        <w:t xml:space="preserve">Following Higgins et al. (2003), </w:t>
      </w:r>
      <w:r w:rsidR="00645D7F" w:rsidRPr="00645D7F">
        <w:rPr>
          <w:i/>
          <w:iCs/>
        </w:rPr>
        <w:t>I</w:t>
      </w:r>
      <w:r w:rsidR="00645D7F" w:rsidRPr="00645D7F">
        <w:rPr>
          <w:vertAlign w:val="superscript"/>
        </w:rPr>
        <w:t>2</w:t>
      </w:r>
      <w:r w:rsidR="00645D7F" w:rsidRPr="00645D7F">
        <w:t xml:space="preserve"> values of approximately 25%, 50%, and 75% were interpreted as low, moderate, and high heterogeneity, respectively. Prediction intervals </w:t>
      </w:r>
      <w:r w:rsidR="00393911">
        <w:rPr>
          <w:rFonts w:hint="eastAsia"/>
        </w:rPr>
        <w:t xml:space="preserve">(PI) </w:t>
      </w:r>
      <w:r w:rsidR="00645D7F" w:rsidRPr="00645D7F">
        <w:t>were reported alongside 95% confidence intervals to convey the range of effects expected in a future comparable setting (</w:t>
      </w:r>
      <w:proofErr w:type="spellStart"/>
      <w:r w:rsidR="00645D7F" w:rsidRPr="00645D7F">
        <w:t>IntHout</w:t>
      </w:r>
      <w:proofErr w:type="spellEnd"/>
      <w:r w:rsidR="00645D7F" w:rsidRPr="00645D7F">
        <w:t xml:space="preserve"> et al., 2016).</w:t>
      </w:r>
    </w:p>
    <w:p w14:paraId="58EF3024" w14:textId="6B16BD60" w:rsidR="007868BA" w:rsidRPr="007868BA" w:rsidRDefault="00000000" w:rsidP="007868BA">
      <w:pPr>
        <w:spacing w:after="120" w:line="360" w:lineRule="auto"/>
        <w:ind w:firstLine="360"/>
        <w:jc w:val="both"/>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unc>
            <m:funcPr>
              <m:ctrlPr>
                <w:rPr>
                  <w:rFonts w:ascii="Cambria Math" w:hAnsi="Cambria Math"/>
                  <w:iCs/>
                </w:rPr>
              </m:ctrlPr>
            </m:funcPr>
            <m:fName>
              <m:r>
                <m:rPr>
                  <m:sty m:val="p"/>
                </m:rPr>
                <w:rPr>
                  <w:rFonts w:ascii="Cambria Math" w:hAnsi="Cambria Math"/>
                </w:rPr>
                <m:t>max</m:t>
              </m:r>
              <m:ctrlPr>
                <w:rPr>
                  <w:rFonts w:ascii="Cambria Math" w:hAnsi="Cambria Math"/>
                  <w:i/>
                  <w:iCs/>
                </w:rPr>
              </m:ctrlPr>
            </m:fName>
            <m:e>
              <m:d>
                <m:dPr>
                  <m:ctrlPr>
                    <w:rPr>
                      <w:rFonts w:ascii="Cambria Math" w:hAnsi="Cambria Math"/>
                      <w:iCs/>
                    </w:rPr>
                  </m:ctrlPr>
                </m:dPr>
                <m:e>
                  <m:r>
                    <w:rPr>
                      <w:rFonts w:ascii="Cambria Math" w:hAnsi="Cambria Math"/>
                    </w:rPr>
                    <m:t>0,</m:t>
                  </m:r>
                  <m:f>
                    <m:fPr>
                      <m:ctrlPr>
                        <w:rPr>
                          <w:rFonts w:ascii="Cambria Math" w:hAnsi="Cambria Math"/>
                          <w:iCs/>
                        </w:rPr>
                      </m:ctrlPr>
                    </m:fPr>
                    <m:num>
                      <m:r>
                        <w:rPr>
                          <w:rFonts w:ascii="Cambria Math" w:hAnsi="Cambria Math"/>
                        </w:rPr>
                        <m:t>Q-</m:t>
                      </m:r>
                      <m:d>
                        <m:dPr>
                          <m:ctrlPr>
                            <w:rPr>
                              <w:rFonts w:ascii="Cambria Math" w:hAnsi="Cambria Math"/>
                              <w:i/>
                              <w:iCs/>
                            </w:rPr>
                          </m:ctrlPr>
                        </m:dPr>
                        <m:e>
                          <m:r>
                            <w:rPr>
                              <w:rFonts w:ascii="Cambria Math" w:hAnsi="Cambria Math"/>
                            </w:rPr>
                            <m:t>k-1</m:t>
                          </m:r>
                        </m:e>
                      </m:d>
                      <m:ctrlPr>
                        <w:rPr>
                          <w:rFonts w:ascii="Cambria Math" w:hAnsi="Cambria Math"/>
                          <w:i/>
                          <w:iCs/>
                        </w:rPr>
                      </m:ctrlPr>
                    </m:num>
                    <m:den>
                      <m:r>
                        <w:rPr>
                          <w:rFonts w:ascii="Cambria Math" w:hAnsi="Cambria Math"/>
                        </w:rPr>
                        <m:t>Q</m:t>
                      </m:r>
                      <m:ctrlPr>
                        <w:rPr>
                          <w:rFonts w:ascii="Cambria Math" w:hAnsi="Cambria Math"/>
                          <w:i/>
                          <w:iCs/>
                        </w:rPr>
                      </m:ctrlPr>
                    </m:den>
                  </m:f>
                  <m:ctrlPr>
                    <w:rPr>
                      <w:rFonts w:ascii="Cambria Math" w:hAnsi="Cambria Math"/>
                      <w:i/>
                      <w:iCs/>
                    </w:rPr>
                  </m:ctrlPr>
                </m:e>
              </m:d>
            </m:e>
          </m:func>
          <m:r>
            <m:rPr>
              <m:sty m:val="p"/>
            </m:rPr>
            <w:rPr>
              <w:rFonts w:ascii="Cambria Math" w:hAnsi="Cambria Math" w:hint="eastAsia"/>
            </w:rPr>
            <m:t>×</m:t>
          </m:r>
          <m:r>
            <w:rPr>
              <w:rFonts w:ascii="Cambria Math" w:hAnsi="Cambria Math"/>
            </w:rPr>
            <m:t>100%</m:t>
          </m:r>
        </m:oMath>
      </m:oMathPara>
    </w:p>
    <w:p w14:paraId="232A4269" w14:textId="5DD6C3FB" w:rsidR="00092C7B" w:rsidRPr="00E13B07" w:rsidRDefault="00261750" w:rsidP="00E13B07">
      <w:pPr>
        <w:spacing w:after="120" w:line="360" w:lineRule="auto"/>
        <w:ind w:firstLine="360"/>
        <w:jc w:val="both"/>
        <w:rPr>
          <w:rFonts w:ascii="Cambria Math" w:hAnsi="Cambria Math"/>
          <w:oMath/>
        </w:rPr>
      </w:pPr>
      <m:oMathPara>
        <m:oMath>
          <m:r>
            <w:rPr>
              <w:rFonts w:ascii="Cambria Math" w:hAnsi="Cambria Math"/>
            </w:rPr>
            <m:t>PI=</m:t>
          </m:r>
          <m:acc>
            <m:accPr>
              <m:ctrlPr>
                <w:rPr>
                  <w:rFonts w:ascii="Cambria Math" w:hAnsi="Cambria Math"/>
                  <w:iCs/>
                </w:rPr>
              </m:ctrlPr>
            </m:accPr>
            <m:e>
              <m:r>
                <m:rPr>
                  <m:sty m:val="p"/>
                </m:rPr>
                <w:rPr>
                  <w:rFonts w:ascii="Cambria Math" w:hAnsi="Cambria Math"/>
                </w:rPr>
                <m:t>θ</m:t>
              </m:r>
            </m:e>
          </m:acc>
          <m:r>
            <m:rPr>
              <m:sty m:val="p"/>
            </m:rPr>
            <w:rPr>
              <w:rFonts w:ascii="Cambria Math" w:hAnsi="Cambria Math" w:hint="eastAsia"/>
            </w:rPr>
            <m:t>±</m:t>
          </m:r>
          <m:r>
            <w:rPr>
              <w:rFonts w:ascii="Cambria Math" w:hAnsi="Cambria Math"/>
            </w:rPr>
            <m:t>t</m:t>
          </m:r>
          <m:rad>
            <m:radPr>
              <m:degHide m:val="1"/>
              <m:ctrlPr>
                <w:rPr>
                  <w:rFonts w:ascii="Cambria Math" w:hAnsi="Cambria Math"/>
                  <w:iCs/>
                </w:rPr>
              </m:ctrlPr>
            </m:radPr>
            <m:deg>
              <m:ctrlPr>
                <w:rPr>
                  <w:rFonts w:ascii="Cambria Math" w:hAnsi="Cambria Math"/>
                  <w:i/>
                  <w:iCs/>
                </w:rPr>
              </m:ctrlPr>
            </m:deg>
            <m:e>
              <m:r>
                <w:rPr>
                  <w:rFonts w:ascii="Cambria Math" w:hAnsi="Cambria Math"/>
                </w:rPr>
                <m:t>S</m:t>
              </m:r>
              <m:sSubSup>
                <m:sSubSupPr>
                  <m:ctrlPr>
                    <w:rPr>
                      <w:rFonts w:ascii="Cambria Math" w:hAnsi="Cambria Math"/>
                      <w:i/>
                      <w:iCs/>
                    </w:rPr>
                  </m:ctrlPr>
                </m:sSubSupPr>
                <m:e>
                  <m:r>
                    <w:rPr>
                      <w:rFonts w:ascii="Cambria Math" w:hAnsi="Cambria Math"/>
                    </w:rPr>
                    <m:t>E</m:t>
                  </m:r>
                </m:e>
                <m:sub>
                  <m:acc>
                    <m:accPr>
                      <m:ctrlPr>
                        <w:rPr>
                          <w:rFonts w:ascii="Cambria Math" w:hAnsi="Cambria Math"/>
                          <w:iCs/>
                        </w:rPr>
                      </m:ctrlPr>
                    </m:accPr>
                    <m:e>
                      <m:r>
                        <m:rPr>
                          <m:sty m:val="p"/>
                        </m:rPr>
                        <w:rPr>
                          <w:rFonts w:ascii="Cambria Math" w:hAnsi="Cambria Math"/>
                        </w:rPr>
                        <m:t>θ</m:t>
                      </m:r>
                    </m:e>
                  </m:acc>
                </m:sub>
                <m:sup>
                  <m:r>
                    <w:rPr>
                      <w:rFonts w:ascii="Cambria Math" w:hAnsi="Cambria Math"/>
                    </w:rPr>
                    <m:t>2</m:t>
                  </m:r>
                </m:sup>
              </m:sSubSup>
              <m:r>
                <w:rPr>
                  <w:rFonts w:ascii="Cambria Math" w:hAnsi="Cambria Math"/>
                </w:rPr>
                <m:t>+</m:t>
              </m:r>
              <m:sSup>
                <m:sSupPr>
                  <m:ctrlPr>
                    <w:rPr>
                      <w:rFonts w:ascii="Cambria Math" w:hAnsi="Cambria Math"/>
                      <w:i/>
                      <w:iCs/>
                    </w:rPr>
                  </m:ctrlPr>
                </m:sSupPr>
                <m:e>
                  <m:acc>
                    <m:accPr>
                      <m:ctrlPr>
                        <w:rPr>
                          <w:rFonts w:ascii="Cambria Math" w:hAnsi="Cambria Math"/>
                          <w:iCs/>
                        </w:rPr>
                      </m:ctrlPr>
                    </m:accPr>
                    <m:e>
                      <m:r>
                        <m:rPr>
                          <m:sty m:val="p"/>
                        </m:rPr>
                        <w:rPr>
                          <w:rFonts w:ascii="Cambria Math" w:hAnsi="Cambria Math"/>
                        </w:rPr>
                        <m:t>τ</m:t>
                      </m:r>
                    </m:e>
                  </m:acc>
                </m:e>
                <m:sup>
                  <m:r>
                    <w:rPr>
                      <w:rFonts w:ascii="Cambria Math" w:hAnsi="Cambria Math"/>
                    </w:rPr>
                    <m:t>2</m:t>
                  </m:r>
                </m:sup>
              </m:sSup>
            </m:e>
          </m:rad>
        </m:oMath>
      </m:oMathPara>
    </w:p>
    <w:p w14:paraId="51FBAB3E" w14:textId="5109B77C" w:rsidR="000C3784" w:rsidRPr="000D52E9" w:rsidRDefault="00D450DC">
      <w:pPr>
        <w:pStyle w:val="3"/>
        <w:rPr>
          <w:rFonts w:eastAsiaTheme="minorEastAsia"/>
        </w:rPr>
      </w:pPr>
      <w:r>
        <w:t>3.</w:t>
      </w:r>
      <w:r w:rsidR="00CB4E77">
        <w:rPr>
          <w:rFonts w:eastAsiaTheme="minorEastAsia" w:hint="eastAsia"/>
        </w:rPr>
        <w:t>7.</w:t>
      </w:r>
      <w:r>
        <w:t>3. Subgroup and Sensitivity Analyses</w:t>
      </w:r>
      <w:r w:rsidR="000D52E9">
        <w:rPr>
          <w:rFonts w:eastAsiaTheme="minorEastAsia" w:hint="eastAsia"/>
        </w:rPr>
        <w:t xml:space="preserve"> </w:t>
      </w:r>
    </w:p>
    <w:p w14:paraId="3637E4FB" w14:textId="3D7A81AC" w:rsidR="00BA7E47" w:rsidRPr="004F1570" w:rsidRDefault="004F1570" w:rsidP="00396FAE">
      <w:pPr>
        <w:spacing w:after="120" w:line="360" w:lineRule="auto"/>
        <w:ind w:firstLine="360"/>
        <w:jc w:val="both"/>
        <w:rPr>
          <w:b/>
          <w:bCs/>
        </w:rPr>
      </w:pPr>
      <w:r w:rsidRPr="004F1570">
        <w:rPr>
          <w:rFonts w:hint="eastAsia"/>
          <w:b/>
          <w:bCs/>
        </w:rPr>
        <w:t>Subgroup analyses and meta-regression</w:t>
      </w:r>
    </w:p>
    <w:p w14:paraId="6A1C2600" w14:textId="77777777" w:rsidR="00F424E4" w:rsidRDefault="00F424E4" w:rsidP="003D728B">
      <w:pPr>
        <w:spacing w:after="120" w:line="360" w:lineRule="auto"/>
        <w:ind w:firstLine="360"/>
        <w:jc w:val="both"/>
      </w:pPr>
      <w:r w:rsidRPr="00F424E4">
        <w:t>Subgroup analysis, also called moderator analysis, identifies which study-level characteristics explain the heterogeneity observed in the data, that is, why effect sizes differ across groups of studies. The model is close to the random-effects model used in the main analysis, with one change. The observed effect of each study still decomposes into a true effect and sampling error.</w:t>
      </w:r>
    </w:p>
    <w:p w14:paraId="39AE30E7" w14:textId="24158F03" w:rsidR="003D728B" w:rsidRPr="00F424E4" w:rsidRDefault="00000000" w:rsidP="003D728B">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4BA187B8" w14:textId="6B55B198" w:rsidR="00F424E4" w:rsidRPr="00F424E4" w:rsidRDefault="00000000" w:rsidP="00F424E4">
      <w:pPr>
        <w:spacing w:after="120" w:line="360" w:lineRule="auto"/>
        <w:jc w:val="both"/>
      </w:pPr>
      <m:oMathPara>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e>
          </m:d>
        </m:oMath>
      </m:oMathPara>
    </w:p>
    <w:p w14:paraId="307FD496" w14:textId="77777777" w:rsidR="00F424E4" w:rsidRDefault="003D728B" w:rsidP="00F424E4">
      <w:pPr>
        <w:spacing w:after="120" w:line="360" w:lineRule="auto"/>
        <w:jc w:val="both"/>
      </w:pPr>
      <w:r>
        <w:tab/>
      </w:r>
      <w:bookmarkStart w:id="28" w:name="OLE_LINK91"/>
      <w:r w:rsidR="00F424E4" w:rsidRPr="00F424E4">
        <w:t xml:space="preserve">The only difference is that the true effect of each study is now centered on the mean of its own subgroup, </w:t>
      </w:r>
      <w:r w:rsidR="00F424E4" w:rsidRPr="00F424E4">
        <w:rPr>
          <w:i/>
          <w:iCs/>
        </w:rPr>
        <w:t>μ</w:t>
      </w:r>
      <w:r w:rsidR="00F424E4" w:rsidRPr="00F424E4">
        <w:t>ⱼ, rather than on a single overall mean. The same between-study variance is assumed within each subgroup.</w:t>
      </w:r>
    </w:p>
    <w:p w14:paraId="52026CF8" w14:textId="099EA333" w:rsidR="00F424E4" w:rsidRPr="00F424E4" w:rsidRDefault="00F424E4" w:rsidP="00F424E4">
      <w:pPr>
        <w:spacing w:after="120" w:line="360" w:lineRule="auto"/>
        <w:ind w:firstLine="420"/>
        <w:jc w:val="both"/>
      </w:pPr>
      <w:r w:rsidRPr="00F424E4">
        <w:t>A difference between the observed subgroup means</w:t>
      </w:r>
      <w:r>
        <w:rPr>
          <w:rFonts w:hint="eastAsia"/>
        </w:rPr>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oMath>
      <w:r w:rsidRPr="00F424E4">
        <w:t xml:space="preserve">​ does not by itself establish a real subgroup effect. It cannot show whether the dispersion between groups is larger than would be expected from random fluctuation. This is tested with the between-subgroup </w:t>
      </w:r>
      <w:r w:rsidRPr="00F424E4">
        <w:rPr>
          <w:rFonts w:hint="eastAsia"/>
          <w:i/>
          <w:iCs/>
        </w:rPr>
        <w:t>Q</w:t>
      </w:r>
      <w:r w:rsidRPr="00F424E4">
        <w:t xml:space="preserve"> statistic.</w:t>
      </w:r>
    </w:p>
    <w:p w14:paraId="18571E67" w14:textId="6B10C108" w:rsidR="00BF4029" w:rsidRPr="00B13DC9"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w:bookmarkEnd w:id="28"/>
          <m:r>
            <w:rPr>
              <w:rFonts w:ascii="Cambria Math" w:hAnsi="Cambria Math"/>
            </w:rPr>
            <m:t>=</m:t>
          </m:r>
          <w:bookmarkStart w:id="29" w:name="OLE_LINK85"/>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w:bookmarkEnd w:id="29"/>
          <m:r>
            <w:rPr>
              <w:rFonts w:ascii="Cambria Math" w:hAnsi="Cambria Math"/>
            </w:rPr>
            <m:t>-</m:t>
          </m:r>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oMath>
      </m:oMathPara>
    </w:p>
    <w:p w14:paraId="504E21D4" w14:textId="77777777" w:rsidR="00E13B07" w:rsidRPr="00E13B07"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total</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r>
                            <m:rPr>
                              <m:sty m:val="p"/>
                            </m:rPr>
                            <w:rPr>
                              <w:rFonts w:ascii="Cambria Math" w:hAnsi="Cambria Math"/>
                            </w:rPr>
                            <m:t>μ</m:t>
                          </m:r>
                        </m:e>
                      </m:acc>
                    </m:e>
                  </m:d>
                </m:e>
                <m:sup>
                  <m:r>
                    <w:rPr>
                      <w:rFonts w:ascii="Cambria Math" w:hAnsi="Cambria Math"/>
                    </w:rPr>
                    <m:t>2</m:t>
                  </m:r>
                </m:sup>
              </m:sSup>
              <m:ctrlPr>
                <w:rPr>
                  <w:rFonts w:ascii="Cambria Math" w:hAnsi="Cambria Math"/>
                  <w:i/>
                </w:rPr>
              </m:ctrlPr>
            </m:e>
          </m:nary>
        </m:oMath>
      </m:oMathPara>
    </w:p>
    <w:p w14:paraId="0A4ACFB0" w14:textId="732A6222" w:rsidR="00B13DC9"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within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m:rPr>
                  <m:sty m:val="p"/>
                </m:rPr>
                <w:rPr>
                  <w:rFonts w:ascii="Cambria Math" w:hAnsi="Cambria Math"/>
                </w:rPr>
                <m:t>G</m:t>
              </m:r>
            </m:sup>
            <m:e>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ctrlPr>
                            <w:rPr>
                              <w:rFonts w:ascii="Cambria Math" w:hAnsi="Cambria Math"/>
                              <w:i/>
                            </w:rPr>
                          </m:ctrlPr>
                        </m:e>
                      </m:d>
                    </m:e>
                    <m:sup>
                      <m:r>
                        <w:rPr>
                          <w:rFonts w:ascii="Cambria Math" w:hAnsi="Cambria Math"/>
                        </w:rPr>
                        <m:t>2</m:t>
                      </m:r>
                    </m:sup>
                  </m:sSup>
                </m:e>
              </m:nary>
            </m:e>
          </m:nary>
        </m:oMath>
      </m:oMathPara>
    </w:p>
    <w:p w14:paraId="64CA786D" w14:textId="73594FF6" w:rsidR="00C43BB7" w:rsidRPr="00C43BB7" w:rsidRDefault="00000000" w:rsidP="003D728B">
      <w:pPr>
        <w:spacing w:after="120" w:line="360" w:lineRule="auto"/>
        <w:jc w:val="both"/>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m:rPr>
                  <m:sty m:val="p"/>
                </m:rPr>
                <w:rPr>
                  <w:rFonts w:ascii="Cambria Math" w:hAnsi="Cambria Math"/>
                </w:rPr>
                <m:t>between</m:t>
              </m:r>
            </m:sub>
          </m:sSub>
          <m:r>
            <m:rPr>
              <m:sty m:val="p"/>
            </m:rPr>
            <w:rPr>
              <w:rFonts w:ascii="Cambria Math" w:hAnsi="Cambria Math" w:cs="Cambria Math"/>
            </w:rPr>
            <m:t>∼</m:t>
          </m:r>
          <m:sSubSup>
            <m:sSubSupPr>
              <m:ctrlPr>
                <w:rPr>
                  <w:rFonts w:ascii="Cambria Math" w:hAnsi="Cambria Math"/>
                  <w:i/>
                </w:rPr>
              </m:ctrlPr>
            </m:sSubSupPr>
            <m:e>
              <m:r>
                <w:rPr>
                  <w:rFonts w:ascii="Cambria Math" w:hAnsi="Cambria Math"/>
                </w:rPr>
                <m:t>χ</m:t>
              </m:r>
              <m:ctrlPr>
                <w:rPr>
                  <w:rFonts w:ascii="Cambria Math" w:hAnsi="Cambria Math" w:cs="Cambria Math"/>
                </w:rPr>
              </m:ctrlPr>
            </m:e>
            <m:sub>
              <m:r>
                <w:rPr>
                  <w:rFonts w:ascii="Cambria Math" w:hAnsi="Cambria Math"/>
                </w:rPr>
                <m:t>G-1</m:t>
              </m:r>
            </m:sub>
            <m:sup>
              <m:r>
                <w:rPr>
                  <w:rFonts w:ascii="Cambria Math" w:hAnsi="Cambria Math"/>
                </w:rPr>
                <m:t>2</m:t>
              </m:r>
            </m:sup>
          </m:sSubSup>
        </m:oMath>
      </m:oMathPara>
    </w:p>
    <w:p w14:paraId="04126ACC" w14:textId="2A14F7E5" w:rsidR="00BD7461" w:rsidRDefault="00F424E4" w:rsidP="00F424E4">
      <w:pPr>
        <w:spacing w:after="120" w:line="360" w:lineRule="auto"/>
        <w:ind w:firstLine="360"/>
      </w:pPr>
      <w:proofErr w:type="spellStart"/>
      <w:r w:rsidRPr="00F424E4">
        <w:rPr>
          <w:i/>
          <w:iCs/>
        </w:rPr>
        <w:lastRenderedPageBreak/>
        <w:t>Q</w:t>
      </w:r>
      <w:r w:rsidRPr="00F424E4">
        <w:rPr>
          <w:vertAlign w:val="subscript"/>
        </w:rPr>
        <w:t>total</w:t>
      </w:r>
      <w:proofErr w:type="spellEnd"/>
      <w:r w:rsidRPr="00F424E4">
        <w:t xml:space="preserve">​ is the total heterogeneity across all studies, computed as the weighted squared deviation of each study effect from the overall pooled effect. </w:t>
      </w:r>
      <w:proofErr w:type="spellStart"/>
      <w:r w:rsidRPr="00F424E4">
        <w:rPr>
          <w:i/>
          <w:iCs/>
        </w:rPr>
        <w:t>Q</w:t>
      </w:r>
      <w:r w:rsidRPr="00F424E4">
        <w:rPr>
          <w:vertAlign w:val="subscript"/>
        </w:rPr>
        <w:t>within</w:t>
      </w:r>
      <w:proofErr w:type="spellEnd"/>
      <w:r w:rsidRPr="00F424E4">
        <w:t xml:space="preserve"> is the heterogeneity that remains inside the subgroups, computed as the weighted squared deviation of each study effect from its own subgroup mean.</w:t>
      </w:r>
      <w:bookmarkStart w:id="30" w:name="OLE_LINK92"/>
      <w:r w:rsidRPr="00F424E4">
        <w:t xml:space="preserve"> </w:t>
      </w:r>
      <w:proofErr w:type="spellStart"/>
      <w:r w:rsidRPr="00F424E4">
        <w:rPr>
          <w:i/>
          <w:iCs/>
        </w:rPr>
        <w:t>Q</w:t>
      </w:r>
      <w:r w:rsidRPr="00F424E4">
        <w:rPr>
          <w:vertAlign w:val="subscript"/>
        </w:rPr>
        <w:t>between</w:t>
      </w:r>
      <w:bookmarkEnd w:id="30"/>
      <w:proofErr w:type="spellEnd"/>
      <w:r w:rsidRPr="00F424E4">
        <w:t xml:space="preserve"> ​ is the remaining part of the total heterogeneity that is accounted for by differences between the subgroup means. A large </w:t>
      </w:r>
      <w:proofErr w:type="spellStart"/>
      <w:r w:rsidRPr="00F424E4">
        <w:rPr>
          <w:i/>
          <w:iCs/>
        </w:rPr>
        <w:t>Q</w:t>
      </w:r>
      <w:r w:rsidRPr="00F424E4">
        <w:rPr>
          <w:vertAlign w:val="subscript"/>
        </w:rPr>
        <w:t>between</w:t>
      </w:r>
      <w:proofErr w:type="spellEnd"/>
      <w:r w:rsidRPr="00F424E4">
        <w:t xml:space="preserve"> relative to its degrees of freedom indicates that the subgroups differ by more than random fluctuation. The same quantity can be written directly as a weighted sum of squared deviations of the subgroup means from the overall mean.</w:t>
      </w:r>
      <w:r>
        <w:tab/>
      </w:r>
    </w:p>
    <w:p w14:paraId="453EE24D" w14:textId="10B46B47" w:rsidR="00F424E4" w:rsidRPr="004D3A91" w:rsidRDefault="00000000" w:rsidP="00F424E4">
      <w:pPr>
        <w:spacing w:after="120" w:line="360" w:lineRule="auto"/>
      </w:pPr>
      <m:oMathPara>
        <m:oMath>
          <m:sSub>
            <m:sSubPr>
              <m:ctrlPr>
                <w:rPr>
                  <w:rFonts w:ascii="Cambria Math" w:hAnsi="Cambria Math"/>
                  <w:i/>
                </w:rPr>
              </m:ctrlPr>
            </m:sSubPr>
            <m:e>
              <m:r>
                <w:rPr>
                  <w:rFonts w:ascii="Cambria Math" w:hAnsi="Cambria Math"/>
                </w:rPr>
                <m:t>Q</m:t>
              </m:r>
            </m:e>
            <m:sub>
              <m:r>
                <m:rPr>
                  <m:sty m:val="p"/>
                </m:rPr>
                <w:rPr>
                  <w:rFonts w:ascii="Cambria Math" w:hAnsi="Cambria Math"/>
                </w:rPr>
                <m:t>between</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G</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acc>
                    <m:accPr>
                      <m:ctrlPr>
                        <w:rPr>
                          <w:rFonts w:ascii="Cambria Math" w:hAnsi="Cambria Math"/>
                        </w:rPr>
                      </m:ctrlPr>
                    </m:accPr>
                    <m:e>
                      <m:r>
                        <m:rPr>
                          <m:sty m:val="p"/>
                        </m:rPr>
                        <w:rPr>
                          <w:rFonts w:ascii="Cambria Math" w:hAnsi="Cambria Math"/>
                        </w:rPr>
                        <m:t>μ</m:t>
                      </m:r>
                    </m:e>
                  </m:acc>
                </m:e>
                <m:sub>
                  <m:r>
                    <w:rPr>
                      <w:rFonts w:ascii="Cambria Math" w:hAnsi="Cambria Math"/>
                    </w:rPr>
                    <m:t>j</m:t>
                  </m:r>
                </m:sub>
              </m:sSub>
              <m:r>
                <w:rPr>
                  <w:rFonts w:ascii="Cambria Math" w:hAnsi="Cambria Math"/>
                </w:rPr>
                <m:t>-</m:t>
              </m:r>
              <m:sSup>
                <m:sSupPr>
                  <m:ctrlPr>
                    <w:rPr>
                      <w:rFonts w:ascii="Cambria Math" w:hAnsi="Cambria Math"/>
                      <w:i/>
                    </w:rPr>
                  </m:ctrlPr>
                </m:sSupPr>
                <m:e>
                  <m:acc>
                    <m:accPr>
                      <m:ctrlPr>
                        <w:rPr>
                          <w:rFonts w:ascii="Cambria Math" w:hAnsi="Cambria Math"/>
                        </w:rPr>
                      </m:ctrlPr>
                    </m:accPr>
                    <m:e>
                      <m:r>
                        <m:rPr>
                          <m:sty m:val="p"/>
                        </m:rPr>
                        <w:rPr>
                          <w:rFonts w:ascii="Cambria Math" w:hAnsi="Cambria Math"/>
                        </w:rPr>
                        <m:t>μ</m:t>
                      </m:r>
                    </m:e>
                  </m:acc>
                </m:e>
                <m:sup>
                  <m:r>
                    <w:rPr>
                      <w:rFonts w:ascii="Cambria Math" w:hAnsi="Cambria Math"/>
                    </w:rPr>
                    <m:t>2</m:t>
                  </m:r>
                </m:sup>
              </m:sSup>
              <m:ctrlPr>
                <w:rPr>
                  <w:rFonts w:ascii="Cambria Math" w:hAnsi="Cambria Math"/>
                  <w:i/>
                </w:rPr>
              </m:ctrlPr>
            </m:e>
          </m:nary>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w:rPr>
                  <w:rFonts w:ascii="Cambria Math" w:hAnsi="Cambria Math"/>
                </w:rPr>
                <m:t>j</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oMath>
      </m:oMathPara>
    </w:p>
    <w:p w14:paraId="39AD2969" w14:textId="7D000290" w:rsidR="004D3A91" w:rsidRPr="00D74777" w:rsidRDefault="0018574F" w:rsidP="0018574F">
      <w:pPr>
        <w:spacing w:after="120"/>
        <w:rPr>
          <w:sz w:val="16"/>
          <w:szCs w:val="16"/>
        </w:rPr>
      </w:pPr>
      <w:r w:rsidRPr="0018574F">
        <w:rPr>
          <w:i/>
          <w:iCs/>
          <w:sz w:val="16"/>
          <w:szCs w:val="16"/>
        </w:rPr>
        <w:t>Note</w:t>
      </w:r>
      <w:r w:rsidRPr="0018574F">
        <w:rPr>
          <w:sz w:val="16"/>
          <w:szCs w:val="16"/>
        </w:rPr>
        <w:t xml:space="preserve">. </w:t>
      </w:r>
      <m:oMath>
        <m:sSub>
          <m:sSubPr>
            <m:ctrlPr>
              <w:rPr>
                <w:rFonts w:ascii="Cambria Math" w:hAnsi="Cambria Math"/>
                <w:i/>
                <w:sz w:val="16"/>
                <w:szCs w:val="16"/>
              </w:rPr>
            </m:ctrlPr>
          </m:sSubPr>
          <m:e>
            <m:r>
              <m:rPr>
                <m:sty m:val="p"/>
              </m:rPr>
              <w:rPr>
                <w:rFonts w:ascii="Cambria Math" w:hAnsi="Cambria Math"/>
                <w:sz w:val="16"/>
                <w:szCs w:val="16"/>
              </w:rPr>
              <m:t>μ</m:t>
            </m:r>
            <m:ctrlPr>
              <w:rPr>
                <w:rFonts w:ascii="Cambria Math" w:hAnsi="Cambria Math"/>
                <w:sz w:val="16"/>
                <w:szCs w:val="16"/>
              </w:rPr>
            </m:ctrlPr>
          </m:e>
          <m:sub>
            <m:r>
              <w:rPr>
                <w:rFonts w:ascii="Cambria Math" w:hAnsi="Cambria Math"/>
                <w:sz w:val="16"/>
                <w:szCs w:val="16"/>
              </w:rPr>
              <m:t>j</m:t>
            </m:r>
          </m:sub>
        </m:sSub>
      </m:oMath>
      <w:r>
        <w:rPr>
          <w:rFonts w:hint="eastAsia"/>
          <w:sz w:val="16"/>
          <w:szCs w:val="16"/>
        </w:rPr>
        <w:t xml:space="preserve"> and </w:t>
      </w:r>
      <m:oMath>
        <m:sSub>
          <m:sSubPr>
            <m:ctrlPr>
              <w:rPr>
                <w:rFonts w:ascii="Cambria Math" w:hAnsi="Cambria Math"/>
                <w:i/>
                <w:sz w:val="16"/>
                <w:szCs w:val="16"/>
              </w:rPr>
            </m:ctrlPr>
          </m:sSubPr>
          <m:e>
            <m:acc>
              <m:accPr>
                <m:ctrlPr>
                  <w:rPr>
                    <w:rFonts w:ascii="Cambria Math" w:hAnsi="Cambria Math"/>
                    <w:sz w:val="16"/>
                    <w:szCs w:val="16"/>
                  </w:rPr>
                </m:ctrlPr>
              </m:accPr>
              <m:e>
                <m:r>
                  <m:rPr>
                    <m:sty m:val="p"/>
                  </m:rPr>
                  <w:rPr>
                    <w:rFonts w:ascii="Cambria Math" w:hAnsi="Cambria Math"/>
                    <w:sz w:val="16"/>
                    <w:szCs w:val="16"/>
                  </w:rPr>
                  <m:t>μ</m:t>
                </m:r>
              </m:e>
            </m:acc>
          </m:e>
          <m:sub>
            <m:r>
              <w:rPr>
                <w:rFonts w:ascii="Cambria Math" w:hAnsi="Cambria Math"/>
                <w:sz w:val="16"/>
                <w:szCs w:val="16"/>
              </w:rPr>
              <m:t>j</m:t>
            </m:r>
          </m:sub>
        </m:sSub>
      </m:oMath>
      <w:r w:rsidRPr="0018574F">
        <w:rPr>
          <w:sz w:val="16"/>
          <w:szCs w:val="16"/>
        </w:rPr>
        <w:t xml:space="preserve"> = true and estimated mean effect of subgroup</w:t>
      </w:r>
      <w:r w:rsidRPr="0018574F">
        <w:rPr>
          <w:i/>
          <w:iCs/>
          <w:sz w:val="16"/>
          <w:szCs w:val="16"/>
        </w:rPr>
        <w:t xml:space="preserve"> </w:t>
      </w:r>
      <w:r w:rsidRPr="0018574F">
        <w:rPr>
          <w:rFonts w:hint="eastAsia"/>
          <w:i/>
          <w:iCs/>
          <w:sz w:val="16"/>
          <w:szCs w:val="16"/>
        </w:rPr>
        <w:t>j</w:t>
      </w:r>
      <w:r w:rsidRPr="0018574F">
        <w:rPr>
          <w:i/>
          <w:iCs/>
          <w:sz w:val="16"/>
          <w:szCs w:val="16"/>
        </w:rPr>
        <w:t>.</w:t>
      </w:r>
      <w:r>
        <w:rPr>
          <w:rFonts w:hint="eastAsia"/>
          <w:sz w:val="16"/>
          <w:szCs w:val="16"/>
        </w:rPr>
        <w:t xml:space="preserve"> </w:t>
      </w:r>
      <m:oMath>
        <m:acc>
          <m:accPr>
            <m:ctrlPr>
              <w:rPr>
                <w:rFonts w:ascii="Cambria Math" w:hAnsi="Cambria Math"/>
                <w:sz w:val="16"/>
                <w:szCs w:val="16"/>
              </w:rPr>
            </m:ctrlPr>
          </m:accPr>
          <m:e>
            <m:r>
              <m:rPr>
                <m:sty m:val="p"/>
              </m:rPr>
              <w:rPr>
                <w:rFonts w:ascii="Cambria Math" w:hAnsi="Cambria Math"/>
                <w:sz w:val="16"/>
                <w:szCs w:val="16"/>
              </w:rPr>
              <m:t>μ</m:t>
            </m:r>
          </m:e>
        </m:acc>
      </m:oMath>
      <w:r w:rsidRPr="0018574F">
        <w:rPr>
          <w:sz w:val="16"/>
          <w:szCs w:val="16"/>
        </w:rPr>
        <w:t xml:space="preserve">​ = overall pooled estimate (denoted </w:t>
      </w:r>
      <m:oMath>
        <m:acc>
          <m:accPr>
            <m:ctrlPr>
              <w:rPr>
                <w:rFonts w:ascii="Cambria Math" w:hAnsi="Cambria Math"/>
                <w:sz w:val="16"/>
                <w:szCs w:val="16"/>
              </w:rPr>
            </m:ctrlPr>
          </m:accPr>
          <m:e>
            <m:r>
              <m:rPr>
                <m:sty m:val="p"/>
              </m:rPr>
              <w:rPr>
                <w:rFonts w:ascii="Cambria Math" w:hAnsi="Cambria Math"/>
                <w:sz w:val="16"/>
                <w:szCs w:val="16"/>
              </w:rPr>
              <m:t>θ</m:t>
            </m:r>
          </m:e>
        </m:acc>
      </m:oMath>
      <w:r w:rsidRPr="0018574F">
        <w:rPr>
          <w:sz w:val="16"/>
          <w:szCs w:val="16"/>
        </w:rPr>
        <w:t xml:space="preserve"> in Section 3.7.2).</w:t>
      </w:r>
      <w:r w:rsidRPr="00D74777">
        <w:rPr>
          <w:i/>
          <w:iCs/>
          <w:sz w:val="16"/>
          <w:szCs w:val="16"/>
        </w:rPr>
        <w:t xml:space="preserve"> G</w:t>
      </w:r>
      <w:r w:rsidRPr="0018574F">
        <w:rPr>
          <w:sz w:val="16"/>
          <w:szCs w:val="16"/>
        </w:rPr>
        <w:t xml:space="preserve"> = number of subgroups.</w:t>
      </w:r>
    </w:p>
    <w:p w14:paraId="1A8348EE" w14:textId="58693E74" w:rsidR="004F1570" w:rsidRDefault="004F1570" w:rsidP="00481B02">
      <w:pPr>
        <w:spacing w:after="120" w:line="360" w:lineRule="auto"/>
        <w:jc w:val="both"/>
      </w:pPr>
    </w:p>
    <w:p w14:paraId="3DAE2C46" w14:textId="3A8EA51D" w:rsidR="0026581C" w:rsidRDefault="0026581C" w:rsidP="003F0C00">
      <w:pPr>
        <w:spacing w:after="120" w:line="360" w:lineRule="auto"/>
        <w:ind w:firstLine="360"/>
        <w:jc w:val="both"/>
      </w:pPr>
      <w:r w:rsidRPr="0026581C">
        <w:t xml:space="preserve">Subgroup analysis is a special case of a more general model (Harrer et al., 2021). A categorical moderator compares group means, whereas a continuous moderator estimates how the effect size changes across its full range. The latter is meta-regression. Subgroup analysis is therefore a meta-regression with a categorical predictor, and meta-regression generalizes it by treating the moderator as continuous rather than binning studies into groups. In a random-effects meta-regression, the true effect of each study is modeled as a linear function of a moderator </w:t>
      </w:r>
      <w:r w:rsidRPr="0026581C">
        <w:rPr>
          <w:i/>
          <w:iCs/>
        </w:rPr>
        <w:t>x</w:t>
      </w:r>
      <w:r w:rsidRPr="0026581C">
        <w:t>ᵢ.</w:t>
      </w:r>
    </w:p>
    <w:bookmarkStart w:id="31" w:name="OLE_LINK93"/>
    <w:p w14:paraId="7E78269D" w14:textId="64BC8321" w:rsidR="0026581C" w:rsidRPr="003F0C00" w:rsidRDefault="00000000" w:rsidP="0026581C">
      <w:pPr>
        <w:spacing w:after="120" w:line="360" w:lineRule="auto"/>
        <w:ind w:firstLine="360"/>
        <w:jc w:val="both"/>
      </w:pPr>
      <m:oMathPara>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w:bookmarkEnd w:id="31"/>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w:bookmarkStart w:id="32" w:name="OLE_LINK95"/>
          <m:sSub>
            <m:sSubPr>
              <m:ctrlPr>
                <w:rPr>
                  <w:rFonts w:ascii="Cambria Math" w:hAnsi="Cambria Math"/>
                  <w:i/>
                </w:rPr>
              </m:ctrlPr>
            </m:sSubPr>
            <m:e>
              <m:r>
                <w:rPr>
                  <w:rFonts w:ascii="Cambria Math" w:hAnsi="Cambria Math"/>
                </w:rPr>
                <m:t>x</m:t>
              </m:r>
            </m:e>
            <m:sub>
              <m:r>
                <w:rPr>
                  <w:rFonts w:ascii="Cambria Math" w:hAnsi="Cambria Math"/>
                </w:rPr>
                <m:t>i</m:t>
              </m:r>
            </m:sub>
          </m:sSub>
          <w:bookmarkEnd w:id="32"/>
          <m:r>
            <w:rPr>
              <w:rFonts w:ascii="Cambria Math" w:hAnsi="Cambria Math"/>
            </w:rPr>
            <m:t>+</m:t>
          </m:r>
          <w:bookmarkStart w:id="33" w:name="OLE_LINK97"/>
          <m:sSub>
            <m:sSubPr>
              <m:ctrlPr>
                <w:rPr>
                  <w:rFonts w:ascii="Cambria Math" w:hAnsi="Cambria Math"/>
                  <w:i/>
                </w:rPr>
              </m:ctrlPr>
            </m:sSubPr>
            <m:e>
              <m:r>
                <w:rPr>
                  <w:rFonts w:ascii="Cambria Math" w:hAnsi="Cambria Math"/>
                </w:rPr>
                <m:t>u</m:t>
              </m:r>
            </m:e>
            <m:sub>
              <m:r>
                <w:rPr>
                  <w:rFonts w:ascii="Cambria Math" w:hAnsi="Cambria Math"/>
                </w:rPr>
                <m:t>i</m:t>
              </m:r>
            </m:sub>
          </m:sSub>
          <w:bookmarkEnd w:id="33"/>
          <m:r>
            <w:rPr>
              <w:rFonts w:ascii="Cambria Math" w:hAnsi="Cambria Math"/>
            </w:rPr>
            <m:t>+</m:t>
          </m:r>
          <w:bookmarkStart w:id="34" w:name="OLE_LINK94"/>
          <m:sSub>
            <m:sSubPr>
              <m:ctrlPr>
                <w:rPr>
                  <w:rFonts w:ascii="Cambria Math" w:hAnsi="Cambria Math"/>
                  <w:i/>
                </w:rPr>
              </m:ctrlPr>
            </m:sSubPr>
            <m:e>
              <m:r>
                <w:rPr>
                  <w:rFonts w:ascii="Cambria Math" w:hAnsi="Cambria Math"/>
                </w:rPr>
                <m:t>e</m:t>
              </m:r>
            </m:e>
            <m:sub>
              <m:r>
                <w:rPr>
                  <w:rFonts w:ascii="Cambria Math" w:hAnsi="Cambria Math"/>
                </w:rPr>
                <m:t>i</m:t>
              </m:r>
            </m:sub>
          </m:sSub>
          <w:bookmarkEnd w:id="34"/>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m:t>
              </m:r>
            </m:sub>
          </m:sSub>
          <m:r>
            <m:rPr>
              <m:sty m:val="p"/>
            </m:rPr>
            <w:rPr>
              <w:rFonts w:ascii="Cambria Math" w:hAnsi="Cambria Math" w:cs="Cambria Math"/>
            </w:rPr>
            <m:t>∼</m:t>
          </m:r>
          <m:r>
            <w:rPr>
              <w:rFonts w:ascii="Cambria Math" w:hAnsi="Cambria Math"/>
            </w:rPr>
            <m:t>N</m:t>
          </m:r>
          <m:d>
            <m:dPr>
              <m:ctrlPr>
                <w:rPr>
                  <w:rFonts w:ascii="Cambria Math" w:hAnsi="Cambria Math"/>
                  <w:i/>
                </w:rPr>
              </m:ctrlPr>
            </m:dPr>
            <m:e>
              <m:r>
                <w:rPr>
                  <w:rFonts w:ascii="Cambria Math" w:hAnsi="Cambria Math"/>
                </w:rPr>
                <m:t>0,</m:t>
              </m:r>
              <m:sSubSup>
                <m:sSubSupPr>
                  <m:ctrlPr>
                    <w:rPr>
                      <w:rFonts w:ascii="Cambria Math" w:hAnsi="Cambria Math"/>
                      <w:i/>
                    </w:rPr>
                  </m:ctrlPr>
                </m:sSubSupPr>
                <m:e>
                  <m:r>
                    <m:rPr>
                      <m:sty m:val="p"/>
                    </m:rPr>
                    <w:rPr>
                      <w:rFonts w:ascii="Cambria Math" w:hAnsi="Cambria Math"/>
                    </w:rPr>
                    <m:t>τ</m:t>
                  </m:r>
                </m:e>
                <m:sub>
                  <m:r>
                    <w:rPr>
                      <w:rFonts w:ascii="Cambria Math" w:hAnsi="Cambria Math"/>
                    </w:rPr>
                    <m:t>resid</m:t>
                  </m:r>
                </m:sub>
                <m:sup>
                  <m:r>
                    <w:rPr>
                      <w:rFonts w:ascii="Cambria Math" w:hAnsi="Cambria Math"/>
                    </w:rPr>
                    <m:t>2</m:t>
                  </m:r>
                </m:sup>
              </m:sSubSup>
            </m:e>
          </m:d>
        </m:oMath>
      </m:oMathPara>
    </w:p>
    <w:p w14:paraId="5A911F9D" w14:textId="3230DCA2" w:rsidR="003F0C00" w:rsidRDefault="0026581C" w:rsidP="0026581C">
      <w:pPr>
        <w:spacing w:after="120" w:line="360" w:lineRule="auto"/>
        <w:ind w:firstLine="360"/>
        <w:jc w:val="both"/>
      </w:pPr>
      <w:r w:rsidRPr="0026581C">
        <w:t>Here</w:t>
      </w:r>
      <w:r>
        <w:rPr>
          <w:rFonts w:hint="eastAsia"/>
        </w:rPr>
        <w:t>,</w:t>
      </w:r>
      <w:r w:rsidRPr="0026581C">
        <w:t xml:space="preserve"> </w:t>
      </w:r>
      <m:oMath>
        <m:sSub>
          <m:sSubPr>
            <m:ctrlPr>
              <w:rPr>
                <w:rFonts w:ascii="Cambria Math" w:hAnsi="Cambria Math"/>
                <w:i/>
              </w:rPr>
            </m:ctrlPr>
          </m:sSubPr>
          <m:e>
            <m:acc>
              <m:accPr>
                <m:ctrlPr>
                  <w:rPr>
                    <w:rFonts w:ascii="Cambria Math" w:hAnsi="Cambria Math"/>
                  </w:rPr>
                </m:ctrlPr>
              </m:accPr>
              <m:e>
                <m:r>
                  <m:rPr>
                    <m:sty m:val="p"/>
                  </m:rPr>
                  <w:rPr>
                    <w:rFonts w:ascii="Cambria Math" w:hAnsi="Cambria Math"/>
                  </w:rPr>
                  <m:t>θ</m:t>
                </m:r>
              </m:e>
            </m:acc>
          </m:e>
          <m:sub>
            <m:r>
              <w:rPr>
                <w:rFonts w:ascii="Cambria Math" w:hAnsi="Cambria Math"/>
              </w:rPr>
              <m:t>i</m:t>
            </m:r>
          </m:sub>
        </m:sSub>
      </m:oMath>
      <w:r w:rsidRPr="0026581C">
        <w:t xml:space="preserve"> ​ and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6581C">
        <w:t xml:space="preserve"> are the observed effect and sampling error of study</w:t>
      </w:r>
      <w:bookmarkStart w:id="35" w:name="OLE_LINK96"/>
      <w:r w:rsidRPr="0026581C">
        <w:t xml:space="preserve"> </w:t>
      </w:r>
      <w:proofErr w:type="spellStart"/>
      <w:r w:rsidR="000A329D" w:rsidRPr="000A329D">
        <w:rPr>
          <w:rFonts w:hint="eastAsia"/>
          <w:i/>
          <w:iCs/>
        </w:rPr>
        <w:t>i</w:t>
      </w:r>
      <w:proofErr w:type="spellEnd"/>
      <w:r w:rsidRPr="0026581C">
        <w:t>,</w:t>
      </w:r>
      <w:bookmarkEnd w:id="35"/>
      <w:r w:rsidRPr="0026581C">
        <w:t xml:space="preserve"> as defined in Section 3.7.2. The moderator value for </w:t>
      </w:r>
      <w:r>
        <w:rPr>
          <w:rFonts w:hint="eastAsia"/>
        </w:rPr>
        <w:t>stud</w:t>
      </w:r>
      <w:r w:rsidRPr="0026581C">
        <w:t xml:space="preserve">y </w:t>
      </w:r>
      <w:proofErr w:type="spellStart"/>
      <w:r w:rsidRPr="0026581C">
        <w:rPr>
          <w:i/>
          <w:iCs/>
        </w:rPr>
        <w:t>i</w:t>
      </w:r>
      <w:proofErr w:type="spellEnd"/>
      <w:r w:rsidRPr="0026581C">
        <w:t xml:space="preserve"> is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6581C">
        <w:t xml:space="preserve">. β₀ is the intercept and β₁ is the slope. The slope is the change in effect size for a one-unit increase in the moderator. The term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26581C">
        <w:t xml:space="preserve"> is the residual between-study heterogeneity that the moderator does not explain, and its variance is the residual τ². The proportion of the original between-study heterogeneity explained by the moderator is reported as </w:t>
      </w:r>
      <w:r w:rsidRPr="00F36968">
        <w:rPr>
          <w:i/>
          <w:iCs/>
        </w:rPr>
        <w:t>R</w:t>
      </w:r>
      <w:r w:rsidRPr="0026581C">
        <w:t xml:space="preserve">². The slope was tested with the Hartung-Knapp adjustment, so inference on β₁ used a </w:t>
      </w:r>
      <w:r w:rsidRPr="00F36968">
        <w:rPr>
          <w:i/>
          <w:iCs/>
        </w:rPr>
        <w:t>t</w:t>
      </w:r>
      <w:r w:rsidRPr="0026581C">
        <w:t xml:space="preserve"> distribution.</w:t>
      </w:r>
    </w:p>
    <w:p w14:paraId="74342BE3" w14:textId="196BE085" w:rsidR="00396FAE" w:rsidRDefault="00396FAE" w:rsidP="00396FAE">
      <w:pPr>
        <w:spacing w:after="120" w:line="360" w:lineRule="auto"/>
        <w:ind w:firstLine="360"/>
        <w:jc w:val="both"/>
      </w:pPr>
      <w:r w:rsidRPr="00396FAE">
        <w:t xml:space="preserve">Planned subgroup analyses were conducted for </w:t>
      </w:r>
      <w:r w:rsidR="000D52E9">
        <w:rPr>
          <w:rFonts w:hint="eastAsia"/>
        </w:rPr>
        <w:t xml:space="preserve">age group (Bjornstad et al., 2024), therapeutic </w:t>
      </w:r>
      <w:r w:rsidR="000D52E9">
        <w:t>component</w:t>
      </w:r>
      <w:r w:rsidR="000D52E9">
        <w:rPr>
          <w:rFonts w:hint="eastAsia"/>
        </w:rPr>
        <w:t xml:space="preserve">s (See Section 2.4.2, Table 1), </w:t>
      </w:r>
      <w:r w:rsidRPr="00396FAE">
        <w:t>control type</w:t>
      </w:r>
      <w:r w:rsidR="00516FE0">
        <w:rPr>
          <w:rFonts w:hint="eastAsia"/>
        </w:rPr>
        <w:t xml:space="preserve">, </w:t>
      </w:r>
      <w:r w:rsidRPr="00396FAE">
        <w:t>baseline depression severity</w:t>
      </w:r>
      <w:r w:rsidR="00516FE0">
        <w:rPr>
          <w:rFonts w:hint="eastAsia"/>
        </w:rPr>
        <w:t xml:space="preserve">, </w:t>
      </w:r>
      <w:r w:rsidR="00516FE0">
        <w:t>delivery</w:t>
      </w:r>
      <w:r w:rsidR="00516FE0">
        <w:rPr>
          <w:rFonts w:hint="eastAsia"/>
        </w:rPr>
        <w:t xml:space="preserve"> formats (See 2.4.1) </w:t>
      </w:r>
      <w:proofErr w:type="gramStart"/>
      <w:r w:rsidR="00516FE0">
        <w:rPr>
          <w:rFonts w:hint="eastAsia"/>
        </w:rPr>
        <w:t>and  non</w:t>
      </w:r>
      <w:proofErr w:type="gramEnd"/>
      <w:r w:rsidR="00516FE0">
        <w:rPr>
          <w:rFonts w:hint="eastAsia"/>
        </w:rPr>
        <w:t>-therapeutic support level (See Section 2.4.3, Table 2)</w:t>
      </w:r>
      <w:r w:rsidRPr="00396FAE">
        <w:t>. Control type was classified as passive control (waitlist, treatment as usual</w:t>
      </w:r>
      <w:r w:rsidR="007370A4">
        <w:rPr>
          <w:rFonts w:hint="eastAsia"/>
        </w:rPr>
        <w:t xml:space="preserve"> in both groups</w:t>
      </w:r>
      <w:r w:rsidRPr="00396FAE">
        <w:t>,</w:t>
      </w:r>
      <w:r w:rsidR="007370A4">
        <w:rPr>
          <w:rFonts w:hint="eastAsia"/>
        </w:rPr>
        <w:t xml:space="preserve"> assessment-only group</w:t>
      </w:r>
      <w:r w:rsidRPr="00396FAE">
        <w:t xml:space="preserve">) or minimally active control (attention control and information-only control). </w:t>
      </w:r>
    </w:p>
    <w:p w14:paraId="68D553C5" w14:textId="77777777" w:rsidR="00E612BC" w:rsidRPr="00E612BC" w:rsidRDefault="00E612BC" w:rsidP="00E612BC">
      <w:pPr>
        <w:spacing w:after="120" w:line="360" w:lineRule="auto"/>
        <w:ind w:firstLine="360"/>
        <w:jc w:val="both"/>
      </w:pPr>
      <w:r w:rsidRPr="00E612BC">
        <w:t>Subgroup analyses and the meta-regression were restricted to the post-intervention timepoint (</w:t>
      </w:r>
      <w:r w:rsidRPr="00E612BC">
        <w:rPr>
          <w:i/>
          <w:iCs/>
        </w:rPr>
        <w:t>k</w:t>
      </w:r>
      <w:r w:rsidRPr="00E612BC">
        <w:t xml:space="preserve"> = 14), because the follow-up windows contained too few studies for stable between-subgroup estimates. Each </w:t>
      </w:r>
      <w:r w:rsidRPr="00E612BC">
        <w:lastRenderedPageBreak/>
        <w:t xml:space="preserve">analysis used the same random-effects specification as the main analysis, with the REML estimator and the Hartung-Knapp adjustment. A common between-study variance (τ²) was assumed across subgroups, and between-subgroup differences were tested with the </w:t>
      </w:r>
      <w:r w:rsidRPr="00E612BC">
        <w:rPr>
          <w:i/>
          <w:iCs/>
        </w:rPr>
        <w:t>Q</w:t>
      </w:r>
      <w:r w:rsidRPr="00E612BC">
        <w:t xml:space="preserve"> statistic for subgroup differences. Confidence intervals for </w:t>
      </w:r>
      <w:r w:rsidRPr="00E612BC">
        <w:rPr>
          <w:i/>
          <w:iCs/>
        </w:rPr>
        <w:t>I</w:t>
      </w:r>
      <w:r w:rsidRPr="00E612BC">
        <w:t>² used the Q-profile method (</w:t>
      </w:r>
      <w:proofErr w:type="spellStart"/>
      <w:r w:rsidRPr="00E612BC">
        <w:t>Viechtbauer</w:t>
      </w:r>
      <w:proofErr w:type="spellEnd"/>
      <w:r w:rsidRPr="00E612BC">
        <w:t>, 2007), and estimates based on five or fewer studies were interpreted with caution (Borenstein et al., 2011). Bohr et al. (2023) was excluded, consistent with the main analysis.</w:t>
      </w:r>
    </w:p>
    <w:p w14:paraId="5AFB98D6" w14:textId="77777777" w:rsidR="00E612BC" w:rsidRPr="00E612BC" w:rsidRDefault="00E612BC" w:rsidP="00E612BC">
      <w:pPr>
        <w:spacing w:after="120" w:line="360" w:lineRule="auto"/>
        <w:ind w:firstLine="360"/>
        <w:jc w:val="both"/>
      </w:pPr>
      <w:r w:rsidRPr="00E612BC">
        <w:t>Two subgroup analyses were confirmatory. These were control type and baseline depression severity. Severity was collapsed into two strata, Low and High, because finer categories were too sparse for comparison. The remaining contrasts were exploratory. They examined the presence or absence of non-therapeutic human contact and of five individual CBT components, namely relaxation, problem-solving, homework requirement, relapse prevention, and interpersonal skills training. Coding for all moderators is given in Table 5. Cognitive restructuring was not contrasted because it was an inclusion criterion, and behavioral activation was not contrasted because too few programs lacked it.</w:t>
      </w:r>
    </w:p>
    <w:p w14:paraId="012335A5" w14:textId="77777777" w:rsidR="00E612BC" w:rsidRPr="00E612BC" w:rsidRDefault="00E612BC" w:rsidP="00E612BC">
      <w:pPr>
        <w:spacing w:after="120" w:line="360" w:lineRule="auto"/>
        <w:ind w:firstLine="360"/>
        <w:jc w:val="both"/>
      </w:pPr>
      <w:r w:rsidRPr="00E612BC">
        <w:t xml:space="preserve">Component contrasts were treated as exploratory for a structural reason. Components co-occurred within multi-component packages and clustered within a small number of program families. A single-component contrast therefore cannot be read as the independent effect of that </w:t>
      </w:r>
      <w:proofErr w:type="gramStart"/>
      <w:r w:rsidRPr="00E612BC">
        <w:t>component, and</w:t>
      </w:r>
      <w:proofErr w:type="gramEnd"/>
      <w:r w:rsidRPr="00E612BC">
        <w:t xml:space="preserve"> may partly reflect differences between programs. An exploratory meta-regression of the total component count, mean-centered and fitted with the same random-effects model, summarized the cumulative association suggested by these contrasts.</w:t>
      </w:r>
    </w:p>
    <w:p w14:paraId="5CF54B2B" w14:textId="252E33D2" w:rsidR="00E612BC" w:rsidRPr="00E612BC" w:rsidRDefault="00E612BC" w:rsidP="00244084">
      <w:pPr>
        <w:spacing w:after="120" w:line="360" w:lineRule="auto"/>
        <w:ind w:firstLine="360"/>
        <w:jc w:val="both"/>
      </w:pPr>
      <w:r w:rsidRPr="00E612BC">
        <w:t xml:space="preserve">Several moderators identified in the proposal could not be analyzed as planned and were summarized descriptively in Section 4.2. Age group, delivery modality, and the full support taxonomy lacked sufficient spread for formal comparison. The support dimension was reduced to the single human-contact contrast above, which was the only support feature with enough studies on both sides. A planned meta-regression of estimated weekly dose was not feasible, because dose was </w:t>
      </w:r>
      <w:proofErr w:type="gramStart"/>
      <w:r w:rsidRPr="00E612BC">
        <w:t>codable</w:t>
      </w:r>
      <w:r w:rsidR="00BE4EDC">
        <w:rPr>
          <w:rFonts w:hint="eastAsia"/>
        </w:rPr>
        <w:t xml:space="preserve"> </w:t>
      </w:r>
      <w:r w:rsidRPr="00E612BC">
        <w:t xml:space="preserve"> for</w:t>
      </w:r>
      <w:proofErr w:type="gramEnd"/>
      <w:r w:rsidRPr="00E612BC">
        <w:t xml:space="preserve"> only 4 of the 14 trials, below the level recommended for meta-regression with a single continuous predictor (Harrer et al., 2021).</w:t>
      </w:r>
    </w:p>
    <w:p w14:paraId="3B8D81B2" w14:textId="77777777" w:rsidR="005F5C4C" w:rsidRDefault="005F5C4C" w:rsidP="005F5C4C">
      <w:pPr>
        <w:spacing w:after="120" w:line="360" w:lineRule="auto"/>
        <w:ind w:firstLine="360"/>
        <w:jc w:val="both"/>
      </w:pPr>
    </w:p>
    <w:p w14:paraId="4BAFBD99" w14:textId="397ECC56" w:rsidR="005F5C4C" w:rsidRPr="005F5C4C" w:rsidRDefault="005F5C4C" w:rsidP="005F5C4C">
      <w:pPr>
        <w:spacing w:after="120" w:line="360" w:lineRule="auto"/>
        <w:jc w:val="both"/>
        <w:rPr>
          <w:b/>
          <w:bCs/>
          <w:iCs/>
        </w:rPr>
      </w:pPr>
      <w:r w:rsidRPr="005F5C4C">
        <w:rPr>
          <w:rFonts w:hint="eastAsia"/>
          <w:b/>
          <w:bCs/>
          <w:iCs/>
          <w:sz w:val="24"/>
        </w:rPr>
        <w:t xml:space="preserve">Table 5. </w:t>
      </w:r>
      <w:r w:rsidRPr="005F5C4C">
        <w:rPr>
          <w:rFonts w:eastAsia="Times New Roman"/>
          <w:b/>
          <w:bCs/>
          <w:iCs/>
          <w:sz w:val="24"/>
        </w:rPr>
        <w:t>Moderator Variables Extracted for Subgroup and Meta-Regression Analyses</w:t>
      </w:r>
    </w:p>
    <w:tbl>
      <w:tblPr>
        <w:tblW w:w="9356" w:type="dxa"/>
        <w:jc w:val="center"/>
        <w:tblLayout w:type="fixed"/>
        <w:tblLook w:val="04A0" w:firstRow="1" w:lastRow="0" w:firstColumn="1" w:lastColumn="0" w:noHBand="0" w:noVBand="1"/>
      </w:tblPr>
      <w:tblGrid>
        <w:gridCol w:w="1811"/>
        <w:gridCol w:w="2592"/>
        <w:gridCol w:w="4953"/>
      </w:tblGrid>
      <w:tr w:rsidR="005F5C4C" w14:paraId="4CAB5C62" w14:textId="77777777" w:rsidTr="005F5C4C">
        <w:trPr>
          <w:jc w:val="center"/>
        </w:trPr>
        <w:tc>
          <w:tcPr>
            <w:tcW w:w="1811"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300975D1" w14:textId="77777777" w:rsidR="005F5C4C" w:rsidRDefault="005F5C4C" w:rsidP="00EF71F7">
            <w:pPr>
              <w:jc w:val="center"/>
            </w:pPr>
            <w:bookmarkStart w:id="36" w:name="OLE_LINK84"/>
            <w:r>
              <w:rPr>
                <w:rFonts w:eastAsia="Times New Roman"/>
                <w:b/>
                <w:sz w:val="21"/>
              </w:rPr>
              <w:t>Analysis set</w:t>
            </w:r>
          </w:p>
        </w:tc>
        <w:tc>
          <w:tcPr>
            <w:tcW w:w="2592"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F9A797" w14:textId="77777777" w:rsidR="005F5C4C" w:rsidRDefault="005F5C4C" w:rsidP="00EF71F7">
            <w:pPr>
              <w:jc w:val="center"/>
            </w:pPr>
            <w:r>
              <w:rPr>
                <w:rFonts w:eastAsia="Times New Roman"/>
                <w:b/>
                <w:sz w:val="21"/>
              </w:rPr>
              <w:t>Moderator / derived variable</w:t>
            </w:r>
          </w:p>
        </w:tc>
        <w:tc>
          <w:tcPr>
            <w:tcW w:w="4953"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59F55CD" w14:textId="77777777" w:rsidR="005F5C4C" w:rsidRDefault="005F5C4C" w:rsidP="00EF71F7">
            <w:pPr>
              <w:jc w:val="center"/>
            </w:pPr>
            <w:r>
              <w:rPr>
                <w:rFonts w:eastAsia="Times New Roman"/>
                <w:b/>
                <w:sz w:val="21"/>
              </w:rPr>
              <w:t>Coding used in analysis</w:t>
            </w:r>
          </w:p>
        </w:tc>
      </w:tr>
      <w:tr w:rsidR="005F5C4C" w14:paraId="59713419" w14:textId="77777777" w:rsidTr="005F5C4C">
        <w:trPr>
          <w:jc w:val="center"/>
        </w:trPr>
        <w:tc>
          <w:tcPr>
            <w:tcW w:w="1811" w:type="dxa"/>
            <w:vMerge w:val="restart"/>
            <w:tcBorders>
              <w:top w:val="nil"/>
              <w:left w:val="nil"/>
              <w:bottom w:val="nil"/>
              <w:right w:val="nil"/>
            </w:tcBorders>
            <w:tcMar>
              <w:top w:w="80" w:type="dxa"/>
              <w:left w:w="80" w:type="dxa"/>
              <w:bottom w:w="80" w:type="dxa"/>
              <w:right w:w="80" w:type="dxa"/>
            </w:tcMar>
            <w:vAlign w:val="center"/>
          </w:tcPr>
          <w:p w14:paraId="6503FD4E" w14:textId="77777777" w:rsidR="005F5C4C" w:rsidRDefault="005F5C4C" w:rsidP="00330FF4">
            <w:r>
              <w:rPr>
                <w:rFonts w:eastAsia="Times New Roman"/>
                <w:sz w:val="21"/>
              </w:rPr>
              <w:t>Confirmatory subgroup analyses</w:t>
            </w:r>
          </w:p>
        </w:tc>
        <w:tc>
          <w:tcPr>
            <w:tcW w:w="2592" w:type="dxa"/>
            <w:tcBorders>
              <w:top w:val="nil"/>
              <w:left w:val="nil"/>
              <w:bottom w:val="nil"/>
              <w:right w:val="nil"/>
            </w:tcBorders>
            <w:tcMar>
              <w:top w:w="80" w:type="dxa"/>
              <w:left w:w="80" w:type="dxa"/>
              <w:bottom w:w="80" w:type="dxa"/>
              <w:right w:w="80" w:type="dxa"/>
            </w:tcMar>
          </w:tcPr>
          <w:p w14:paraId="65199424" w14:textId="77777777" w:rsidR="005F5C4C" w:rsidRDefault="005F5C4C" w:rsidP="00EF71F7">
            <w:r>
              <w:rPr>
                <w:rFonts w:eastAsia="Times New Roman"/>
                <w:sz w:val="21"/>
              </w:rPr>
              <w:t>Control type</w:t>
            </w:r>
          </w:p>
        </w:tc>
        <w:tc>
          <w:tcPr>
            <w:tcW w:w="4953" w:type="dxa"/>
            <w:tcBorders>
              <w:top w:val="nil"/>
              <w:left w:val="nil"/>
              <w:bottom w:val="nil"/>
              <w:right w:val="nil"/>
            </w:tcBorders>
            <w:tcMar>
              <w:top w:w="80" w:type="dxa"/>
              <w:left w:w="80" w:type="dxa"/>
              <w:bottom w:w="80" w:type="dxa"/>
              <w:right w:w="80" w:type="dxa"/>
            </w:tcMar>
          </w:tcPr>
          <w:p w14:paraId="295CA319" w14:textId="77A12081" w:rsidR="00330FF4" w:rsidRPr="00330FF4" w:rsidRDefault="005F5C4C" w:rsidP="00EF71F7">
            <w:pPr>
              <w:rPr>
                <w:sz w:val="21"/>
              </w:rPr>
            </w:pPr>
            <w:r>
              <w:rPr>
                <w:rFonts w:eastAsia="Times New Roman"/>
                <w:sz w:val="21"/>
              </w:rPr>
              <w:t>Passive control: waitlist, treatment-as-usual</w:t>
            </w:r>
            <w:r w:rsidR="00330FF4">
              <w:rPr>
                <w:rFonts w:hint="eastAsia"/>
                <w:sz w:val="21"/>
              </w:rPr>
              <w:t xml:space="preserve"> in both groups</w:t>
            </w:r>
            <w:r>
              <w:rPr>
                <w:rFonts w:eastAsia="Times New Roman"/>
                <w:sz w:val="21"/>
              </w:rPr>
              <w:t>, no treatment, assessment-</w:t>
            </w:r>
            <w:proofErr w:type="gramStart"/>
            <w:r>
              <w:rPr>
                <w:rFonts w:eastAsia="Times New Roman"/>
                <w:sz w:val="21"/>
              </w:rPr>
              <w:t>only</w:t>
            </w:r>
            <w:r w:rsidR="00330FF4">
              <w:rPr>
                <w:rFonts w:hint="eastAsia"/>
                <w:sz w:val="21"/>
              </w:rPr>
              <w:t>;</w:t>
            </w:r>
            <w:proofErr w:type="gramEnd"/>
          </w:p>
          <w:p w14:paraId="21551E1E" w14:textId="023D16E2" w:rsidR="005F5C4C" w:rsidRDefault="00330FF4" w:rsidP="00EF71F7">
            <w:r>
              <w:rPr>
                <w:rFonts w:hint="eastAsia"/>
                <w:sz w:val="21"/>
              </w:rPr>
              <w:t>M</w:t>
            </w:r>
            <w:r w:rsidR="005F5C4C">
              <w:rPr>
                <w:rFonts w:eastAsia="Times New Roman"/>
                <w:sz w:val="21"/>
              </w:rPr>
              <w:t>inimally active control: attention-control or information-only control.</w:t>
            </w:r>
          </w:p>
        </w:tc>
      </w:tr>
      <w:tr w:rsidR="005F5C4C" w14:paraId="76EF1B99" w14:textId="77777777" w:rsidTr="005F5C4C">
        <w:trPr>
          <w:jc w:val="center"/>
        </w:trPr>
        <w:tc>
          <w:tcPr>
            <w:tcW w:w="1811" w:type="dxa"/>
            <w:vMerge/>
          </w:tcPr>
          <w:p w14:paraId="66E87CB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00049BCC" w14:textId="77777777" w:rsidR="005F5C4C" w:rsidRDefault="005F5C4C" w:rsidP="00EF71F7">
            <w:r>
              <w:rPr>
                <w:rFonts w:eastAsia="Times New Roman"/>
                <w:sz w:val="21"/>
              </w:rPr>
              <w:t>Baseline depression severity</w:t>
            </w:r>
          </w:p>
        </w:tc>
        <w:tc>
          <w:tcPr>
            <w:tcW w:w="4953" w:type="dxa"/>
            <w:tcBorders>
              <w:top w:val="nil"/>
              <w:left w:val="nil"/>
              <w:bottom w:val="nil"/>
              <w:right w:val="nil"/>
            </w:tcBorders>
            <w:tcMar>
              <w:top w:w="80" w:type="dxa"/>
              <w:left w:w="80" w:type="dxa"/>
              <w:bottom w:w="80" w:type="dxa"/>
              <w:right w:w="80" w:type="dxa"/>
            </w:tcMar>
          </w:tcPr>
          <w:p w14:paraId="4BD9A080" w14:textId="77777777" w:rsidR="005F5C4C" w:rsidRDefault="005F5C4C" w:rsidP="00EF71F7">
            <w:r>
              <w:rPr>
                <w:rFonts w:eastAsia="Times New Roman"/>
                <w:sz w:val="21"/>
              </w:rPr>
              <w:t>Low: mild or mild-to-moderate baseline depression; High: moderate or severe baseline depression. Coding was based on the reported pre-intervention mean and the corresponding clinical cutoff.</w:t>
            </w:r>
          </w:p>
        </w:tc>
      </w:tr>
      <w:tr w:rsidR="005F5C4C" w14:paraId="3ACC9966" w14:textId="77777777" w:rsidTr="005F5C4C">
        <w:trPr>
          <w:jc w:val="center"/>
        </w:trPr>
        <w:tc>
          <w:tcPr>
            <w:tcW w:w="1811" w:type="dxa"/>
            <w:tcBorders>
              <w:top w:val="single" w:sz="4" w:space="0" w:color="000000"/>
              <w:left w:val="nil"/>
              <w:bottom w:val="nil"/>
              <w:right w:val="nil"/>
            </w:tcBorders>
            <w:tcMar>
              <w:top w:w="80" w:type="dxa"/>
              <w:left w:w="80" w:type="dxa"/>
              <w:bottom w:w="80" w:type="dxa"/>
              <w:right w:w="80" w:type="dxa"/>
            </w:tcMar>
          </w:tcPr>
          <w:p w14:paraId="4E02C720" w14:textId="77777777" w:rsidR="005F5C4C" w:rsidRDefault="005F5C4C" w:rsidP="00EF71F7">
            <w:r>
              <w:rPr>
                <w:rFonts w:eastAsia="Times New Roman"/>
                <w:sz w:val="21"/>
              </w:rPr>
              <w:t>Exploratory subgroup analyses</w:t>
            </w:r>
          </w:p>
        </w:tc>
        <w:tc>
          <w:tcPr>
            <w:tcW w:w="2592" w:type="dxa"/>
            <w:tcBorders>
              <w:top w:val="single" w:sz="4" w:space="0" w:color="000000"/>
              <w:left w:val="nil"/>
              <w:bottom w:val="nil"/>
              <w:right w:val="nil"/>
            </w:tcBorders>
            <w:tcMar>
              <w:top w:w="80" w:type="dxa"/>
              <w:left w:w="80" w:type="dxa"/>
              <w:bottom w:w="80" w:type="dxa"/>
              <w:right w:w="80" w:type="dxa"/>
            </w:tcMar>
          </w:tcPr>
          <w:p w14:paraId="5B9DEAEB" w14:textId="77777777" w:rsidR="005F5C4C" w:rsidRDefault="005F5C4C" w:rsidP="00EF71F7">
            <w:r>
              <w:rPr>
                <w:rFonts w:eastAsia="Times New Roman"/>
                <w:sz w:val="21"/>
              </w:rPr>
              <w:t>Non-therapeutic human contact</w:t>
            </w:r>
          </w:p>
        </w:tc>
        <w:tc>
          <w:tcPr>
            <w:tcW w:w="4953" w:type="dxa"/>
            <w:tcBorders>
              <w:top w:val="single" w:sz="4" w:space="0" w:color="000000"/>
              <w:left w:val="nil"/>
              <w:bottom w:val="nil"/>
              <w:right w:val="nil"/>
            </w:tcBorders>
            <w:tcMar>
              <w:top w:w="80" w:type="dxa"/>
              <w:left w:w="80" w:type="dxa"/>
              <w:bottom w:w="80" w:type="dxa"/>
              <w:right w:w="80" w:type="dxa"/>
            </w:tcMar>
          </w:tcPr>
          <w:p w14:paraId="544A2079" w14:textId="01D6BDE3" w:rsidR="005F5C4C" w:rsidRPr="0069414E" w:rsidRDefault="005F5C4C" w:rsidP="00EF71F7">
            <w:r>
              <w:rPr>
                <w:rFonts w:eastAsia="Times New Roman"/>
                <w:sz w:val="21"/>
              </w:rPr>
              <w:t>No / Yes. Human contact referred to ongoing non-therapeutic reminders, encouragement, monitoring calls, or peer-moderated support during the intervention period. Initial consent or baseline assessment was not counted</w:t>
            </w:r>
            <w:r w:rsidR="0069414E">
              <w:rPr>
                <w:rFonts w:hint="eastAsia"/>
                <w:sz w:val="21"/>
              </w:rPr>
              <w:t xml:space="preserve">, since it contained in </w:t>
            </w:r>
            <w:proofErr w:type="gramStart"/>
            <w:r w:rsidR="0069414E">
              <w:rPr>
                <w:rFonts w:hint="eastAsia"/>
                <w:sz w:val="21"/>
              </w:rPr>
              <w:t>all of</w:t>
            </w:r>
            <w:proofErr w:type="gramEnd"/>
            <w:r w:rsidR="0069414E">
              <w:rPr>
                <w:rFonts w:hint="eastAsia"/>
                <w:sz w:val="21"/>
              </w:rPr>
              <w:t xml:space="preserve"> the</w:t>
            </w:r>
            <w:r w:rsidR="00807F62">
              <w:rPr>
                <w:rFonts w:hint="eastAsia"/>
                <w:sz w:val="21"/>
              </w:rPr>
              <w:t xml:space="preserve"> included</w:t>
            </w:r>
            <w:r w:rsidR="0069414E">
              <w:rPr>
                <w:rFonts w:hint="eastAsia"/>
                <w:sz w:val="21"/>
              </w:rPr>
              <w:t xml:space="preserve"> stud</w:t>
            </w:r>
            <w:r w:rsidR="00807F62">
              <w:rPr>
                <w:rFonts w:hint="eastAsia"/>
                <w:sz w:val="21"/>
              </w:rPr>
              <w:t>ies.</w:t>
            </w:r>
          </w:p>
        </w:tc>
      </w:tr>
      <w:tr w:rsidR="005F5C4C" w14:paraId="1F73A870" w14:textId="77777777" w:rsidTr="005F5C4C">
        <w:trPr>
          <w:jc w:val="center"/>
        </w:trPr>
        <w:tc>
          <w:tcPr>
            <w:tcW w:w="1811" w:type="dxa"/>
            <w:vMerge w:val="restart"/>
            <w:tcBorders>
              <w:top w:val="single" w:sz="4" w:space="0" w:color="000000"/>
              <w:left w:val="nil"/>
              <w:bottom w:val="nil"/>
              <w:right w:val="nil"/>
            </w:tcBorders>
            <w:tcMar>
              <w:top w:w="80" w:type="dxa"/>
              <w:left w:w="80" w:type="dxa"/>
              <w:bottom w:w="80" w:type="dxa"/>
              <w:right w:w="80" w:type="dxa"/>
            </w:tcMar>
            <w:vAlign w:val="center"/>
          </w:tcPr>
          <w:p w14:paraId="5625B6EB" w14:textId="77777777" w:rsidR="005F5C4C" w:rsidRDefault="005F5C4C" w:rsidP="00330FF4">
            <w:r>
              <w:rPr>
                <w:rFonts w:eastAsia="Times New Roman"/>
                <w:sz w:val="21"/>
              </w:rPr>
              <w:t>Exploratory CBT component contrasts</w:t>
            </w:r>
          </w:p>
        </w:tc>
        <w:tc>
          <w:tcPr>
            <w:tcW w:w="2592" w:type="dxa"/>
            <w:tcBorders>
              <w:top w:val="single" w:sz="4" w:space="0" w:color="000000"/>
              <w:left w:val="nil"/>
              <w:bottom w:val="nil"/>
              <w:right w:val="nil"/>
            </w:tcBorders>
            <w:tcMar>
              <w:top w:w="80" w:type="dxa"/>
              <w:left w:w="80" w:type="dxa"/>
              <w:bottom w:w="80" w:type="dxa"/>
              <w:right w:w="80" w:type="dxa"/>
            </w:tcMar>
          </w:tcPr>
          <w:p w14:paraId="7FE73F8A" w14:textId="77777777" w:rsidR="005F5C4C" w:rsidRDefault="005F5C4C" w:rsidP="00EF71F7">
            <w:r>
              <w:rPr>
                <w:rFonts w:eastAsia="Times New Roman"/>
                <w:sz w:val="21"/>
              </w:rPr>
              <w:t>Relaxation</w:t>
            </w:r>
          </w:p>
        </w:tc>
        <w:tc>
          <w:tcPr>
            <w:tcW w:w="4953" w:type="dxa"/>
            <w:tcBorders>
              <w:top w:val="single" w:sz="4" w:space="0" w:color="000000"/>
              <w:left w:val="nil"/>
              <w:bottom w:val="nil"/>
              <w:right w:val="nil"/>
            </w:tcBorders>
            <w:tcMar>
              <w:top w:w="80" w:type="dxa"/>
              <w:left w:w="80" w:type="dxa"/>
              <w:bottom w:w="80" w:type="dxa"/>
              <w:right w:w="80" w:type="dxa"/>
            </w:tcMar>
          </w:tcPr>
          <w:p w14:paraId="657DA018" w14:textId="77777777" w:rsidR="005F5C4C" w:rsidRDefault="005F5C4C" w:rsidP="00EF71F7">
            <w:r>
              <w:rPr>
                <w:rFonts w:eastAsia="Times New Roman"/>
                <w:sz w:val="21"/>
              </w:rPr>
              <w:t>Absent / present.</w:t>
            </w:r>
          </w:p>
        </w:tc>
      </w:tr>
      <w:tr w:rsidR="005F5C4C" w14:paraId="5E7C2630" w14:textId="77777777" w:rsidTr="005F5C4C">
        <w:trPr>
          <w:jc w:val="center"/>
        </w:trPr>
        <w:tc>
          <w:tcPr>
            <w:tcW w:w="1811" w:type="dxa"/>
            <w:vMerge/>
          </w:tcPr>
          <w:p w14:paraId="3311A3DC"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46C7FA3A" w14:textId="77777777" w:rsidR="005F5C4C" w:rsidRDefault="005F5C4C" w:rsidP="00EF71F7">
            <w:r>
              <w:rPr>
                <w:rFonts w:eastAsia="Times New Roman"/>
                <w:sz w:val="21"/>
              </w:rPr>
              <w:t>Problem-solving</w:t>
            </w:r>
          </w:p>
        </w:tc>
        <w:tc>
          <w:tcPr>
            <w:tcW w:w="4953" w:type="dxa"/>
            <w:tcBorders>
              <w:top w:val="nil"/>
              <w:left w:val="nil"/>
              <w:bottom w:val="nil"/>
              <w:right w:val="nil"/>
            </w:tcBorders>
            <w:tcMar>
              <w:top w:w="80" w:type="dxa"/>
              <w:left w:w="80" w:type="dxa"/>
              <w:bottom w:w="80" w:type="dxa"/>
              <w:right w:w="80" w:type="dxa"/>
            </w:tcMar>
          </w:tcPr>
          <w:p w14:paraId="00D74B9B" w14:textId="77777777" w:rsidR="005F5C4C" w:rsidRDefault="005F5C4C" w:rsidP="00EF71F7">
            <w:r>
              <w:rPr>
                <w:rFonts w:eastAsia="Times New Roman"/>
                <w:sz w:val="21"/>
              </w:rPr>
              <w:t>Absent / present.</w:t>
            </w:r>
          </w:p>
        </w:tc>
      </w:tr>
      <w:tr w:rsidR="005F5C4C" w14:paraId="3024FE99" w14:textId="77777777" w:rsidTr="005F5C4C">
        <w:trPr>
          <w:jc w:val="center"/>
        </w:trPr>
        <w:tc>
          <w:tcPr>
            <w:tcW w:w="1811" w:type="dxa"/>
            <w:vMerge/>
          </w:tcPr>
          <w:p w14:paraId="5BD1F812"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2126C0C7" w14:textId="77777777" w:rsidR="005F5C4C" w:rsidRDefault="005F5C4C" w:rsidP="00EF71F7">
            <w:r>
              <w:rPr>
                <w:rFonts w:eastAsia="Times New Roman"/>
                <w:sz w:val="21"/>
              </w:rPr>
              <w:t>Homework requirement</w:t>
            </w:r>
          </w:p>
        </w:tc>
        <w:tc>
          <w:tcPr>
            <w:tcW w:w="4953" w:type="dxa"/>
            <w:tcBorders>
              <w:top w:val="nil"/>
              <w:left w:val="nil"/>
              <w:bottom w:val="nil"/>
              <w:right w:val="nil"/>
            </w:tcBorders>
            <w:tcMar>
              <w:top w:w="80" w:type="dxa"/>
              <w:left w:w="80" w:type="dxa"/>
              <w:bottom w:w="80" w:type="dxa"/>
              <w:right w:w="80" w:type="dxa"/>
            </w:tcMar>
          </w:tcPr>
          <w:p w14:paraId="66BE5DE5" w14:textId="77777777" w:rsidR="005F5C4C" w:rsidRDefault="005F5C4C" w:rsidP="00EF71F7">
            <w:r>
              <w:rPr>
                <w:rFonts w:eastAsia="Times New Roman"/>
                <w:sz w:val="21"/>
              </w:rPr>
              <w:t>Absent / present.</w:t>
            </w:r>
          </w:p>
        </w:tc>
      </w:tr>
      <w:tr w:rsidR="005F5C4C" w14:paraId="38456042" w14:textId="77777777" w:rsidTr="005F5C4C">
        <w:trPr>
          <w:jc w:val="center"/>
        </w:trPr>
        <w:tc>
          <w:tcPr>
            <w:tcW w:w="1811" w:type="dxa"/>
            <w:vMerge/>
          </w:tcPr>
          <w:p w14:paraId="1647F659"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61C261BD" w14:textId="77777777" w:rsidR="005F5C4C" w:rsidRDefault="005F5C4C" w:rsidP="00EF71F7">
            <w:r>
              <w:rPr>
                <w:rFonts w:eastAsia="Times New Roman"/>
                <w:sz w:val="21"/>
              </w:rPr>
              <w:t>Relapse prevention</w:t>
            </w:r>
          </w:p>
        </w:tc>
        <w:tc>
          <w:tcPr>
            <w:tcW w:w="4953" w:type="dxa"/>
            <w:tcBorders>
              <w:top w:val="nil"/>
              <w:left w:val="nil"/>
              <w:bottom w:val="nil"/>
              <w:right w:val="nil"/>
            </w:tcBorders>
            <w:tcMar>
              <w:top w:w="80" w:type="dxa"/>
              <w:left w:w="80" w:type="dxa"/>
              <w:bottom w:w="80" w:type="dxa"/>
              <w:right w:w="80" w:type="dxa"/>
            </w:tcMar>
          </w:tcPr>
          <w:p w14:paraId="792C6C58" w14:textId="77777777" w:rsidR="005F5C4C" w:rsidRDefault="005F5C4C" w:rsidP="00EF71F7">
            <w:r>
              <w:rPr>
                <w:rFonts w:eastAsia="Times New Roman"/>
                <w:sz w:val="21"/>
              </w:rPr>
              <w:t>Absent / present.</w:t>
            </w:r>
          </w:p>
        </w:tc>
      </w:tr>
      <w:tr w:rsidR="005F5C4C" w14:paraId="1D218EF4" w14:textId="77777777" w:rsidTr="005F5C4C">
        <w:trPr>
          <w:jc w:val="center"/>
        </w:trPr>
        <w:tc>
          <w:tcPr>
            <w:tcW w:w="1811" w:type="dxa"/>
            <w:vMerge/>
          </w:tcPr>
          <w:p w14:paraId="588A9A38" w14:textId="77777777" w:rsidR="005F5C4C" w:rsidRDefault="005F5C4C" w:rsidP="00EF71F7"/>
        </w:tc>
        <w:tc>
          <w:tcPr>
            <w:tcW w:w="2592" w:type="dxa"/>
            <w:tcBorders>
              <w:top w:val="nil"/>
              <w:left w:val="nil"/>
              <w:bottom w:val="nil"/>
              <w:right w:val="nil"/>
            </w:tcBorders>
            <w:tcMar>
              <w:top w:w="80" w:type="dxa"/>
              <w:left w:w="80" w:type="dxa"/>
              <w:bottom w:w="80" w:type="dxa"/>
              <w:right w:w="80" w:type="dxa"/>
            </w:tcMar>
          </w:tcPr>
          <w:p w14:paraId="584B32CE" w14:textId="77777777" w:rsidR="005F5C4C" w:rsidRDefault="005F5C4C" w:rsidP="00EF71F7">
            <w:r>
              <w:rPr>
                <w:rFonts w:eastAsia="Times New Roman"/>
                <w:sz w:val="21"/>
              </w:rPr>
              <w:t>Interpersonal skills training</w:t>
            </w:r>
          </w:p>
        </w:tc>
        <w:tc>
          <w:tcPr>
            <w:tcW w:w="4953" w:type="dxa"/>
            <w:tcBorders>
              <w:top w:val="nil"/>
              <w:left w:val="nil"/>
              <w:bottom w:val="nil"/>
              <w:right w:val="nil"/>
            </w:tcBorders>
            <w:tcMar>
              <w:top w:w="80" w:type="dxa"/>
              <w:left w:w="80" w:type="dxa"/>
              <w:bottom w:w="80" w:type="dxa"/>
              <w:right w:w="80" w:type="dxa"/>
            </w:tcMar>
          </w:tcPr>
          <w:p w14:paraId="57E8E838" w14:textId="77777777" w:rsidR="005F5C4C" w:rsidRDefault="005F5C4C" w:rsidP="00EF71F7">
            <w:r>
              <w:rPr>
                <w:rFonts w:eastAsia="Times New Roman"/>
                <w:sz w:val="21"/>
              </w:rPr>
              <w:t>Absent / present.</w:t>
            </w:r>
          </w:p>
        </w:tc>
      </w:tr>
      <w:tr w:rsidR="005F5C4C" w14:paraId="3292323E" w14:textId="77777777" w:rsidTr="005F5C4C">
        <w:trPr>
          <w:jc w:val="center"/>
        </w:trPr>
        <w:tc>
          <w:tcPr>
            <w:tcW w:w="1811" w:type="dxa"/>
            <w:tcBorders>
              <w:left w:val="nil"/>
              <w:bottom w:val="single" w:sz="8" w:space="0" w:color="000000"/>
              <w:right w:val="nil"/>
            </w:tcBorders>
            <w:tcMar>
              <w:top w:w="80" w:type="dxa"/>
              <w:left w:w="80" w:type="dxa"/>
              <w:bottom w:w="80" w:type="dxa"/>
              <w:right w:w="80" w:type="dxa"/>
            </w:tcMar>
          </w:tcPr>
          <w:p w14:paraId="2B75DB9E" w14:textId="77777777" w:rsidR="005F5C4C" w:rsidRDefault="005F5C4C" w:rsidP="00EF71F7">
            <w:r>
              <w:rPr>
                <w:rFonts w:eastAsia="Times New Roman"/>
                <w:sz w:val="21"/>
              </w:rPr>
              <w:t>Meta-regression</w:t>
            </w:r>
          </w:p>
        </w:tc>
        <w:tc>
          <w:tcPr>
            <w:tcW w:w="2592" w:type="dxa"/>
            <w:tcBorders>
              <w:left w:val="nil"/>
              <w:bottom w:val="single" w:sz="8" w:space="0" w:color="000000"/>
              <w:right w:val="nil"/>
            </w:tcBorders>
            <w:tcMar>
              <w:top w:w="80" w:type="dxa"/>
              <w:left w:w="80" w:type="dxa"/>
              <w:bottom w:w="80" w:type="dxa"/>
              <w:right w:w="80" w:type="dxa"/>
            </w:tcMar>
          </w:tcPr>
          <w:p w14:paraId="6376FFFB" w14:textId="77777777" w:rsidR="005F5C4C" w:rsidRDefault="005F5C4C" w:rsidP="00EF71F7">
            <w:r>
              <w:rPr>
                <w:rFonts w:eastAsia="Times New Roman"/>
                <w:sz w:val="21"/>
              </w:rPr>
              <w:t>CBT component count</w:t>
            </w:r>
          </w:p>
        </w:tc>
        <w:tc>
          <w:tcPr>
            <w:tcW w:w="4953" w:type="dxa"/>
            <w:tcBorders>
              <w:left w:val="nil"/>
              <w:bottom w:val="single" w:sz="8" w:space="0" w:color="000000"/>
              <w:right w:val="nil"/>
            </w:tcBorders>
            <w:tcMar>
              <w:top w:w="80" w:type="dxa"/>
              <w:left w:w="80" w:type="dxa"/>
              <w:bottom w:w="80" w:type="dxa"/>
              <w:right w:w="80" w:type="dxa"/>
            </w:tcMar>
          </w:tcPr>
          <w:p w14:paraId="67473A3D" w14:textId="77777777" w:rsidR="005F5C4C" w:rsidRDefault="005F5C4C" w:rsidP="00EF71F7">
            <w:r>
              <w:rPr>
                <w:rFonts w:eastAsia="Times New Roman"/>
                <w:sz w:val="21"/>
              </w:rPr>
              <w:t>Continuous predictor. The number of coded CBT components was counted for each intervention and mean-</w:t>
            </w:r>
            <w:proofErr w:type="spellStart"/>
            <w:r>
              <w:rPr>
                <w:rFonts w:eastAsia="Times New Roman"/>
                <w:sz w:val="21"/>
              </w:rPr>
              <w:t>centred</w:t>
            </w:r>
            <w:proofErr w:type="spellEnd"/>
            <w:r>
              <w:rPr>
                <w:rFonts w:eastAsia="Times New Roman"/>
                <w:sz w:val="21"/>
              </w:rPr>
              <w:t xml:space="preserve"> before analysis.</w:t>
            </w:r>
          </w:p>
        </w:tc>
      </w:tr>
      <w:bookmarkEnd w:id="36"/>
    </w:tbl>
    <w:p w14:paraId="2D9E4692" w14:textId="77777777" w:rsidR="005F5C4C" w:rsidRDefault="005F5C4C" w:rsidP="005F5C4C"/>
    <w:p w14:paraId="2C0624E9" w14:textId="77777777" w:rsidR="005F5C4C" w:rsidRPr="00330FF4" w:rsidRDefault="005F5C4C" w:rsidP="005F5C4C">
      <w:pPr>
        <w:rPr>
          <w:sz w:val="16"/>
          <w:szCs w:val="16"/>
        </w:rPr>
      </w:pPr>
      <w:r w:rsidRPr="00330FF4">
        <w:rPr>
          <w:rFonts w:eastAsia="Times New Roman"/>
          <w:i/>
          <w:sz w:val="16"/>
          <w:szCs w:val="16"/>
        </w:rPr>
        <w:t xml:space="preserve">Note. </w:t>
      </w:r>
      <w:r w:rsidRPr="00330FF4">
        <w:rPr>
          <w:rFonts w:eastAsia="Times New Roman"/>
          <w:sz w:val="16"/>
          <w:szCs w:val="16"/>
        </w:rPr>
        <w:t>Only variables used for subgroup analyses or meta-regression are shown. Cognitive restructuring was not examined as a subgroup contrast because it was an inclusion criterion. Behavioral activation was not examined as a single-component contrast because it was present in most included interventions, leaving the absent subgroup insufficient for comparison. Support coding excluded therapist-delivered therapeutic content such as cognitive restructuring guidance, homework feedback, or treatment-related coaching.</w:t>
      </w:r>
    </w:p>
    <w:p w14:paraId="7FE865F7" w14:textId="77777777" w:rsidR="005F5C4C" w:rsidRDefault="005F5C4C" w:rsidP="005F5C4C">
      <w:pPr>
        <w:spacing w:after="120" w:line="360" w:lineRule="auto"/>
        <w:jc w:val="both"/>
      </w:pPr>
    </w:p>
    <w:p w14:paraId="029A2DF5" w14:textId="3E48F5D0" w:rsidR="004261E0" w:rsidRDefault="004261E0" w:rsidP="005F5C4C">
      <w:pPr>
        <w:spacing w:after="120" w:line="360" w:lineRule="auto"/>
        <w:jc w:val="both"/>
      </w:pPr>
      <w:r w:rsidRPr="004261E0">
        <w:rPr>
          <w:rFonts w:hint="eastAsia"/>
          <w:b/>
          <w:bCs/>
        </w:rPr>
        <w:t>Sensitivity</w:t>
      </w:r>
      <w:r>
        <w:rPr>
          <w:rFonts w:hint="eastAsia"/>
        </w:rPr>
        <w:t xml:space="preserve"> </w:t>
      </w:r>
      <w:r w:rsidRPr="004261E0">
        <w:rPr>
          <w:rFonts w:hint="eastAsia"/>
          <w:b/>
          <w:bCs/>
        </w:rPr>
        <w:t>analyses</w:t>
      </w:r>
    </w:p>
    <w:p w14:paraId="06DBAC7C" w14:textId="77777777" w:rsidR="004261E0" w:rsidRPr="004261E0" w:rsidRDefault="004261E0" w:rsidP="004261E0">
      <w:pPr>
        <w:spacing w:after="120" w:line="360" w:lineRule="auto"/>
        <w:ind w:firstLine="360"/>
        <w:jc w:val="both"/>
      </w:pPr>
      <w:r w:rsidRPr="004261E0">
        <w:t>To examine the robustness of the pooled post-intervention estimate, several influence and sensitivity analyses were carried out using the same random-effects model as the main analysis (REML estimation with Hartung-Knapp adjustment). A study was treated as an outlier if its 95% confidence interval did not overlap with the confidence interval of the pooled effect. The influence of each study was checked with a leave-one-out analysis, in which the model was re-run with one study removed at a time.</w:t>
      </w:r>
    </w:p>
    <w:p w14:paraId="12158E30" w14:textId="2EF2DAC0" w:rsidR="004261E0" w:rsidRPr="004261E0" w:rsidRDefault="004261E0" w:rsidP="000833F3">
      <w:pPr>
        <w:spacing w:after="120" w:line="360" w:lineRule="auto"/>
        <w:ind w:firstLine="360"/>
        <w:jc w:val="both"/>
      </w:pPr>
      <w:r w:rsidRPr="004261E0">
        <w:t>Three planned sensitivity analyses were carried out: (a) excluding studies at high risk of bias, (b) keeping only peer-reviewed journal articles, and (c) keeping only trials in which depression was the primary target. Two further analyses were added to address issues found during data extraction. First, because the studies used both endpoint and change-score effect sizes, the analysis was repeated using endpoint scores only. Second, because one cluster-randomized trial did not report an ICC, it was added back using design-effect corrections under assumed ICC values of 0.01, 0.03, 0.05, and 0.10.</w:t>
      </w:r>
    </w:p>
    <w:p w14:paraId="312AC656" w14:textId="77777777" w:rsidR="000C3784" w:rsidRDefault="00D450DC">
      <w:pPr>
        <w:pStyle w:val="3"/>
      </w:pPr>
      <w:bookmarkStart w:id="37" w:name="OLE_LINK3"/>
      <w:r>
        <w:t>3.7.4. Publication Bias</w:t>
      </w:r>
    </w:p>
    <w:bookmarkEnd w:id="37"/>
    <w:p w14:paraId="4F8A51B7" w14:textId="77777777" w:rsidR="00E30B40" w:rsidRPr="00E30B40" w:rsidRDefault="00E30B40" w:rsidP="00E30B40">
      <w:pPr>
        <w:spacing w:after="120" w:line="360" w:lineRule="auto"/>
        <w:ind w:firstLine="360"/>
        <w:jc w:val="both"/>
        <w:rPr>
          <w:rFonts w:eastAsia="Times New Roman"/>
        </w:rPr>
      </w:pPr>
      <w:r w:rsidRPr="00E30B40">
        <w:rPr>
          <w:rFonts w:eastAsia="Times New Roman"/>
        </w:rPr>
        <w:t xml:space="preserve">Publication bias was evaluated graphically through inspection of a contour-enhanced funnel plot (Peters </w:t>
      </w:r>
      <w:r w:rsidRPr="00E30B40">
        <w:rPr>
          <w:rFonts w:eastAsia="Times New Roman"/>
        </w:rPr>
        <w:lastRenderedPageBreak/>
        <w:t>et al., 2008) and statistically through Egger's regression test for funnel-plot asymmetry (Egger et al., 1997). When funnel-plot asymmetry was suggested, the trim-and-fill procedure (Duval &amp; Tweedie, 2000) was applied as a sensitivity analysis to estimate the potential impact of missing studies on the pooled effect.</w:t>
      </w:r>
    </w:p>
    <w:p w14:paraId="62769A88" w14:textId="413C14AF" w:rsidR="00AB7F1D" w:rsidRPr="00E30B40" w:rsidRDefault="00E30B40" w:rsidP="00E30B40">
      <w:pPr>
        <w:spacing w:after="120" w:line="360" w:lineRule="auto"/>
        <w:ind w:firstLine="360"/>
        <w:jc w:val="both"/>
      </w:pPr>
      <w:r w:rsidRPr="00E30B40">
        <w:rPr>
          <w:rFonts w:eastAsia="Times New Roman"/>
        </w:rPr>
        <w:t>Contour-enhanced funnel plots extend conventional funnel plots by adding shaded regions that correspond to different levels of statistical significance. These contours help distinguish publication bias from other possible causes of asymmetry. For example, if missing or sparse studies are concentrated in non-significant regions, this pattern may be more consistent with publication bias. In the present analysis, the contour regions represented conventional significance levels of (p &lt; .10), (p &lt; .05), and (p &lt; .01), while the white region represented non-significant results.</w:t>
      </w:r>
    </w:p>
    <w:p w14:paraId="2CB9E7A2" w14:textId="77777777" w:rsidR="000C3784" w:rsidRDefault="00D450DC">
      <w:pPr>
        <w:pStyle w:val="3"/>
      </w:pPr>
      <w:r>
        <w:t>3.7.5. Acceptability</w:t>
      </w:r>
    </w:p>
    <w:p w14:paraId="72F7F403" w14:textId="119D7037" w:rsidR="000C3784" w:rsidRDefault="00072985">
      <w:pPr>
        <w:spacing w:after="120" w:line="360" w:lineRule="auto"/>
        <w:ind w:firstLine="360"/>
        <w:jc w:val="both"/>
      </w:pPr>
      <w:r w:rsidRPr="00072985">
        <w:rPr>
          <w:rFonts w:eastAsia="Times New Roman"/>
        </w:rPr>
        <w:t>Acceptability was operationalized as differential dropout between the experimental and control arms and quantified using the risk ratio (RR) of dropout. Dropout was defined as the proportion of participants randomized to a given arm who did not provide data at the primary post-intervention time point. For each study, the following 2 × 2 structure was used:</w:t>
      </w:r>
    </w:p>
    <w:p w14:paraId="74230FB7" w14:textId="65CEA992" w:rsidR="00072985" w:rsidRPr="00072985" w:rsidRDefault="00072985" w:rsidP="00072985">
      <w:pPr>
        <w:spacing w:after="120" w:line="360" w:lineRule="auto"/>
        <w:jc w:val="both"/>
      </w:pPr>
      <w:r w:rsidRPr="00072985">
        <w:rPr>
          <w:b/>
          <w:bCs/>
        </w:rPr>
        <w:t xml:space="preserve">Table </w:t>
      </w:r>
      <w:r>
        <w:rPr>
          <w:rFonts w:hint="eastAsia"/>
          <w:b/>
          <w:bCs/>
        </w:rPr>
        <w:t xml:space="preserve">6. </w:t>
      </w:r>
      <w:r w:rsidRPr="00072985">
        <w:rPr>
          <w:b/>
          <w:bCs/>
        </w:rPr>
        <w:t>Two-by-two structure for calculating the dropout risk ratio</w:t>
      </w:r>
    </w:p>
    <w:tbl>
      <w:tblPr>
        <w:tblW w:w="9273" w:type="dxa"/>
        <w:jc w:val="center"/>
        <w:tblLayout w:type="fixed"/>
        <w:tblLook w:val="04A0" w:firstRow="1" w:lastRow="0" w:firstColumn="1" w:lastColumn="0" w:noHBand="0" w:noVBand="1"/>
      </w:tblPr>
      <w:tblGrid>
        <w:gridCol w:w="1985"/>
        <w:gridCol w:w="2126"/>
        <w:gridCol w:w="1952"/>
        <w:gridCol w:w="3210"/>
      </w:tblGrid>
      <w:tr w:rsidR="00B214D1" w14:paraId="0F8A0619" w14:textId="77777777" w:rsidTr="00B214D1">
        <w:trPr>
          <w:trHeight w:val="286"/>
          <w:jc w:val="center"/>
        </w:trPr>
        <w:tc>
          <w:tcPr>
            <w:tcW w:w="1985"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03EEA88B" w14:textId="6B3868F2" w:rsidR="00B214D1" w:rsidRPr="00B214D1" w:rsidRDefault="00B214D1" w:rsidP="00EE6DE8">
            <w:pPr>
              <w:jc w:val="center"/>
            </w:pPr>
            <w:r>
              <w:rPr>
                <w:rFonts w:hint="eastAsia"/>
                <w:b/>
                <w:sz w:val="21"/>
              </w:rPr>
              <w:t>Group</w:t>
            </w:r>
          </w:p>
        </w:tc>
        <w:tc>
          <w:tcPr>
            <w:tcW w:w="2126"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75C499DC" w14:textId="1011BA37" w:rsidR="00B214D1" w:rsidRPr="00B214D1" w:rsidRDefault="00B214D1" w:rsidP="00B214D1">
            <w:pPr>
              <w:jc w:val="center"/>
            </w:pPr>
            <w:r>
              <w:rPr>
                <w:rFonts w:hint="eastAsia"/>
                <w:b/>
                <w:sz w:val="21"/>
              </w:rPr>
              <w:t>Dropout</w:t>
            </w:r>
          </w:p>
        </w:tc>
        <w:tc>
          <w:tcPr>
            <w:tcW w:w="1952" w:type="dxa"/>
            <w:tcBorders>
              <w:top w:val="single" w:sz="8" w:space="0" w:color="000000"/>
              <w:left w:val="nil"/>
              <w:bottom w:val="single" w:sz="4" w:space="0" w:color="000000"/>
              <w:right w:val="nil"/>
            </w:tcBorders>
          </w:tcPr>
          <w:p w14:paraId="3B6DA743" w14:textId="0F5BBDBB" w:rsidR="00B214D1" w:rsidRPr="00B214D1" w:rsidRDefault="00B214D1" w:rsidP="00B214D1">
            <w:pPr>
              <w:jc w:val="center"/>
              <w:rPr>
                <w:b/>
                <w:sz w:val="21"/>
              </w:rPr>
            </w:pPr>
            <w:r>
              <w:rPr>
                <w:b/>
                <w:sz w:val="21"/>
              </w:rPr>
              <w:t>Completed</w:t>
            </w:r>
          </w:p>
        </w:tc>
        <w:tc>
          <w:tcPr>
            <w:tcW w:w="3210" w:type="dxa"/>
            <w:tcBorders>
              <w:top w:val="single" w:sz="8" w:space="0" w:color="000000"/>
              <w:left w:val="nil"/>
              <w:bottom w:val="single" w:sz="4" w:space="0" w:color="000000"/>
              <w:right w:val="nil"/>
            </w:tcBorders>
            <w:tcMar>
              <w:top w:w="80" w:type="dxa"/>
              <w:left w:w="80" w:type="dxa"/>
              <w:bottom w:w="80" w:type="dxa"/>
              <w:right w:w="80" w:type="dxa"/>
            </w:tcMar>
            <w:vAlign w:val="center"/>
          </w:tcPr>
          <w:p w14:paraId="124F8410" w14:textId="5F7663F9" w:rsidR="00B214D1" w:rsidRPr="00B214D1" w:rsidRDefault="00B214D1" w:rsidP="00B214D1">
            <w:pPr>
              <w:jc w:val="center"/>
            </w:pPr>
            <w:r>
              <w:rPr>
                <w:rFonts w:hint="eastAsia"/>
                <w:b/>
                <w:sz w:val="21"/>
              </w:rPr>
              <w:t>Total</w:t>
            </w:r>
          </w:p>
        </w:tc>
      </w:tr>
      <w:tr w:rsidR="00B214D1" w14:paraId="4DDF837E" w14:textId="77777777" w:rsidTr="00B214D1">
        <w:trPr>
          <w:trHeight w:val="286"/>
          <w:jc w:val="center"/>
        </w:trPr>
        <w:tc>
          <w:tcPr>
            <w:tcW w:w="1985" w:type="dxa"/>
            <w:tcBorders>
              <w:top w:val="nil"/>
              <w:left w:val="nil"/>
              <w:bottom w:val="nil"/>
              <w:right w:val="nil"/>
            </w:tcBorders>
            <w:tcMar>
              <w:top w:w="80" w:type="dxa"/>
              <w:left w:w="80" w:type="dxa"/>
              <w:bottom w:w="80" w:type="dxa"/>
              <w:right w:w="80" w:type="dxa"/>
            </w:tcMar>
            <w:vAlign w:val="center"/>
          </w:tcPr>
          <w:p w14:paraId="3D18ADF8" w14:textId="260DAAD7" w:rsidR="00B214D1" w:rsidRDefault="00072985" w:rsidP="00EE6DE8">
            <w:r>
              <w:rPr>
                <w:rFonts w:hint="eastAsia"/>
              </w:rPr>
              <w:t>Experimental</w:t>
            </w:r>
          </w:p>
        </w:tc>
        <w:tc>
          <w:tcPr>
            <w:tcW w:w="2126" w:type="dxa"/>
            <w:tcBorders>
              <w:top w:val="nil"/>
              <w:left w:val="nil"/>
              <w:bottom w:val="nil"/>
              <w:right w:val="nil"/>
            </w:tcBorders>
            <w:tcMar>
              <w:top w:w="80" w:type="dxa"/>
              <w:left w:w="80" w:type="dxa"/>
              <w:bottom w:w="80" w:type="dxa"/>
              <w:right w:w="80" w:type="dxa"/>
            </w:tcMar>
          </w:tcPr>
          <w:p w14:paraId="76D6E878" w14:textId="662DDEB7" w:rsidR="00B214D1" w:rsidRPr="00B214D1" w:rsidRDefault="00B214D1" w:rsidP="00B214D1">
            <w:pPr>
              <w:jc w:val="center"/>
              <w:rPr>
                <w:i/>
                <w:iCs/>
              </w:rPr>
            </w:pPr>
            <w:r w:rsidRPr="00B214D1">
              <w:rPr>
                <w:rFonts w:hint="eastAsia"/>
                <w:i/>
                <w:iCs/>
              </w:rPr>
              <w:t>a</w:t>
            </w:r>
          </w:p>
        </w:tc>
        <w:tc>
          <w:tcPr>
            <w:tcW w:w="1952" w:type="dxa"/>
            <w:tcBorders>
              <w:top w:val="nil"/>
              <w:left w:val="nil"/>
              <w:bottom w:val="nil"/>
              <w:right w:val="nil"/>
            </w:tcBorders>
          </w:tcPr>
          <w:p w14:paraId="0E2CAE8F" w14:textId="69E171D9" w:rsidR="00B214D1" w:rsidRPr="00B214D1" w:rsidRDefault="00B214D1" w:rsidP="00B214D1">
            <w:pPr>
              <w:jc w:val="center"/>
              <w:rPr>
                <w:i/>
                <w:iCs/>
              </w:rPr>
            </w:pPr>
            <w:r w:rsidRPr="00B214D1">
              <w:rPr>
                <w:rFonts w:hint="eastAsia"/>
                <w:i/>
                <w:iCs/>
              </w:rPr>
              <w:t>b</w:t>
            </w:r>
          </w:p>
        </w:tc>
        <w:tc>
          <w:tcPr>
            <w:tcW w:w="3210" w:type="dxa"/>
            <w:tcBorders>
              <w:top w:val="nil"/>
              <w:left w:val="nil"/>
              <w:bottom w:val="nil"/>
              <w:right w:val="nil"/>
            </w:tcBorders>
            <w:tcMar>
              <w:top w:w="80" w:type="dxa"/>
              <w:left w:w="80" w:type="dxa"/>
              <w:bottom w:w="80" w:type="dxa"/>
              <w:right w:w="80" w:type="dxa"/>
            </w:tcMar>
          </w:tcPr>
          <w:p w14:paraId="1D512AB1" w14:textId="2E5C4072" w:rsidR="00B214D1" w:rsidRPr="00B214D1" w:rsidRDefault="00B214D1" w:rsidP="00B214D1">
            <w:pPr>
              <w:jc w:val="center"/>
              <w:rPr>
                <w:i/>
                <w:iCs/>
              </w:rPr>
            </w:pPr>
            <w:r>
              <w:rPr>
                <w:rFonts w:hint="eastAsia"/>
                <w:i/>
                <w:iCs/>
              </w:rPr>
              <w:t>n</w:t>
            </w:r>
            <w:r w:rsidRPr="00B214D1">
              <w:rPr>
                <w:rFonts w:hint="eastAsia"/>
                <w:vertAlign w:val="subscript"/>
              </w:rPr>
              <w:t>1</w:t>
            </w:r>
            <w:r>
              <w:rPr>
                <w:rFonts w:hint="eastAsia"/>
                <w:i/>
                <w:iCs/>
              </w:rPr>
              <w:t xml:space="preserve"> = </w:t>
            </w:r>
            <w:proofErr w:type="spellStart"/>
            <w:r>
              <w:rPr>
                <w:rFonts w:hint="eastAsia"/>
                <w:i/>
                <w:iCs/>
              </w:rPr>
              <w:t>a+b</w:t>
            </w:r>
            <w:proofErr w:type="spellEnd"/>
          </w:p>
        </w:tc>
      </w:tr>
      <w:tr w:rsidR="00B214D1" w14:paraId="2B39BFB1" w14:textId="77777777" w:rsidTr="00B214D1">
        <w:trPr>
          <w:trHeight w:val="286"/>
          <w:jc w:val="center"/>
        </w:trPr>
        <w:tc>
          <w:tcPr>
            <w:tcW w:w="1985" w:type="dxa"/>
            <w:tcBorders>
              <w:left w:val="nil"/>
              <w:bottom w:val="single" w:sz="8" w:space="0" w:color="000000"/>
              <w:right w:val="nil"/>
            </w:tcBorders>
            <w:tcMar>
              <w:top w:w="80" w:type="dxa"/>
              <w:left w:w="80" w:type="dxa"/>
              <w:bottom w:w="80" w:type="dxa"/>
              <w:right w:w="80" w:type="dxa"/>
            </w:tcMar>
          </w:tcPr>
          <w:p w14:paraId="41A412E5" w14:textId="743F4B87" w:rsidR="00B214D1" w:rsidRPr="00B214D1" w:rsidRDefault="00072985" w:rsidP="00EE6DE8">
            <w:r>
              <w:rPr>
                <w:rFonts w:hint="eastAsia"/>
              </w:rPr>
              <w:t>C</w:t>
            </w:r>
            <w:r w:rsidR="00B214D1">
              <w:rPr>
                <w:rFonts w:hint="eastAsia"/>
              </w:rPr>
              <w:t>ontrol</w:t>
            </w:r>
          </w:p>
        </w:tc>
        <w:tc>
          <w:tcPr>
            <w:tcW w:w="2126" w:type="dxa"/>
            <w:tcBorders>
              <w:left w:val="nil"/>
              <w:bottom w:val="single" w:sz="8" w:space="0" w:color="000000"/>
              <w:right w:val="nil"/>
            </w:tcBorders>
            <w:tcMar>
              <w:top w:w="80" w:type="dxa"/>
              <w:left w:w="80" w:type="dxa"/>
              <w:bottom w:w="80" w:type="dxa"/>
              <w:right w:w="80" w:type="dxa"/>
            </w:tcMar>
          </w:tcPr>
          <w:p w14:paraId="4E75BD92" w14:textId="08D98F6A" w:rsidR="00B214D1" w:rsidRPr="00B214D1" w:rsidRDefault="00B214D1" w:rsidP="00B214D1">
            <w:pPr>
              <w:jc w:val="center"/>
              <w:rPr>
                <w:i/>
                <w:iCs/>
              </w:rPr>
            </w:pPr>
            <w:r w:rsidRPr="00B214D1">
              <w:rPr>
                <w:rFonts w:hint="eastAsia"/>
                <w:i/>
                <w:iCs/>
              </w:rPr>
              <w:t>c</w:t>
            </w:r>
          </w:p>
        </w:tc>
        <w:tc>
          <w:tcPr>
            <w:tcW w:w="1952" w:type="dxa"/>
            <w:tcBorders>
              <w:left w:val="nil"/>
              <w:bottom w:val="single" w:sz="8" w:space="0" w:color="000000"/>
              <w:right w:val="nil"/>
            </w:tcBorders>
          </w:tcPr>
          <w:p w14:paraId="789D2F20" w14:textId="1D5F9978" w:rsidR="00B214D1" w:rsidRPr="00B214D1" w:rsidRDefault="00B214D1" w:rsidP="00B214D1">
            <w:pPr>
              <w:jc w:val="center"/>
              <w:rPr>
                <w:i/>
                <w:iCs/>
              </w:rPr>
            </w:pPr>
            <w:r w:rsidRPr="00B214D1">
              <w:rPr>
                <w:rFonts w:hint="eastAsia"/>
                <w:i/>
                <w:iCs/>
              </w:rPr>
              <w:t>d</w:t>
            </w:r>
          </w:p>
        </w:tc>
        <w:tc>
          <w:tcPr>
            <w:tcW w:w="3210" w:type="dxa"/>
            <w:tcBorders>
              <w:left w:val="nil"/>
              <w:bottom w:val="single" w:sz="8" w:space="0" w:color="000000"/>
              <w:right w:val="nil"/>
            </w:tcBorders>
            <w:tcMar>
              <w:top w:w="80" w:type="dxa"/>
              <w:left w:w="80" w:type="dxa"/>
              <w:bottom w:w="80" w:type="dxa"/>
              <w:right w:w="80" w:type="dxa"/>
            </w:tcMar>
          </w:tcPr>
          <w:p w14:paraId="15F676D6" w14:textId="24BD6937" w:rsidR="00B214D1" w:rsidRPr="00B214D1" w:rsidRDefault="00B214D1" w:rsidP="00B214D1">
            <w:pPr>
              <w:jc w:val="center"/>
              <w:rPr>
                <w:i/>
                <w:iCs/>
              </w:rPr>
            </w:pPr>
            <w:r>
              <w:rPr>
                <w:rFonts w:hint="eastAsia"/>
                <w:i/>
                <w:iCs/>
              </w:rPr>
              <w:t>n</w:t>
            </w:r>
            <w:r w:rsidRPr="00B214D1">
              <w:rPr>
                <w:rFonts w:hint="eastAsia"/>
                <w:vertAlign w:val="subscript"/>
              </w:rPr>
              <w:t>0</w:t>
            </w:r>
            <w:r>
              <w:rPr>
                <w:rFonts w:hint="eastAsia"/>
                <w:i/>
                <w:iCs/>
              </w:rPr>
              <w:t xml:space="preserve"> = </w:t>
            </w:r>
            <w:proofErr w:type="spellStart"/>
            <w:r>
              <w:rPr>
                <w:rFonts w:hint="eastAsia"/>
                <w:i/>
                <w:iCs/>
              </w:rPr>
              <w:t>c+d</w:t>
            </w:r>
            <w:proofErr w:type="spellEnd"/>
          </w:p>
        </w:tc>
      </w:tr>
    </w:tbl>
    <w:p w14:paraId="7B303859" w14:textId="77777777" w:rsidR="00B214D1" w:rsidRDefault="00B214D1">
      <w:pPr>
        <w:spacing w:after="120" w:line="360" w:lineRule="auto"/>
        <w:ind w:firstLine="360"/>
        <w:jc w:val="both"/>
      </w:pPr>
    </w:p>
    <w:p w14:paraId="0CE05FF7" w14:textId="07D69053" w:rsidR="00072985" w:rsidRPr="00072985" w:rsidRDefault="00072985" w:rsidP="00072985">
      <w:pPr>
        <w:spacing w:after="120" w:line="360" w:lineRule="auto"/>
        <w:ind w:firstLine="360"/>
        <w:jc w:val="both"/>
      </w:pPr>
      <w:r w:rsidRPr="00072985">
        <w:t xml:space="preserve">The dropout risk in the experimental arm was calculated as </w:t>
      </w:r>
      <m:oMath>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oMath>
      <w:r w:rsidRPr="00072985">
        <w:t xml:space="preserve">, and the dropout risk in the control arm was calculated as </w:t>
      </w:r>
      <m:oMath>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oMath>
      <w:r w:rsidRPr="00072985">
        <w:t>. The risk ratio was therefore defined as:</w:t>
      </w:r>
    </w:p>
    <w:p w14:paraId="0BC84D43" w14:textId="213040A9" w:rsidR="00072985" w:rsidRPr="00072985" w:rsidRDefault="00072985" w:rsidP="00072985">
      <w:pPr>
        <w:spacing w:after="120" w:line="360" w:lineRule="auto"/>
        <w:ind w:firstLine="360"/>
        <w:jc w:val="both"/>
      </w:pPr>
      <m:oMathPara>
        <m:oMath>
          <m:r>
            <w:rPr>
              <w:rFonts w:ascii="Cambria Math" w:hAnsi="Cambria Math"/>
            </w:rPr>
            <m:t>RR=</m:t>
          </m:r>
          <m:f>
            <m:fPr>
              <m:ctrlPr>
                <w:rPr>
                  <w:rFonts w:ascii="Cambria Math" w:hAnsi="Cambria Math"/>
                </w:rPr>
              </m:ctrlPr>
            </m:fPr>
            <m:num>
              <m:f>
                <m:fPr>
                  <m:ctrlPr>
                    <w:rPr>
                      <w:rFonts w:ascii="Cambria Math" w:hAnsi="Cambria Math"/>
                    </w:rPr>
                  </m:ctrlPr>
                </m:fPr>
                <m:num>
                  <m:r>
                    <w:rPr>
                      <w:rFonts w:ascii="Cambria Math" w:hAnsi="Cambria Math"/>
                    </w:rPr>
                    <m:t>a</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ctrlPr>
                <w:rPr>
                  <w:rFonts w:ascii="Cambria Math" w:hAnsi="Cambria Math"/>
                  <w:i/>
                </w:rPr>
              </m:ctrlPr>
            </m:num>
            <m:den>
              <m:f>
                <m:fPr>
                  <m:ctrlPr>
                    <w:rPr>
                      <w:rFonts w:ascii="Cambria Math" w:hAnsi="Cambria Math"/>
                    </w:rPr>
                  </m:ctrlPr>
                </m:fPr>
                <m:num>
                  <m:r>
                    <w:rPr>
                      <w:rFonts w:ascii="Cambria Math" w:hAnsi="Cambria Math"/>
                    </w:rPr>
                    <m:t>c</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0</m:t>
                      </m:r>
                    </m:sub>
                  </m:sSub>
                  <m:ctrlPr>
                    <w:rPr>
                      <w:rFonts w:ascii="Cambria Math" w:hAnsi="Cambria Math"/>
                      <w:i/>
                    </w:rPr>
                  </m:ctrlPr>
                </m:den>
              </m:f>
              <m:ctrlPr>
                <w:rPr>
                  <w:rFonts w:ascii="Cambria Math" w:hAnsi="Cambria Math"/>
                  <w:i/>
                </w:rPr>
              </m:ctrlPr>
            </m:den>
          </m:f>
        </m:oMath>
      </m:oMathPara>
    </w:p>
    <w:p w14:paraId="3E310B1A" w14:textId="1D03459F" w:rsidR="00072985" w:rsidRDefault="00072985" w:rsidP="00072985">
      <w:pPr>
        <w:spacing w:after="120" w:line="360" w:lineRule="auto"/>
        <w:ind w:firstLine="360"/>
        <w:jc w:val="both"/>
      </w:pPr>
      <w:r w:rsidRPr="00072985">
        <w:t xml:space="preserve">An RR greater than 1 indicates that dropout was higher in the experimental arm than in the control arm, whereas an RR less than 1 indicates lower dropout in the experimental arm. For meta-analysis, RRs were analyzed on the logarithmic scale and then </w:t>
      </w:r>
      <w:proofErr w:type="gramStart"/>
      <w:r w:rsidRPr="00072985">
        <w:t>back-transformed</w:t>
      </w:r>
      <w:proofErr w:type="gramEnd"/>
      <w:r w:rsidRPr="00072985">
        <w:t xml:space="preserve"> for interpretation.</w:t>
      </w:r>
    </w:p>
    <w:p w14:paraId="7AF1383B" w14:textId="30581A11" w:rsidR="007C2244" w:rsidRPr="00A7402E" w:rsidRDefault="00A7402E" w:rsidP="00072985">
      <w:pPr>
        <w:spacing w:after="120" w:line="360" w:lineRule="auto"/>
        <w:ind w:firstLine="360"/>
        <w:jc w:val="both"/>
      </w:pPr>
      <w:r>
        <w:rPr>
          <w:rFonts w:hint="eastAsia"/>
        </w:rPr>
        <w:t xml:space="preserve">What raised concerns </w:t>
      </w:r>
      <w:r w:rsidR="00217C82" w:rsidRPr="00217C82">
        <w:t>in calculating the pooled acceptability estimate</w:t>
      </w:r>
      <w:r>
        <w:rPr>
          <w:rFonts w:hint="eastAsia"/>
        </w:rPr>
        <w:t xml:space="preserve"> is that </w:t>
      </w:r>
      <w:r w:rsidR="0019480C" w:rsidRPr="0019480C">
        <w:t>several studies had a zero count in one cell</w:t>
      </w:r>
      <w:r>
        <w:rPr>
          <w:rFonts w:hint="eastAsia"/>
        </w:rPr>
        <w:t xml:space="preserve">. This could be problematic, because </w:t>
      </w:r>
      <w:r w:rsidR="0019480C" w:rsidRPr="0019480C">
        <w:t>a zero in either arm leaves the ratio undefined</w:t>
      </w:r>
      <w:r>
        <w:rPr>
          <w:rFonts w:hint="eastAsia"/>
        </w:rPr>
        <w:t xml:space="preserve">. </w:t>
      </w:r>
      <w:r w:rsidR="00BD6385" w:rsidRPr="00BD6385">
        <w:t>The current meta-analysis handled this in sequential steps</w:t>
      </w:r>
      <w:r>
        <w:rPr>
          <w:rFonts w:hint="eastAsia"/>
        </w:rPr>
        <w:t>:</w:t>
      </w:r>
    </w:p>
    <w:p w14:paraId="2B075C95" w14:textId="45B8BD70" w:rsidR="00A7402E" w:rsidRPr="00A7402E" w:rsidRDefault="00673E2C" w:rsidP="00766B79">
      <w:pPr>
        <w:spacing w:after="120" w:line="360" w:lineRule="auto"/>
        <w:ind w:firstLine="360"/>
        <w:jc w:val="both"/>
      </w:pPr>
      <w:r w:rsidRPr="00673E2C">
        <w:lastRenderedPageBreak/>
        <w:t xml:space="preserve">First, whether the zero cells reflected a rare-event outcome was considered. Zero dropout was treated as the low end of generally low dropout rather than as a structurally rare event, </w:t>
      </w:r>
      <w:r w:rsidR="00D518A4" w:rsidRPr="00D518A4">
        <w:t>so these studies were retained in the analysis rather than excluded</w:t>
      </w:r>
      <w:r w:rsidR="00A7402E" w:rsidRPr="00673E2C">
        <w:t>.</w:t>
      </w:r>
    </w:p>
    <w:p w14:paraId="796EF63E" w14:textId="5C31A9E7" w:rsidR="00766B79" w:rsidRPr="00766B79" w:rsidRDefault="00673E2C" w:rsidP="00766B79">
      <w:pPr>
        <w:spacing w:after="120" w:line="360" w:lineRule="auto"/>
        <w:ind w:firstLine="360"/>
        <w:jc w:val="both"/>
      </w:pPr>
      <w:r w:rsidRPr="00673E2C">
        <w:rPr>
          <w:rFonts w:hint="eastAsia"/>
        </w:rPr>
        <w:t>Second, p</w:t>
      </w:r>
      <w:r w:rsidR="00254D53" w:rsidRPr="00673E2C">
        <w:t xml:space="preserve">ooling and estimation. </w:t>
      </w:r>
      <w:r w:rsidR="00254D53" w:rsidRPr="00254D53">
        <w:t xml:space="preserve">The primary estimate was a random-effects risk ratio using inverse-variance pooling, with REML for τ² and the Hartung-Knapp adjustment for the confidence interval. </w:t>
      </w:r>
      <w:r w:rsidRPr="00673E2C">
        <w:t>The Mantel-Haenszel common-effect estimate was reported alongside it. The exact Mantel-Haenszel method was used so that studies with a single zero cell were retained without an arbitrary continuity correction.</w:t>
      </w:r>
    </w:p>
    <w:p w14:paraId="30E99A7E" w14:textId="29912DD4" w:rsidR="00766B79" w:rsidRPr="00766B79" w:rsidRDefault="002947F1" w:rsidP="00766B79">
      <w:pPr>
        <w:spacing w:after="120" w:line="360" w:lineRule="auto"/>
        <w:ind w:firstLine="360"/>
        <w:jc w:val="both"/>
      </w:pPr>
      <w:r w:rsidRPr="002947F1">
        <w:rPr>
          <w:rFonts w:hint="eastAsia"/>
        </w:rPr>
        <w:t>Third, s</w:t>
      </w:r>
      <w:r w:rsidR="002F7928" w:rsidRPr="002947F1">
        <w:t>ensitivity analyses for zero handling.</w:t>
      </w:r>
      <w:r w:rsidR="002F7928" w:rsidRPr="002F7928">
        <w:t xml:space="preserve"> Two sensitivity analyses tested whether the pooled result depended on how zero cells were treated. The first excluded the single-zero studies. The second re-estimated the risk ratio with inverse-variance pooling and the Cochrane continuity correction.</w:t>
      </w:r>
    </w:p>
    <w:p w14:paraId="76E98908" w14:textId="025B9322" w:rsidR="00757D08" w:rsidRPr="00766B79" w:rsidRDefault="00D518A4" w:rsidP="00757D08">
      <w:pPr>
        <w:spacing w:after="120" w:line="360" w:lineRule="auto"/>
        <w:ind w:firstLine="360"/>
        <w:jc w:val="both"/>
      </w:pPr>
      <w:r w:rsidRPr="002947F1">
        <w:t>Finally</w:t>
      </w:r>
      <w:r w:rsidR="002947F1" w:rsidRPr="002947F1">
        <w:rPr>
          <w:rFonts w:hint="eastAsia"/>
        </w:rPr>
        <w:t>, h</w:t>
      </w:r>
      <w:r w:rsidR="00757D08" w:rsidRPr="00757D08">
        <w:t xml:space="preserve">eterogeneity and influence. Heterogeneity was quantified with </w:t>
      </w:r>
      <w:r w:rsidR="00757D08" w:rsidRPr="00757D08">
        <w:rPr>
          <w:i/>
          <w:iCs/>
        </w:rPr>
        <w:t>I</w:t>
      </w:r>
      <w:r w:rsidR="00757D08" w:rsidRPr="00757D08">
        <w:t xml:space="preserve">² and τ². A </w:t>
      </w:r>
      <w:bookmarkStart w:id="38" w:name="OLE_LINK90"/>
      <w:proofErr w:type="spellStart"/>
      <w:r w:rsidR="00757D08" w:rsidRPr="00757D08">
        <w:t>Baujat</w:t>
      </w:r>
      <w:bookmarkEnd w:id="38"/>
      <w:proofErr w:type="spellEnd"/>
      <w:r w:rsidR="00757D08" w:rsidRPr="00757D08">
        <w:t xml:space="preserve"> plot</w:t>
      </w:r>
      <w:r w:rsidR="000F7E34">
        <w:rPr>
          <w:rFonts w:hint="eastAsia"/>
        </w:rPr>
        <w:t xml:space="preserve"> (</w:t>
      </w:r>
      <w:proofErr w:type="spellStart"/>
      <w:r w:rsidR="000F7E34">
        <w:rPr>
          <w:rFonts w:hint="eastAsia"/>
        </w:rPr>
        <w:t>Baujat</w:t>
      </w:r>
      <w:proofErr w:type="spellEnd"/>
      <w:r w:rsidR="00B87D49">
        <w:rPr>
          <w:rFonts w:hint="eastAsia"/>
        </w:rPr>
        <w:t xml:space="preserve"> et al., 2002</w:t>
      </w:r>
      <w:r w:rsidR="000F7E34">
        <w:rPr>
          <w:rFonts w:hint="eastAsia"/>
        </w:rPr>
        <w:t>)</w:t>
      </w:r>
      <w:r w:rsidR="00757D08" w:rsidRPr="00757D08">
        <w:t xml:space="preserve"> and the </w:t>
      </w:r>
      <w:bookmarkStart w:id="39" w:name="OLE_LINK88"/>
      <w:proofErr w:type="spellStart"/>
      <w:r w:rsidR="00757D08" w:rsidRPr="00757D08">
        <w:t>Viechtbauer</w:t>
      </w:r>
      <w:proofErr w:type="spellEnd"/>
      <w:r w:rsidR="00757D08" w:rsidRPr="00757D08">
        <w:t>-Cheung</w:t>
      </w:r>
      <w:bookmarkEnd w:id="39"/>
      <w:r w:rsidR="00757D08" w:rsidRPr="00757D08">
        <w:t xml:space="preserve"> influence diagnostics</w:t>
      </w:r>
      <w:r w:rsidR="000F7E34">
        <w:rPr>
          <w:rFonts w:hint="eastAsia"/>
        </w:rPr>
        <w:t xml:space="preserve"> (</w:t>
      </w:r>
      <w:proofErr w:type="spellStart"/>
      <w:r w:rsidR="000F7E34">
        <w:rPr>
          <w:rFonts w:hint="eastAsia"/>
        </w:rPr>
        <w:t>Viechtbauer</w:t>
      </w:r>
      <w:proofErr w:type="spellEnd"/>
      <w:r w:rsidR="000F7E34">
        <w:rPr>
          <w:rFonts w:hint="eastAsia"/>
        </w:rPr>
        <w:t xml:space="preserve"> &amp; Cheung, 2010)</w:t>
      </w:r>
      <w:r w:rsidR="00757D08" w:rsidRPr="00757D08">
        <w:t xml:space="preserve"> were used to identify studies that drove inconsistency in the pooled risk ratio. </w:t>
      </w:r>
      <w:r w:rsidR="002947F1" w:rsidRPr="002947F1">
        <w:t>Interpretation of any study flagged by these diagnostics was reserved for the Results and Discussion</w:t>
      </w:r>
      <w:r w:rsidR="00757D08" w:rsidRPr="00757D08">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40"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41"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41"/>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504B0CCD"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RCTs at the individual level</w:t>
      </w:r>
      <w:r w:rsidR="00124646">
        <w:rPr>
          <w:rFonts w:hint="eastAsia"/>
        </w:rPr>
        <w:t>, and</w:t>
      </w:r>
      <w:r w:rsidR="00DB0C1E" w:rsidRPr="00DB0C1E">
        <w:t xml:space="preserve"> one cluster-randomized pilot trial. The 15 studies in the main analysis were published between 1998 and 2025 and conducted in six countries</w:t>
      </w:r>
      <w:r w:rsidR="00124646">
        <w:rPr>
          <w:rFonts w:hint="eastAsia"/>
        </w:rPr>
        <w:t xml:space="preserve"> and regions</w:t>
      </w:r>
      <w:r w:rsidR="00DB0C1E" w:rsidRPr="00DB0C1E">
        <w:t xml:space="preserve">: the United States (k = 5), the United Kingdom (k = 3), New Zealand (k = 3), Australia (k = 2), the Netherlands (k = 1), and Hong Kong (k = 1). </w:t>
      </w:r>
      <w:r w:rsidR="00152991">
        <w:rPr>
          <w:rFonts w:hint="eastAsia"/>
        </w:rPr>
        <w:t xml:space="preserve">Most of studies published roughly evenly between 2010s to 2020s, with one article was published in 1990s. </w:t>
      </w:r>
      <w:r w:rsidR="00315FC0" w:rsidRPr="00315FC0">
        <w:t xml:space="preserve">Most studies targeted adolescents </w:t>
      </w:r>
      <w:r w:rsidR="00315FC0">
        <w:rPr>
          <w:rFonts w:hint="eastAsia"/>
        </w:rPr>
        <w:t xml:space="preserve">were </w:t>
      </w:r>
      <w:r w:rsidR="00315FC0" w:rsidRPr="00315FC0">
        <w:t>indicated prevention trials (12/15)</w:t>
      </w:r>
      <w:r w:rsidR="001A0DD7">
        <w:rPr>
          <w:rFonts w:hint="eastAsia"/>
        </w:rPr>
        <w:t xml:space="preserve">, and the </w:t>
      </w:r>
      <w:r w:rsidR="00315FC0" w:rsidRPr="00315FC0">
        <w:t xml:space="preserve">remaining three studies </w:t>
      </w:r>
      <w:r w:rsidR="001A0DD7">
        <w:rPr>
          <w:rFonts w:hint="eastAsia"/>
        </w:rPr>
        <w:t>were</w:t>
      </w:r>
      <w:r w:rsidR="00315FC0" w:rsidRPr="00315FC0">
        <w:t xml:space="preserve"> recruited broader/universal samples or embedded in a clinical context.</w:t>
      </w:r>
      <w:r w:rsidR="00CE205F">
        <w:rPr>
          <w:rFonts w:hint="eastAsia"/>
        </w:rPr>
        <w:t xml:space="preserve"> </w:t>
      </w:r>
      <w:r w:rsidR="00DB0C1E" w:rsidRPr="00DB0C1E">
        <w:t xml:space="preserve">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7DBEA673"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42" w:name="OLE_LINK38"/>
      <w:r w:rsidRPr="00DB0C1E">
        <w:t>2,073 participants</w:t>
      </w:r>
      <w:bookmarkEnd w:id="42"/>
      <w:r w:rsidRPr="00DB0C1E">
        <w:t xml:space="preserve"> providing post-treatment data (intervention: n = 1,024; control: n = 1,049). Sample sizes at post-treatment ranged from 22 (Ackerson et al., 1998) to 284 (O'Dea et al., 2025). Most samples were drawn from high-income contexts</w:t>
      </w:r>
      <w:r w:rsidR="00CE205F">
        <w:rPr>
          <w:rFonts w:hint="eastAsia"/>
        </w:rPr>
        <w:t>,</w:t>
      </w:r>
      <w:r w:rsidRPr="00DB0C1E">
        <w:t xml:space="preserve">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552327CF" w:rsidR="0091591B" w:rsidRPr="00474F45" w:rsidRDefault="00967ABB" w:rsidP="00474F45">
      <w:pPr>
        <w:spacing w:after="120" w:line="360" w:lineRule="auto"/>
        <w:ind w:firstLine="360"/>
        <w:jc w:val="both"/>
      </w:pPr>
      <w:r w:rsidRPr="00967ABB">
        <w:t xml:space="preserve">Recruitment pathways were heterogeneous. School-based recruitment was the most common channel (k = 7), followed by clinical referral from primary care, CAMHS, or emergency departments (k = </w:t>
      </w:r>
      <w:r w:rsidR="0086238C">
        <w:rPr>
          <w:rFonts w:hint="eastAsia"/>
        </w:rPr>
        <w:t>3</w:t>
      </w:r>
      <w:r w:rsidRPr="00967ABB">
        <w:t xml:space="preserve">), </w:t>
      </w:r>
      <w:r w:rsidR="0086238C">
        <w:rPr>
          <w:rFonts w:hint="eastAsia"/>
        </w:rPr>
        <w:t xml:space="preserve">mixed </w:t>
      </w:r>
      <w:r w:rsidR="0086238C">
        <w:t>recruitment</w:t>
      </w:r>
      <w:r w:rsidR="0086238C">
        <w:rPr>
          <w:rFonts w:hint="eastAsia"/>
        </w:rPr>
        <w:t xml:space="preserve"> pathways</w:t>
      </w:r>
      <w:r w:rsidRPr="00967ABB">
        <w:t xml:space="preserve"> (k = 2), community-based facilitator recruitment in remote settings (k = </w:t>
      </w:r>
      <w:r w:rsidR="00C30B5D">
        <w:rPr>
          <w:rFonts w:hint="eastAsia"/>
        </w:rPr>
        <w:t>1</w:t>
      </w:r>
      <w:r w:rsidR="00D6331B">
        <w:rPr>
          <w:rFonts w:hint="eastAsia"/>
        </w:rPr>
        <w:t>)</w:t>
      </w:r>
      <w:r w:rsidRPr="00967ABB">
        <w:t xml:space="preserve">, and online or social-media advertisement (k = </w:t>
      </w:r>
      <w:r w:rsidR="00C30B5D">
        <w:rPr>
          <w:rFonts w:hint="eastAsia"/>
        </w:rPr>
        <w:t>2</w:t>
      </w:r>
      <w:r w:rsidRPr="00967ABB">
        <w:t>; O'Dea 2020</w:t>
      </w:r>
      <w:r w:rsidR="00C30B5D">
        <w:rPr>
          <w:rFonts w:hint="eastAsia"/>
        </w:rPr>
        <w:t>, O</w:t>
      </w:r>
      <w:r w:rsidR="00C30B5D">
        <w:t>’</w:t>
      </w:r>
      <w:r w:rsidR="00C30B5D">
        <w:rPr>
          <w:rFonts w:hint="eastAsia"/>
        </w:rPr>
        <w:t>Dea 2025</w:t>
      </w:r>
      <w:r w:rsidRPr="00967ABB">
        <w:t>).</w:t>
      </w:r>
      <w:r w:rsidR="00D6331B">
        <w:rPr>
          <w:rFonts w:hint="eastAsia"/>
        </w:rPr>
        <w:t xml:space="preserve"> </w:t>
      </w:r>
      <w:r w:rsidR="00C30B5D">
        <w:t>M</w:t>
      </w:r>
      <w:r w:rsidR="00C30B5D">
        <w:rPr>
          <w:rFonts w:hint="eastAsia"/>
        </w:rPr>
        <w:t xml:space="preserve">ost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8E66659" w14:textId="0EB2217C" w:rsidR="00851F28" w:rsidRPr="00851F28" w:rsidRDefault="00851F28" w:rsidP="00851F28">
      <w:pPr>
        <w:spacing w:after="120" w:line="360" w:lineRule="auto"/>
        <w:ind w:firstLine="360"/>
        <w:jc w:val="both"/>
      </w:pPr>
      <w:r w:rsidRPr="00851F28">
        <w:t xml:space="preserve">The 15 trials evaluated 10 distinct intervention programs, with SPARX, Stressbusters, and Feeling Good bibliotherapy each evaluated in multiple trials. Delivery modalities spanned bibliotherapy (k = 3; Feeling Good, evaluated in Ackerson et al., 1998, Stice et al., 2010, and Rohde et al., 2015), stand-alone computer programs and serious games (k = 6; SPARX in Fleming et al., 2012, </w:t>
      </w:r>
      <w:proofErr w:type="spellStart"/>
      <w:r w:rsidRPr="00851F28">
        <w:t>Poppelaars</w:t>
      </w:r>
      <w:proofErr w:type="spellEnd"/>
      <w:r w:rsidRPr="00851F28">
        <w:t xml:space="preserve"> et al., 2016, and Bohr et al., 2023; Stressbusters in Smith et al., 2015 and Wright et al., 2020; The Journey in Stasiak et al., 2014), web-based platforms (k = 2; Grasp the Opportunity in Ip et al., 2016 and Blues Blaster in </w:t>
      </w:r>
      <w:proofErr w:type="spellStart"/>
      <w:r w:rsidRPr="00851F28">
        <w:t>Makarushka</w:t>
      </w:r>
      <w:proofErr w:type="spellEnd"/>
      <w:r w:rsidRPr="00851F28">
        <w:t xml:space="preserve">, 2011), mobile applications (k = 3; </w:t>
      </w:r>
      <w:proofErr w:type="spellStart"/>
      <w:r w:rsidRPr="00851F28">
        <w:t>BlueIce</w:t>
      </w:r>
      <w:proofErr w:type="spellEnd"/>
      <w:r w:rsidRPr="00851F28">
        <w:t xml:space="preserve"> in Stallard et al., 2024, </w:t>
      </w:r>
      <w:proofErr w:type="spellStart"/>
      <w:r w:rsidRPr="00851F28">
        <w:t>WeClick</w:t>
      </w:r>
      <w:proofErr w:type="spellEnd"/>
      <w:r w:rsidRPr="00851F28">
        <w:t xml:space="preserve"> in O'Dea et al., 2020, and </w:t>
      </w:r>
      <w:proofErr w:type="spellStart"/>
      <w:r w:rsidRPr="00851F28">
        <w:t>ClearlyMe</w:t>
      </w:r>
      <w:proofErr w:type="spellEnd"/>
      <w:r w:rsidRPr="00851F28">
        <w:t xml:space="preserve"> in O'Dea et al., 2025), and text-messaging delivery (k = 1; </w:t>
      </w:r>
      <w:proofErr w:type="spellStart"/>
      <w:r w:rsidRPr="00851F28">
        <w:t>iDOVE</w:t>
      </w:r>
      <w:proofErr w:type="spellEnd"/>
      <w:r w:rsidRPr="00851F28">
        <w:t xml:space="preserve"> in Ranney et al., 2018).</w:t>
      </w:r>
      <w:r w:rsidRPr="00851F28">
        <w:rPr>
          <w:rFonts w:ascii="SimSun" w:eastAsia="SimSun" w:hAnsi="SimSun" w:cs="SimSun"/>
          <w:sz w:val="24"/>
          <w:szCs w:val="24"/>
        </w:rPr>
        <w:t xml:space="preserve"> </w:t>
      </w:r>
      <w:r w:rsidRPr="00851F28">
        <w:t xml:space="preserve">Planned intervention length varied substantially. The shortest intervention was </w:t>
      </w:r>
      <w:proofErr w:type="spellStart"/>
      <w:r w:rsidRPr="00851F28">
        <w:t>WeClick</w:t>
      </w:r>
      <w:proofErr w:type="spellEnd"/>
      <w:r w:rsidRPr="00851F28">
        <w:t>, which consisted of a single mobile-based session of approximately one hour, whereas the longest was Grasp the Opportunity, which was delivered through web-based modules over an 8-month period. Most programs were designed to be completed within approximately 4–8 weeks</w:t>
      </w:r>
      <w:r>
        <w:rPr>
          <w:rFonts w:hint="eastAsia"/>
        </w:rPr>
        <w:t>.</w:t>
      </w:r>
    </w:p>
    <w:p w14:paraId="55544A22" w14:textId="4FC15D1B" w:rsidR="00643A0F"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The remaining programs were developed and evaluated within their original cultural and linguistic settings without explicit cross-cultural adaptation procedures.</w:t>
      </w:r>
    </w:p>
    <w:p w14:paraId="395C9E77" w14:textId="59DED77F" w:rsidR="00A6057D" w:rsidRPr="00A6057D" w:rsidRDefault="00A6057D" w:rsidP="00A6057D">
      <w:pPr>
        <w:spacing w:after="120" w:line="360" w:lineRule="auto"/>
        <w:ind w:firstLine="360"/>
        <w:jc w:val="both"/>
      </w:pPr>
      <w:r w:rsidRPr="00A6057D">
        <w:t>Effectiveness-oriented trials appeared more frequently in the later part of the evidence base. Similarly, studies embedded in specific educational, clinical, emergency department, or community settings became more common after 2012, including trials conducted in alternative education settings, school counselling contexts, CAMHS, emergency departments, and community facilitator networks. This pattern suggests a gradual broadening from relatively controlled efficacy-oriented evaluations toward more pragmatic and setting-embedded designs. However, the shift was not linear: recent studies still included controlled or online-recruited trials, and authors’ use of the terms “efficacy” and “effectiveness” did not always align neatly with the degree to which a trial was embedded in a real-world setting.</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17166134" w14:textId="77777777" w:rsidR="007D37F0" w:rsidRPr="007D37F0" w:rsidRDefault="007D37F0" w:rsidP="007D37F0">
      <w:pPr>
        <w:spacing w:after="120" w:line="360" w:lineRule="auto"/>
        <w:ind w:firstLine="360"/>
        <w:jc w:val="both"/>
      </w:pPr>
      <w:r w:rsidRPr="007D37F0">
        <w:t xml:space="preserve">Control conditions across the 15 trials included waitlist or delayed-treatment controls (k = 6; including one waitlist condition with active monitoring, </w:t>
      </w:r>
      <w:proofErr w:type="spellStart"/>
      <w:r w:rsidRPr="007D37F0">
        <w:t>Poppelaars</w:t>
      </w:r>
      <w:proofErr w:type="spellEnd"/>
      <w:r w:rsidRPr="007D37F0">
        <w:t xml:space="preserve"> et al., 2016), treatment-as-usual (k = 1; Stallard et al., 2024), attention controls (k = 5; Ip et al., 2016; O'Dea et al., 2025; Ranney et al., 2018; Stasiak et al., 2014; Wright et al., 2020), and information-only or assessment-only controls (k = 3; Stice et al., 2010; </w:t>
      </w:r>
      <w:proofErr w:type="spellStart"/>
      <w:r w:rsidRPr="007D37F0">
        <w:t>Makarushka</w:t>
      </w:r>
      <w:proofErr w:type="spellEnd"/>
      <w:r w:rsidRPr="007D37F0">
        <w:t>, 2011; Rohde et al., 2015). Waitlist or delayed-treatment conditions in two trials offered the active intervention after the waiting period, which meant that these trials did not provide eligible randomized comparative follow-up data (Ackerson et al., 1998; Smith et al., 2015). Attention-control conditions varied in content and intensity, including an anti-smoking quiz website, computerized psychoeducation matched for length and format, self-help websites, and other non-CBT comparator materials.</w:t>
      </w:r>
    </w:p>
    <w:p w14:paraId="7709032B" w14:textId="791F9BA1" w:rsidR="000A0168" w:rsidRDefault="007D37F0" w:rsidP="00A84446">
      <w:pPr>
        <w:spacing w:after="120" w:line="360" w:lineRule="auto"/>
        <w:ind w:firstLine="360"/>
        <w:jc w:val="both"/>
      </w:pPr>
      <w:r w:rsidRPr="007D37F0">
        <w:t xml:space="preserve">For the confirmatory subgroup analysis specified in Section 3.7, control conditions were collapsed into two categories according to the pre-specified scheme: passive controls and minimally active controls. Across all 15 eligible trials, passive controls included waitlist, delayed-treatment, treatment-as-usual, and assessment-only conditions (k = 8), whereas minimally active controls included attention-control and information-only conditions (k = 7).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11B2BEE1" w14:textId="3DEF7293" w:rsidR="004C617A" w:rsidRPr="004C617A" w:rsidRDefault="004C617A" w:rsidP="004C617A">
      <w:pPr>
        <w:spacing w:after="120" w:line="360" w:lineRule="auto"/>
        <w:ind w:firstLine="360"/>
        <w:jc w:val="both"/>
      </w:pPr>
      <w:r w:rsidRPr="004C617A">
        <w:t>Depressive symptoms were assessed using a range of validated depression symptom measures, including the BDI/BDI-II, CES-D/CESD-R, CDRS-R, MFQ/MFQ-C, PHQ-9/PHQ-A, and RADS-2. Most outcomes were based on self-report scales, although some studies used interviewer- or clinician-administered measures. Twelve studies reported follow-up data beyond post-treatment</w:t>
      </w:r>
      <w:r>
        <w:rPr>
          <w:rFonts w:hint="eastAsia"/>
        </w:rPr>
        <w:t xml:space="preserve">, </w:t>
      </w:r>
      <w:r w:rsidRPr="004C617A">
        <w:t>distributed across short-term (1–3 months; k = 3, N = 246), medium-term (4–6 months; k = 8, N = 1,323), and long-term (12 months or longer; k = 5, N = 845) windows. The longest follow-up extended to 24 months (Stice et al., 2010; Rohde et al., 2015).</w:t>
      </w:r>
    </w:p>
    <w:p w14:paraId="1151727E" w14:textId="77777777" w:rsidR="004C617A" w:rsidRPr="004C617A" w:rsidRDefault="004C617A" w:rsidP="004C617A">
      <w:pPr>
        <w:spacing w:after="120" w:line="360" w:lineRule="auto"/>
        <w:ind w:firstLine="360"/>
        <w:jc w:val="both"/>
      </w:pPr>
      <w:r w:rsidRPr="004C617A">
        <w:t>Most studies reported endpoint outcomes. Three studies required alternative extraction approaches: Fleming et al. (2012) and Stice et al. (2008, 2010) reported change-from-baseline scores, whereas O’Dea et al. (2020) reported a standardized between-group effect size.</w:t>
      </w:r>
    </w:p>
    <w:p w14:paraId="2C08F4C4" w14:textId="77777777" w:rsidR="004C617A" w:rsidRDefault="004C617A" w:rsidP="00DB0C1E">
      <w:pPr>
        <w:spacing w:after="120" w:line="360" w:lineRule="auto"/>
        <w:ind w:firstLine="360"/>
        <w:jc w:val="both"/>
      </w:pPr>
    </w:p>
    <w:p w14:paraId="19D1DAF4" w14:textId="77777777" w:rsidR="001A7758" w:rsidRDefault="001A7758" w:rsidP="00DB0C1E">
      <w:pPr>
        <w:spacing w:after="120" w:line="360" w:lineRule="auto"/>
        <w:ind w:firstLine="360"/>
        <w:jc w:val="both"/>
      </w:pP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9"/>
          <w:footerReference w:type="default" r:id="rId10"/>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proofErr w:type="spellStart"/>
            <w:r>
              <w:rPr>
                <w:rFonts w:eastAsia="Times New Roman"/>
                <w:sz w:val="16"/>
                <w:szCs w:val="16"/>
              </w:rPr>
              <w:t>Biblio</w:t>
            </w:r>
            <w:proofErr w:type="spellEnd"/>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proofErr w:type="spellStart"/>
            <w:r>
              <w:rPr>
                <w:rFonts w:eastAsia="Times New Roman"/>
                <w:sz w:val="16"/>
                <w:szCs w:val="16"/>
              </w:rPr>
              <w:t>cr+ba+pe+hw+rp+ist</w:t>
            </w:r>
            <w:proofErr w:type="spellEnd"/>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 xml:space="preserve">Alternative education </w:t>
            </w:r>
            <w:proofErr w:type="spellStart"/>
            <w:r>
              <w:rPr>
                <w:rFonts w:eastAsia="Times New Roman"/>
                <w:sz w:val="16"/>
                <w:szCs w:val="16"/>
              </w:rPr>
              <w:t>programmes</w:t>
            </w:r>
            <w:proofErr w:type="spellEnd"/>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 xml:space="preserve">CDRS-R ≥ 30; able to use the </w:t>
            </w:r>
            <w:proofErr w:type="spellStart"/>
            <w:r>
              <w:rPr>
                <w:rFonts w:eastAsia="Times New Roman"/>
                <w:sz w:val="16"/>
                <w:szCs w:val="16"/>
              </w:rPr>
              <w:t>programme</w:t>
            </w:r>
            <w:proofErr w:type="spellEnd"/>
            <w:r>
              <w:rPr>
                <w:rFonts w:eastAsia="Times New Roman"/>
                <w:sz w:val="16"/>
                <w:szCs w:val="16"/>
              </w:rPr>
              <w:t xml:space="preserv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proofErr w:type="spellStart"/>
            <w:r>
              <w:rPr>
                <w:rFonts w:eastAsia="Times New Roman"/>
                <w:sz w:val="16"/>
                <w:szCs w:val="16"/>
              </w:rPr>
              <w:t>Makarushka</w:t>
            </w:r>
            <w:proofErr w:type="spellEnd"/>
            <w:r>
              <w:rPr>
                <w:rFonts w:eastAsia="Times New Roman"/>
                <w:sz w:val="16"/>
                <w:szCs w:val="16"/>
              </w:rPr>
              <w:t xml:space="preserve">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 xml:space="preserve">30 sessions / 6 weeks; ~1 </w:t>
            </w:r>
            <w:proofErr w:type="gramStart"/>
            <w:r>
              <w:rPr>
                <w:rFonts w:eastAsia="Times New Roman"/>
                <w:sz w:val="16"/>
                <w:szCs w:val="16"/>
              </w:rPr>
              <w:t>mini-lesson</w:t>
            </w:r>
            <w:proofErr w:type="gramEnd"/>
            <w:r>
              <w:rPr>
                <w:rFonts w:eastAsia="Times New Roman"/>
                <w:sz w:val="16"/>
                <w:szCs w:val="16"/>
              </w:rPr>
              <w:t>/day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proofErr w:type="spellStart"/>
            <w:r>
              <w:rPr>
                <w:rFonts w:eastAsia="Times New Roman"/>
                <w:sz w:val="16"/>
                <w:szCs w:val="16"/>
              </w:rPr>
              <w:t>cr+ba+pe+hw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proofErr w:type="spellStart"/>
            <w:r>
              <w:rPr>
                <w:rFonts w:eastAsia="Times New Roman"/>
                <w:sz w:val="16"/>
                <w:szCs w:val="16"/>
              </w:rPr>
              <w:t>WeClick</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proofErr w:type="spellStart"/>
            <w:r>
              <w:rPr>
                <w:rFonts w:eastAsia="Times New Roman"/>
                <w:sz w:val="16"/>
                <w:szCs w:val="16"/>
              </w:rPr>
              <w:t>cr+ps+ist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proofErr w:type="spellStart"/>
            <w:r>
              <w:rPr>
                <w:rFonts w:eastAsia="Times New Roman"/>
                <w:sz w:val="16"/>
                <w:szCs w:val="16"/>
              </w:rPr>
              <w:t>ClearlyMe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proofErr w:type="spellStart"/>
            <w:r>
              <w:rPr>
                <w:rFonts w:eastAsia="Times New Roman"/>
                <w:sz w:val="16"/>
                <w:szCs w:val="16"/>
              </w:rPr>
              <w:t>Poppelaars</w:t>
            </w:r>
            <w:proofErr w:type="spellEnd"/>
            <w:r>
              <w:rPr>
                <w:rFonts w:eastAsia="Times New Roman"/>
                <w:sz w:val="16"/>
                <w:szCs w:val="16"/>
              </w:rPr>
              <w:t xml:space="preserve">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proofErr w:type="spellStart"/>
            <w:r>
              <w:rPr>
                <w:rFonts w:eastAsia="Times New Roman"/>
                <w:sz w:val="16"/>
                <w:szCs w:val="16"/>
              </w:rPr>
              <w:t>Behavioural</w:t>
            </w:r>
            <w:proofErr w:type="spellEnd"/>
            <w:r>
              <w:rPr>
                <w:rFonts w:eastAsia="Times New Roman"/>
                <w:sz w:val="16"/>
                <w:szCs w:val="16"/>
              </w:rPr>
              <w:t xml:space="preserve"> Science Institute, Radboud University</w:t>
            </w:r>
          </w:p>
        </w:tc>
      </w:tr>
      <w:tr w:rsidR="00D33058" w:rsidRPr="005D27AF"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proofErr w:type="spellStart"/>
            <w:r>
              <w:rPr>
                <w:rFonts w:eastAsia="Times New Roman"/>
                <w:sz w:val="16"/>
                <w:szCs w:val="16"/>
              </w:rPr>
              <w:t>iDove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proofErr w:type="spellStart"/>
            <w:r>
              <w:rPr>
                <w:rFonts w:eastAsia="Times New Roman"/>
                <w:sz w:val="16"/>
                <w:szCs w:val="16"/>
              </w:rPr>
              <w:t>BlueIce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proofErr w:type="spellStart"/>
            <w:r>
              <w:rPr>
                <w:rFonts w:eastAsia="Times New Roman"/>
                <w:sz w:val="16"/>
                <w:szCs w:val="16"/>
              </w:rPr>
              <w:t>cr+ba+ps+rx+rp+hw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 xml:space="preserve">NIHR </w:t>
            </w:r>
            <w:proofErr w:type="spellStart"/>
            <w:r>
              <w:rPr>
                <w:rFonts w:eastAsia="Times New Roman"/>
                <w:sz w:val="16"/>
                <w:szCs w:val="16"/>
              </w:rPr>
              <w:t>RfPB</w:t>
            </w:r>
            <w:proofErr w:type="spellEnd"/>
            <w:r>
              <w:rPr>
                <w:rFonts w:eastAsia="Times New Roman"/>
                <w:sz w:val="16"/>
                <w:szCs w:val="16"/>
              </w:rPr>
              <w:t xml:space="preserve"> (PB-PG-0609-19295)</w:t>
            </w:r>
          </w:p>
        </w:tc>
      </w:tr>
    </w:tbl>
    <w:p w14:paraId="149C5847" w14:textId="21901ACF" w:rsidR="00D33058" w:rsidRDefault="00D33058" w:rsidP="00D33058">
      <w:pPr>
        <w:spacing w:before="120"/>
      </w:pPr>
      <w:r>
        <w:rPr>
          <w:rFonts w:eastAsia="Times New Roman"/>
          <w:i/>
          <w:iCs/>
          <w:sz w:val="16"/>
          <w:szCs w:val="16"/>
        </w:rPr>
        <w:t xml:space="preserve">Note. </w:t>
      </w:r>
      <w:proofErr w:type="spellStart"/>
      <w:r>
        <w:rPr>
          <w:rFonts w:eastAsia="Times New Roman"/>
          <w:sz w:val="16"/>
          <w:szCs w:val="16"/>
        </w:rPr>
        <w:t>cr</w:t>
      </w:r>
      <w:proofErr w:type="spellEnd"/>
      <w:r>
        <w:rPr>
          <w:rFonts w:eastAsia="Times New Roman"/>
          <w:sz w:val="16"/>
          <w:szCs w:val="16"/>
        </w:rPr>
        <w:t xml:space="preserve"> = cognitive restructuring; </w:t>
      </w:r>
      <w:proofErr w:type="spellStart"/>
      <w:r>
        <w:rPr>
          <w:rFonts w:eastAsia="Times New Roman"/>
          <w:sz w:val="16"/>
          <w:szCs w:val="16"/>
        </w:rPr>
        <w:t>ba</w:t>
      </w:r>
      <w:proofErr w:type="spellEnd"/>
      <w:r>
        <w:rPr>
          <w:rFonts w:eastAsia="Times New Roman"/>
          <w:sz w:val="16"/>
          <w:szCs w:val="16"/>
        </w:rPr>
        <w:t xml:space="preserve"> = behavioral activation; </w:t>
      </w:r>
      <w:proofErr w:type="spellStart"/>
      <w:r>
        <w:rPr>
          <w:rFonts w:eastAsia="Times New Roman"/>
          <w:sz w:val="16"/>
          <w:szCs w:val="16"/>
        </w:rPr>
        <w:t>ps</w:t>
      </w:r>
      <w:proofErr w:type="spellEnd"/>
      <w:r>
        <w:rPr>
          <w:rFonts w:eastAsia="Times New Roman"/>
          <w:sz w:val="16"/>
          <w:szCs w:val="16"/>
        </w:rPr>
        <w:t xml:space="preserve"> = problem solving; </w:t>
      </w:r>
      <w:proofErr w:type="spellStart"/>
      <w:r>
        <w:rPr>
          <w:rFonts w:eastAsia="Times New Roman"/>
          <w:sz w:val="16"/>
          <w:szCs w:val="16"/>
        </w:rPr>
        <w:t>rx</w:t>
      </w:r>
      <w:proofErr w:type="spellEnd"/>
      <w:r>
        <w:rPr>
          <w:rFonts w:eastAsia="Times New Roman"/>
          <w:sz w:val="16"/>
          <w:szCs w:val="16"/>
        </w:rPr>
        <w:t xml:space="preserve"> = relaxation; pe = psychoeducation; </w:t>
      </w:r>
      <w:proofErr w:type="spellStart"/>
      <w:r>
        <w:rPr>
          <w:rFonts w:eastAsia="Times New Roman"/>
          <w:sz w:val="16"/>
          <w:szCs w:val="16"/>
        </w:rPr>
        <w:t>hw</w:t>
      </w:r>
      <w:proofErr w:type="spellEnd"/>
      <w:r>
        <w:rPr>
          <w:rFonts w:eastAsia="Times New Roman"/>
          <w:sz w:val="16"/>
          <w:szCs w:val="16"/>
        </w:rPr>
        <w:t xml:space="preserve"> = homework; </w:t>
      </w:r>
      <w:proofErr w:type="spellStart"/>
      <w:r>
        <w:rPr>
          <w:rFonts w:eastAsia="Times New Roman"/>
          <w:sz w:val="16"/>
          <w:szCs w:val="16"/>
        </w:rPr>
        <w:t>rp</w:t>
      </w:r>
      <w:proofErr w:type="spellEnd"/>
      <w:r>
        <w:rPr>
          <w:rFonts w:eastAsia="Times New Roman"/>
          <w:sz w:val="16"/>
          <w:szCs w:val="16"/>
        </w:rPr>
        <w:t xml:space="preserve"> = relapse prevention; </w:t>
      </w:r>
      <w:proofErr w:type="spellStart"/>
      <w:r>
        <w:rPr>
          <w:rFonts w:eastAsia="Times New Roman"/>
          <w:sz w:val="16"/>
          <w:szCs w:val="16"/>
        </w:rPr>
        <w:t>ist</w:t>
      </w:r>
      <w:proofErr w:type="spellEnd"/>
      <w:r>
        <w:rPr>
          <w:rFonts w:eastAsia="Times New Roman"/>
          <w:sz w:val="16"/>
          <w:szCs w:val="16"/>
        </w:rPr>
        <w:t xml:space="preserve"> = interpersonal skills</w:t>
      </w:r>
      <w:r w:rsidR="008739E3">
        <w:rPr>
          <w:rFonts w:hint="eastAsia"/>
          <w:sz w:val="16"/>
          <w:szCs w:val="16"/>
        </w:rPr>
        <w:t xml:space="preserve"> </w:t>
      </w:r>
      <w:proofErr w:type="spellStart"/>
      <w:r w:rsidR="008739E3">
        <w:rPr>
          <w:rFonts w:hint="eastAsia"/>
          <w:sz w:val="16"/>
          <w:szCs w:val="16"/>
        </w:rPr>
        <w:t>traing</w:t>
      </w:r>
      <w:proofErr w:type="spellEnd"/>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43"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44" w:name="OLE_LINK47"/>
      <w:bookmarkStart w:id="45" w:name="OLE_LINK8"/>
      <w:bookmarkStart w:id="46" w:name="OLE_LINK4"/>
      <w:bookmarkEnd w:id="43"/>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44"/>
    <w:p w14:paraId="5478BF9B" w14:textId="77777777" w:rsidR="007B5730" w:rsidRPr="00EA32E7" w:rsidRDefault="007B5730" w:rsidP="00130DC3">
      <w:pPr>
        <w:spacing w:after="120" w:line="360" w:lineRule="auto"/>
        <w:ind w:firstLine="360"/>
        <w:jc w:val="both"/>
      </w:pPr>
    </w:p>
    <w:bookmarkEnd w:id="45"/>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46"/>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47"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48" w:name="OLE_LINK19"/>
      <w:bookmarkStart w:id="49"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50" w:name="OLE_LINK34"/>
      <w:bookmarkStart w:id="51" w:name="OLE_LINK26"/>
      <w:bookmarkEnd w:id="48"/>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proofErr w:type="gramStart"/>
      <w:r w:rsidRPr="00AD21B0">
        <w:rPr>
          <w:i/>
          <w:iCs/>
        </w:rPr>
        <w:t>t</w:t>
      </w:r>
      <w:r w:rsidRPr="0015256E">
        <w:t>(</w:t>
      </w:r>
      <w:proofErr w:type="gramEnd"/>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50"/>
    <w:p w14:paraId="7A1E7C5E" w14:textId="477C41B0" w:rsidR="00C61F6E" w:rsidRDefault="00C61F6E" w:rsidP="005B656D">
      <w:pPr>
        <w:spacing w:after="120" w:line="360" w:lineRule="auto"/>
        <w:jc w:val="both"/>
        <w:rPr>
          <w:b/>
          <w:bCs/>
          <w:noProof/>
        </w:rPr>
      </w:pPr>
    </w:p>
    <w:p w14:paraId="5F6EB6ED" w14:textId="0F9377D9" w:rsidR="00C61F6E" w:rsidRDefault="00C61F6E" w:rsidP="005B656D">
      <w:pPr>
        <w:spacing w:after="120" w:line="360" w:lineRule="auto"/>
        <w:jc w:val="both"/>
        <w:rPr>
          <w:b/>
          <w:bCs/>
          <w:noProof/>
        </w:rPr>
      </w:pPr>
    </w:p>
    <w:p w14:paraId="1F066A69" w14:textId="24DE8878" w:rsidR="00C61F6E" w:rsidRDefault="00C61F6E" w:rsidP="005B656D">
      <w:pPr>
        <w:spacing w:after="120" w:line="360" w:lineRule="auto"/>
        <w:jc w:val="both"/>
        <w:rPr>
          <w:b/>
          <w:bCs/>
          <w:noProof/>
        </w:rPr>
      </w:pPr>
    </w:p>
    <w:p w14:paraId="5FEFBC60" w14:textId="71501E54" w:rsidR="00C61F6E" w:rsidRDefault="00C61F6E" w:rsidP="005B656D">
      <w:pPr>
        <w:spacing w:after="120" w:line="360" w:lineRule="auto"/>
        <w:jc w:val="both"/>
        <w:rPr>
          <w:b/>
          <w:bCs/>
          <w:noProof/>
        </w:rPr>
      </w:pPr>
    </w:p>
    <w:p w14:paraId="147A2077" w14:textId="08D91BA6" w:rsidR="00C61F6E" w:rsidRDefault="00C61F6E" w:rsidP="005B656D">
      <w:pPr>
        <w:spacing w:after="120" w:line="360" w:lineRule="auto"/>
        <w:jc w:val="both"/>
        <w:rPr>
          <w:b/>
          <w:bCs/>
          <w:noProof/>
        </w:rPr>
      </w:pPr>
    </w:p>
    <w:p w14:paraId="1C73A819" w14:textId="76462E6A" w:rsidR="00C61F6E" w:rsidRDefault="00C61F6E" w:rsidP="005B656D">
      <w:pPr>
        <w:spacing w:after="120" w:line="360" w:lineRule="auto"/>
        <w:jc w:val="both"/>
        <w:rPr>
          <w:b/>
          <w:bCs/>
          <w:noProof/>
        </w:rPr>
      </w:pPr>
    </w:p>
    <w:p w14:paraId="76486A4E" w14:textId="4F69C09D" w:rsidR="00C61F6E" w:rsidRDefault="00C61F6E" w:rsidP="005B656D">
      <w:pPr>
        <w:spacing w:after="120" w:line="360" w:lineRule="auto"/>
        <w:jc w:val="both"/>
        <w:rPr>
          <w:b/>
          <w:bCs/>
          <w:noProof/>
        </w:rPr>
      </w:pPr>
    </w:p>
    <w:p w14:paraId="047F961D" w14:textId="573FC3F3" w:rsidR="00C61F6E" w:rsidRDefault="00C61F6E" w:rsidP="005B656D">
      <w:pPr>
        <w:spacing w:after="120" w:line="360" w:lineRule="auto"/>
        <w:jc w:val="both"/>
        <w:rPr>
          <w:b/>
          <w:bCs/>
          <w:noProof/>
        </w:rPr>
      </w:pPr>
    </w:p>
    <w:p w14:paraId="1B6A4CD8" w14:textId="4F2C5A30" w:rsidR="00C61F6E" w:rsidRDefault="00C61F6E" w:rsidP="005B656D">
      <w:pPr>
        <w:spacing w:after="120" w:line="360" w:lineRule="auto"/>
        <w:jc w:val="both"/>
        <w:rPr>
          <w:b/>
          <w:bCs/>
          <w:noProof/>
        </w:rPr>
      </w:pPr>
    </w:p>
    <w:p w14:paraId="2A7A8D23" w14:textId="2AA320C1" w:rsidR="00C61F6E" w:rsidRDefault="00C61F6E" w:rsidP="005B656D">
      <w:pPr>
        <w:spacing w:after="120" w:line="360" w:lineRule="auto"/>
        <w:jc w:val="both"/>
        <w:rPr>
          <w:b/>
          <w:bCs/>
          <w:noProof/>
        </w:rPr>
      </w:pPr>
    </w:p>
    <w:p w14:paraId="534272D2" w14:textId="35E8CC46"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2874A20C">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3ADDB349" w14:textId="1DC7E414" w:rsidR="005B656D" w:rsidRDefault="005B656D" w:rsidP="005B656D">
      <w:pPr>
        <w:spacing w:after="120" w:line="276" w:lineRule="auto"/>
        <w:jc w:val="both"/>
        <w:rPr>
          <w:sz w:val="16"/>
          <w:szCs w:val="16"/>
        </w:rPr>
      </w:pPr>
      <w:bookmarkStart w:id="52" w:name="OLE_LINK24"/>
      <w:r w:rsidRPr="00235A2C">
        <w:rPr>
          <w:rFonts w:hint="eastAsia"/>
          <w:i/>
          <w:iCs/>
          <w:sz w:val="16"/>
          <w:szCs w:val="16"/>
        </w:rPr>
        <w:t xml:space="preserve">Note. </w:t>
      </w:r>
      <w:r w:rsidR="00E445B7" w:rsidRPr="00235A2C">
        <w:rPr>
          <w:sz w:val="16"/>
          <w:szCs w:val="16"/>
        </w:rPr>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bookmarkEnd w:id="52"/>
    </w:p>
    <w:p w14:paraId="3EDB17CF" w14:textId="77777777" w:rsidR="00235A2C" w:rsidRPr="00235A2C" w:rsidRDefault="00235A2C" w:rsidP="005B656D">
      <w:pPr>
        <w:spacing w:after="120" w:line="276" w:lineRule="auto"/>
        <w:jc w:val="both"/>
        <w:rPr>
          <w:sz w:val="16"/>
          <w:szCs w:val="16"/>
        </w:rPr>
      </w:pPr>
    </w:p>
    <w:p w14:paraId="0DF7DDB0" w14:textId="2DEBF41C" w:rsidR="000332BE" w:rsidRPr="000332BE" w:rsidRDefault="000332BE" w:rsidP="000332BE">
      <w:pPr>
        <w:spacing w:after="120" w:line="360" w:lineRule="auto"/>
        <w:ind w:firstLine="360"/>
        <w:jc w:val="both"/>
      </w:pPr>
      <w:bookmarkStart w:id="53" w:name="OLE_LINK13"/>
      <w:r w:rsidRPr="000332BE">
        <w:t xml:space="preserve">Between-study heterogeneity was moderate to high, </w:t>
      </w:r>
      <w:proofErr w:type="gramStart"/>
      <w:r w:rsidRPr="007031B3">
        <w:rPr>
          <w:i/>
          <w:iCs/>
        </w:rPr>
        <w:t>Q</w:t>
      </w:r>
      <w:r w:rsidRPr="000332BE">
        <w:t>(</w:t>
      </w:r>
      <w:proofErr w:type="gramEnd"/>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 xml:space="preserve">Whether this post-intervention effect was sustained across follow-up timepoints is examined in the </w:t>
      </w:r>
      <w:r w:rsidRPr="000332BE">
        <w:lastRenderedPageBreak/>
        <w:t>subsequent sections</w:t>
      </w:r>
      <w:r w:rsidR="00FF376F">
        <w:rPr>
          <w:rFonts w:hint="eastAsia"/>
        </w:rPr>
        <w:t>.</w:t>
      </w:r>
    </w:p>
    <w:bookmarkEnd w:id="53"/>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54" w:name="OLE_LINK37"/>
      <w:bookmarkStart w:id="55" w:name="OLE_LINK20"/>
      <w:bookmarkStart w:id="56"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proofErr w:type="spellStart"/>
            <w:r w:rsidRPr="007D1E2E">
              <w:rPr>
                <w:rFonts w:hint="eastAsia"/>
                <w:b/>
                <w:bCs/>
                <w:sz w:val="20"/>
                <w:szCs w:val="20"/>
              </w:rPr>
              <w:t>df</w:t>
            </w:r>
            <w:proofErr w:type="spellEnd"/>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w:t>
            </w:r>
            <w:proofErr w:type="spellStart"/>
            <w:r w:rsidRPr="007D1E2E">
              <w:rPr>
                <w:rFonts w:hint="eastAsia"/>
                <w:b/>
                <w:bCs/>
                <w:sz w:val="20"/>
                <w:szCs w:val="20"/>
              </w:rPr>
              <w:t>df</w:t>
            </w:r>
            <w:proofErr w:type="spellEnd"/>
            <w:r w:rsidRPr="007D1E2E">
              <w:rPr>
                <w:rFonts w:hint="eastAsia"/>
                <w:b/>
                <w:bCs/>
                <w:sz w:val="20"/>
                <w:szCs w:val="20"/>
              </w:rPr>
              <w:t>)</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57" w:name="OLE_LINK12"/>
            <w:r w:rsidRPr="007D1E2E">
              <w:rPr>
                <w:b/>
                <w:bCs/>
                <w:sz w:val="20"/>
                <w:szCs w:val="20"/>
              </w:rPr>
              <w:t>τ</w:t>
            </w:r>
            <w:r w:rsidRPr="007D1E2E">
              <w:rPr>
                <w:rFonts w:hint="eastAsia"/>
                <w:b/>
                <w:bCs/>
                <w:sz w:val="20"/>
                <w:szCs w:val="20"/>
                <w:vertAlign w:val="superscript"/>
              </w:rPr>
              <w:t>2</w:t>
            </w:r>
            <w:bookmarkEnd w:id="57"/>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58"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58"/>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59" w:name="OLE_LINK49"/>
            <w:r w:rsidRPr="007D1E2E">
              <w:rPr>
                <w:sz w:val="20"/>
                <w:szCs w:val="20"/>
              </w:rPr>
              <w:t>[−0.27, 0.80]</w:t>
            </w:r>
            <w:bookmarkEnd w:id="59"/>
          </w:p>
        </w:tc>
      </w:tr>
    </w:tbl>
    <w:bookmarkEnd w:id="54"/>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55"/>
    </w:p>
    <w:bookmarkEnd w:id="49"/>
    <w:bookmarkEnd w:id="51"/>
    <w:bookmarkEnd w:id="56"/>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5FB56B97" w:rsidR="00950BF3" w:rsidRDefault="00950BF3" w:rsidP="00950BF3">
      <w:pPr>
        <w:spacing w:after="120" w:line="360" w:lineRule="auto"/>
        <w:jc w:val="both"/>
        <w:rPr>
          <w:b/>
          <w:bCs/>
          <w:sz w:val="24"/>
          <w:szCs w:val="24"/>
        </w:rPr>
      </w:pPr>
      <w:r w:rsidRPr="00950BF3">
        <w:rPr>
          <w:rFonts w:hint="eastAsia"/>
          <w:b/>
          <w:bCs/>
          <w:sz w:val="24"/>
          <w:szCs w:val="24"/>
        </w:rPr>
        <w:t>4.4.2 Overall Effects for different Lengths of follow-up</w:t>
      </w:r>
    </w:p>
    <w:p w14:paraId="272623ED" w14:textId="77777777" w:rsidR="00307741" w:rsidRPr="00307741" w:rsidRDefault="00307741" w:rsidP="00DB6FE5">
      <w:pPr>
        <w:spacing w:after="120" w:line="360" w:lineRule="auto"/>
        <w:ind w:firstLine="360"/>
        <w:jc w:val="both"/>
        <w:rPr>
          <w:b/>
          <w:bCs/>
        </w:rPr>
      </w:pPr>
      <w:bookmarkStart w:id="60" w:name="OLE_LINK27"/>
      <w:r w:rsidRPr="00307741">
        <w:rPr>
          <w:rFonts w:hint="eastAsia"/>
          <w:b/>
          <w:bCs/>
        </w:rPr>
        <w:t>Short-term follow-up</w:t>
      </w:r>
    </w:p>
    <w:bookmarkEnd w:id="60"/>
    <w:p w14:paraId="4F496608" w14:textId="482BD33B" w:rsidR="00057441" w:rsidRDefault="00DB6FE5" w:rsidP="00057441">
      <w:pPr>
        <w:spacing w:after="120" w:line="360" w:lineRule="auto"/>
        <w:ind w:firstLine="360"/>
        <w:jc w:val="both"/>
      </w:pPr>
      <w:r>
        <w:rPr>
          <w:rFonts w:hint="eastAsia"/>
        </w:rPr>
        <w:t xml:space="preserve"> </w:t>
      </w:r>
      <w:bookmarkStart w:id="61"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xml:space="preserve">], </w:t>
      </w:r>
      <w:proofErr w:type="gramStart"/>
      <w:r w:rsidR="00C95639" w:rsidRPr="00057441">
        <w:t>t(</w:t>
      </w:r>
      <w:proofErr w:type="gramEnd"/>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62" w:name="OLE_LINK30"/>
      <w:r w:rsidR="00216DB4" w:rsidRPr="00216DB4">
        <w:t>At short-term follow-up, the pooled effect (g = 0.12) fell below the empirically derived small-effect threshold for child and adolescent psychotherapy (0.21; Nordahl-Hansen et al., 2024).</w:t>
      </w:r>
    </w:p>
    <w:bookmarkEnd w:id="62"/>
    <w:p w14:paraId="5030C2EC" w14:textId="607C5261" w:rsidR="00057441" w:rsidRPr="00057441" w:rsidRDefault="00057441" w:rsidP="00057441">
      <w:pPr>
        <w:spacing w:after="120" w:line="360" w:lineRule="auto"/>
        <w:ind w:firstLine="360"/>
        <w:jc w:val="both"/>
      </w:pPr>
      <w:r w:rsidRPr="00057441">
        <w:t>Between-study heterogeneity was negligible (</w:t>
      </w:r>
      <w:proofErr w:type="gramStart"/>
      <w:r w:rsidRPr="008C05FC">
        <w:rPr>
          <w:i/>
          <w:iCs/>
        </w:rPr>
        <w:t>Q</w:t>
      </w:r>
      <w:r w:rsidRPr="00057441">
        <w:t>(</w:t>
      </w:r>
      <w:proofErr w:type="gramEnd"/>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61"/>
    <w:p w14:paraId="2A48964D" w14:textId="77777777" w:rsidR="00057441" w:rsidRPr="00057441" w:rsidRDefault="00057441" w:rsidP="00057441">
      <w:pPr>
        <w:spacing w:after="120" w:line="360" w:lineRule="auto"/>
        <w:ind w:firstLine="360"/>
        <w:jc w:val="both"/>
      </w:pPr>
    </w:p>
    <w:p w14:paraId="01F22FD6" w14:textId="77777777" w:rsidR="00FB7773" w:rsidRDefault="00FB7773" w:rsidP="00950BF3">
      <w:pPr>
        <w:spacing w:after="120" w:line="360" w:lineRule="auto"/>
        <w:jc w:val="both"/>
        <w:rPr>
          <w:b/>
          <w:bCs/>
          <w:noProof/>
        </w:rPr>
      </w:pPr>
      <w:bookmarkStart w:id="63" w:name="OLE_LINK23"/>
    </w:p>
    <w:p w14:paraId="01D2EC28" w14:textId="77777777" w:rsidR="00FB7773" w:rsidRDefault="00FB7773" w:rsidP="00950BF3">
      <w:pPr>
        <w:spacing w:after="120" w:line="360" w:lineRule="auto"/>
        <w:jc w:val="both"/>
        <w:rPr>
          <w:b/>
          <w:bCs/>
          <w:noProof/>
        </w:rPr>
      </w:pPr>
    </w:p>
    <w:p w14:paraId="6FE7ADBF" w14:textId="77777777" w:rsidR="00FB7773" w:rsidRDefault="00FB7773" w:rsidP="00950BF3">
      <w:pPr>
        <w:spacing w:after="120" w:line="360" w:lineRule="auto"/>
        <w:jc w:val="both"/>
        <w:rPr>
          <w:b/>
          <w:bCs/>
          <w:noProof/>
        </w:rPr>
      </w:pPr>
    </w:p>
    <w:p w14:paraId="1F6E0232" w14:textId="77777777" w:rsidR="00FB7773" w:rsidRDefault="00FB7773" w:rsidP="00950BF3">
      <w:pPr>
        <w:spacing w:after="120" w:line="360" w:lineRule="auto"/>
        <w:jc w:val="both"/>
        <w:rPr>
          <w:b/>
          <w:bCs/>
          <w:noProof/>
        </w:rPr>
      </w:pPr>
    </w:p>
    <w:p w14:paraId="57523971" w14:textId="77777777" w:rsidR="00FB7773" w:rsidRDefault="00FB7773" w:rsidP="00950BF3">
      <w:pPr>
        <w:spacing w:after="120" w:line="360" w:lineRule="auto"/>
        <w:jc w:val="both"/>
        <w:rPr>
          <w:b/>
          <w:bCs/>
          <w:noProof/>
        </w:rPr>
      </w:pPr>
    </w:p>
    <w:p w14:paraId="6E3D8AE5" w14:textId="5A570471" w:rsidR="00DB320F" w:rsidRPr="00DB320F" w:rsidRDefault="00DB320F" w:rsidP="00950BF3">
      <w:pPr>
        <w:spacing w:after="120" w:line="360" w:lineRule="auto"/>
        <w:jc w:val="both"/>
        <w:rPr>
          <w:b/>
          <w:bCs/>
          <w:noProof/>
        </w:rPr>
      </w:pPr>
      <w:r w:rsidRPr="00843F05">
        <w:rPr>
          <w:rFonts w:hint="eastAsia"/>
          <w:b/>
          <w:bCs/>
          <w:noProof/>
        </w:rPr>
        <w:lastRenderedPageBreak/>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63"/>
    <w:p w14:paraId="5E7F687C" w14:textId="0FB6F9E7" w:rsidR="00A87283" w:rsidRDefault="00044937" w:rsidP="00950BF3">
      <w:pPr>
        <w:spacing w:after="120" w:line="360" w:lineRule="auto"/>
        <w:jc w:val="both"/>
        <w:rPr>
          <w:b/>
          <w:bCs/>
          <w:sz w:val="24"/>
          <w:szCs w:val="24"/>
        </w:rPr>
      </w:pPr>
      <w:r>
        <w:rPr>
          <w:b/>
          <w:bCs/>
          <w:noProof/>
          <w:sz w:val="24"/>
          <w:szCs w:val="24"/>
        </w:rPr>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Pr="00235A2C" w:rsidRDefault="00F351EB" w:rsidP="00F351EB">
      <w:pPr>
        <w:spacing w:after="120" w:line="276" w:lineRule="auto"/>
        <w:jc w:val="both"/>
        <w:rPr>
          <w:sz w:val="16"/>
          <w:szCs w:val="16"/>
        </w:rPr>
      </w:pPr>
      <w:bookmarkStart w:id="64" w:name="OLE_LINK32"/>
      <w:r w:rsidRPr="00235A2C">
        <w:rPr>
          <w:rFonts w:hint="eastAsia"/>
          <w:i/>
          <w:iCs/>
          <w:sz w:val="16"/>
          <w:szCs w:val="16"/>
        </w:rPr>
        <w:t>Note.</w:t>
      </w:r>
      <w:r w:rsidRPr="00235A2C">
        <w:rPr>
          <w:rFonts w:hint="eastAsia"/>
          <w:sz w:val="16"/>
          <w:szCs w:val="16"/>
        </w:rPr>
        <w:t xml:space="preserve"> </w:t>
      </w:r>
      <w:r w:rsidR="00E445B7" w:rsidRPr="00235A2C">
        <w:rPr>
          <w:sz w:val="16"/>
          <w:szCs w:val="16"/>
        </w:rPr>
        <w:t xml:space="preserve">Forest plot of unguided self-help CBT interventions versus control at short-term follow-up (post-intervention to &lt;6 months). Squares = individual effect sizes (Hedges' </w:t>
      </w:r>
      <w:r w:rsidR="00E445B7" w:rsidRPr="00235A2C">
        <w:rPr>
          <w:i/>
          <w:iCs/>
          <w:sz w:val="16"/>
          <w:szCs w:val="16"/>
        </w:rPr>
        <w:t>g</w:t>
      </w:r>
      <w:r w:rsidR="00E445B7" w:rsidRPr="00235A2C">
        <w:rPr>
          <w:sz w:val="16"/>
          <w:szCs w:val="16"/>
        </w:rPr>
        <w:t xml:space="preserve">), sized by study weight; horizontal lines = 95% CIs; diamond = pooled estimate (random-effects model, REML estimator, Hartung-Knapp adjustment); bar below diamond = 95% prediction interval. The longest available timepoint per study was used. </w:t>
      </w:r>
      <w:r w:rsidR="00E445B7" w:rsidRPr="00235A2C">
        <w:rPr>
          <w:i/>
          <w:iCs/>
          <w:sz w:val="16"/>
          <w:szCs w:val="16"/>
        </w:rPr>
        <w:t>I</w:t>
      </w:r>
      <w:r w:rsidR="00E445B7" w:rsidRPr="00235A2C">
        <w:rPr>
          <w:sz w:val="16"/>
          <w:szCs w:val="16"/>
        </w:rPr>
        <w:t>² = heterogeneity; τ² = between-study variance.</w:t>
      </w:r>
    </w:p>
    <w:bookmarkEnd w:id="64"/>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w:t>
      </w:r>
      <w:proofErr w:type="gramStart"/>
      <w:r w:rsidR="009F3529">
        <w:rPr>
          <w:rFonts w:hint="eastAsia"/>
        </w:rPr>
        <w:t xml:space="preserve">2024;  </w:t>
      </w:r>
      <w:proofErr w:type="spellStart"/>
      <w:r w:rsidR="009F3529">
        <w:rPr>
          <w:rFonts w:hint="eastAsia"/>
        </w:rPr>
        <w:t>Makarushka</w:t>
      </w:r>
      <w:proofErr w:type="spellEnd"/>
      <w:proofErr w:type="gramEnd"/>
      <w:r w:rsidR="009F3529">
        <w:rPr>
          <w:rFonts w:hint="eastAsia"/>
        </w:rPr>
        <w:t xml:space="preserve"> et al., 2011; </w:t>
      </w:r>
      <w:r w:rsidR="009258D8" w:rsidRPr="009258D8">
        <w:t xml:space="preserve">Stice et al., 2010; Ip et al., 2016; </w:t>
      </w:r>
      <w:proofErr w:type="spellStart"/>
      <w:r w:rsidR="009258D8" w:rsidRPr="009258D8">
        <w:t>Poppelaars</w:t>
      </w:r>
      <w:proofErr w:type="spellEnd"/>
      <w:r w:rsidR="009258D8" w:rsidRPr="009258D8">
        <w:t xml:space="preserve">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proofErr w:type="gramStart"/>
      <w:r w:rsidR="009258D8" w:rsidRPr="009258D8">
        <w:rPr>
          <w:i/>
          <w:iCs/>
        </w:rPr>
        <w:t>t</w:t>
      </w:r>
      <w:r w:rsidR="009258D8" w:rsidRPr="009258D8">
        <w:t>(</w:t>
      </w:r>
      <w:proofErr w:type="gramEnd"/>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the leave-one-out sensitivity analysis.</w:t>
      </w:r>
    </w:p>
    <w:p w14:paraId="17880F04" w14:textId="77777777" w:rsidR="00E445B7" w:rsidRDefault="00E445B7" w:rsidP="00731952">
      <w:pPr>
        <w:spacing w:after="120" w:line="360" w:lineRule="auto"/>
        <w:ind w:firstLine="360"/>
        <w:jc w:val="both"/>
      </w:pPr>
      <w:r w:rsidRPr="00E445B7">
        <w:lastRenderedPageBreak/>
        <w:t xml:space="preserve">Between-study heterogeneity was low, </w:t>
      </w:r>
      <w:proofErr w:type="gramStart"/>
      <w:r w:rsidRPr="00E445B7">
        <w:rPr>
          <w:i/>
          <w:iCs/>
        </w:rPr>
        <w:t>Q</w:t>
      </w:r>
      <w:r w:rsidRPr="00E445B7">
        <w:t>(</w:t>
      </w:r>
      <w:proofErr w:type="gramEnd"/>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proofErr w:type="gramStart"/>
      <w:r w:rsidR="00E445B7" w:rsidRPr="00E445B7">
        <w:rPr>
          <w:i/>
          <w:iCs/>
        </w:rPr>
        <w:t>t</w:t>
      </w:r>
      <w:r w:rsidR="00E445B7" w:rsidRPr="00E445B7">
        <w:t>(</w:t>
      </w:r>
      <w:proofErr w:type="gramEnd"/>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65"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65"/>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diamond = pooled estimate (random-effects model, REML estimator, Hartung-Knapp adjustment); bar below diamond = 95% prediction interval. The longest available timepoint per study was used. I² = </w:t>
      </w:r>
      <w:r w:rsidR="00E445B7" w:rsidRPr="00E445B7">
        <w:lastRenderedPageBreak/>
        <w:t>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66"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proofErr w:type="spellStart"/>
            <w:r w:rsidRPr="00581B0B">
              <w:rPr>
                <w:rFonts w:hint="eastAsia"/>
                <w:b/>
                <w:bCs/>
                <w:sz w:val="16"/>
                <w:szCs w:val="16"/>
              </w:rPr>
              <w:t>df</w:t>
            </w:r>
            <w:proofErr w:type="spellEnd"/>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proofErr w:type="spellStart"/>
            <w:r w:rsidRPr="00581B0B">
              <w:rPr>
                <w:rFonts w:hint="eastAsia"/>
                <w:b/>
                <w:bCs/>
                <w:i/>
                <w:iCs/>
                <w:sz w:val="16"/>
                <w:szCs w:val="16"/>
              </w:rPr>
              <w:t>df</w:t>
            </w:r>
            <w:proofErr w:type="spellEnd"/>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67" w:name="OLE_LINK52"/>
            <w:r w:rsidRPr="00581B0B">
              <w:rPr>
                <w:sz w:val="16"/>
                <w:szCs w:val="16"/>
              </w:rPr>
              <w:t>−</w:t>
            </w:r>
            <w:bookmarkEnd w:id="67"/>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68" w:name="OLE_LINK53"/>
            <w:r w:rsidRPr="00581B0B">
              <w:rPr>
                <w:rFonts w:hint="eastAsia"/>
                <w:sz w:val="16"/>
                <w:szCs w:val="16"/>
              </w:rPr>
              <w:t>.</w:t>
            </w:r>
            <w:r w:rsidR="00C323C9" w:rsidRPr="00581B0B">
              <w:rPr>
                <w:rFonts w:hint="eastAsia"/>
                <w:sz w:val="16"/>
                <w:szCs w:val="16"/>
              </w:rPr>
              <w:t>719</w:t>
            </w:r>
            <w:bookmarkEnd w:id="68"/>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69"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69"/>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70"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70"/>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71"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71"/>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66"/>
      <w:r w:rsidR="005F269D">
        <w:rPr>
          <w:rFonts w:hint="eastAsia"/>
          <w:i/>
          <w:iCs/>
        </w:rPr>
        <w:t xml:space="preserve"> </w:t>
      </w:r>
      <w:bookmarkStart w:id="72"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72"/>
    </w:p>
    <w:p w14:paraId="33E856DC" w14:textId="77777777" w:rsidR="006E03C5" w:rsidRDefault="00D450DC">
      <w:pPr>
        <w:pStyle w:val="2"/>
        <w:rPr>
          <w:rFonts w:eastAsiaTheme="minorEastAsia"/>
        </w:rPr>
      </w:pPr>
      <w:bookmarkStart w:id="73" w:name="OLE_LINK61"/>
      <w:bookmarkStart w:id="74" w:name="OLE_LINK70"/>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75"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75"/>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76"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proofErr w:type="gramStart"/>
      <w:r w:rsidR="009C37E9" w:rsidRPr="009C37E9">
        <w:rPr>
          <w:i/>
          <w:iCs/>
        </w:rPr>
        <w:t>Q</w:t>
      </w:r>
      <w:r w:rsidR="009C37E9" w:rsidRPr="009C37E9">
        <w:t>(</w:t>
      </w:r>
      <w:proofErr w:type="gramEnd"/>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77" w:name="OLE_LINK40"/>
      <w:bookmarkEnd w:id="76"/>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77"/>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73.8%]. Thus, the control-type comparison did not provide evidence of a statistically significant difference </w:t>
      </w:r>
      <w:r w:rsidRPr="009C37E9">
        <w:lastRenderedPageBreak/>
        <w:t>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proofErr w:type="gramStart"/>
      <w:r w:rsidRPr="008E3603">
        <w:rPr>
          <w:i/>
          <w:iCs/>
        </w:rPr>
        <w:t>Q</w:t>
      </w:r>
      <w:r w:rsidRPr="00014247">
        <w:t>(</w:t>
      </w:r>
      <w:proofErr w:type="gramEnd"/>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78"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78"/>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79" w:name="OLE_LINK18"/>
      <w:r w:rsidRPr="00E67E87">
        <w:t>4.5.2.1 Human Contact</w:t>
      </w:r>
    </w:p>
    <w:p w14:paraId="3E779116" w14:textId="77777777" w:rsidR="002B3CDC" w:rsidRDefault="002B3CDC" w:rsidP="00EC5FDE">
      <w:pPr>
        <w:spacing w:after="120" w:line="360" w:lineRule="auto"/>
        <w:ind w:firstLine="360"/>
        <w:jc w:val="both"/>
      </w:pPr>
      <w:r w:rsidRPr="002B3CDC">
        <w:t xml:space="preserve">Five trials (Ackerson et al., 1998; Fleming et al., 2012; Ip et al., 2016; </w:t>
      </w:r>
      <w:proofErr w:type="spellStart"/>
      <w:r w:rsidRPr="002B3CDC">
        <w:t>Poppelaars</w:t>
      </w:r>
      <w:proofErr w:type="spellEnd"/>
      <w:r w:rsidRPr="002B3CDC">
        <w:t xml:space="preserve"> et al., 2016; Rohde et al., 2015) involved human contact during the intervention, whereas nine trials relied solely on automated or technical </w:t>
      </w:r>
      <w:proofErr w:type="gramStart"/>
      <w:r w:rsidRPr="002B3CDC">
        <w:t>support, or</w:t>
      </w:r>
      <w:proofErr w:type="gramEnd"/>
      <w:r w:rsidRPr="002B3CDC">
        <w:t xml:space="preserve"> provided no non-therapeutic human support. The test for subgroup differences indicated no statistically significant difference between the two pooled subgroup effects, </w:t>
      </w:r>
      <w:proofErr w:type="gramStart"/>
      <w:r w:rsidRPr="002B3CDC">
        <w:t>Q(</w:t>
      </w:r>
      <w:proofErr w:type="gramEnd"/>
      <w:r w:rsidRPr="002B3CDC">
        <w:t>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79"/>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47"/>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80" w:name="OLE_LINK46"/>
      <w:r w:rsidRPr="00780B81">
        <w:rPr>
          <w:b/>
          <w:bCs/>
        </w:rPr>
        <w:t>Analyses of the Pooled Post-Intervention Effect</w:t>
      </w:r>
      <w:bookmarkEnd w:id="80"/>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81"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82"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82"/>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81"/>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7D6B2F00" w14:textId="77777777" w:rsidR="00FD4E54" w:rsidRDefault="00FD4E54" w:rsidP="00177280">
      <w:pPr>
        <w:spacing w:after="120" w:line="360" w:lineRule="auto"/>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lastRenderedPageBreak/>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w:t>
      </w:r>
      <w:proofErr w:type="gramStart"/>
      <w:r w:rsidRPr="00FD4E54">
        <w:t>mean-</w:t>
      </w:r>
      <w:proofErr w:type="spellStart"/>
      <w:r w:rsidRPr="00FD4E54">
        <w:t>centred</w:t>
      </w:r>
      <w:proofErr w:type="spellEnd"/>
      <w:proofErr w:type="gram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83" w:name="OLE_LINK60"/>
      <w:r>
        <w:t>4.</w:t>
      </w:r>
      <w:r w:rsidR="007C77E2">
        <w:rPr>
          <w:rFonts w:eastAsiaTheme="minorEastAsia" w:hint="eastAsia"/>
        </w:rPr>
        <w:t>6</w:t>
      </w:r>
      <w:r>
        <w:t xml:space="preserve">. </w:t>
      </w:r>
      <w:bookmarkStart w:id="84"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85"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86"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0B586ECD" w14:textId="51F00CAE" w:rsidR="006E6672" w:rsidRDefault="00DF4A32" w:rsidP="00EE20F4">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359F683" w14:textId="77777777" w:rsidR="00EE20F4" w:rsidRDefault="00EE20F4" w:rsidP="00EE20F4">
      <w:pPr>
        <w:spacing w:after="120" w:line="360" w:lineRule="auto"/>
        <w:ind w:firstLine="360"/>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lastRenderedPageBreak/>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85"/>
    <w:bookmarkEnd w:id="86"/>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87" w:name="OLE_LINK50"/>
      <w:r w:rsidRPr="00204817">
        <w:rPr>
          <w:rFonts w:hint="eastAsia"/>
          <w:b/>
          <w:bCs/>
        </w:rPr>
        <w:t xml:space="preserve">Table X. Sensitivity </w:t>
      </w:r>
      <w:r w:rsidRPr="00204817">
        <w:rPr>
          <w:b/>
          <w:bCs/>
        </w:rPr>
        <w:t>Analyses of the Pooled Post-Intervention Effect</w:t>
      </w:r>
    </w:p>
    <w:bookmarkEnd w:id="87"/>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lastRenderedPageBreak/>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88"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88"/>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w:t>
      </w:r>
      <w:proofErr w:type="gramStart"/>
      <w:r w:rsidRPr="002060A8">
        <w:rPr>
          <w:rFonts w:eastAsiaTheme="minorEastAsia"/>
        </w:rPr>
        <w:t>P</w:t>
      </w:r>
      <w:r>
        <w:rPr>
          <w:rFonts w:eastAsiaTheme="minorEastAsia" w:hint="eastAsia"/>
        </w:rPr>
        <w:t>ost-hoc</w:t>
      </w:r>
      <w:proofErr w:type="gramEnd"/>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 xml:space="preserve">Neither issue materially altered the main post-intervention result. Restricting the analysis to endpoint-based effect sizes reduced the pooled estimate slightly but left the effect small and positive (k = 11, g = 0.217, 95% CI [0.01, 0.43]), with heterogeneity remaining </w:t>
      </w:r>
      <w:proofErr w:type="gramStart"/>
      <w:r w:rsidRPr="00AD6DC9">
        <w:t>similar to</w:t>
      </w:r>
      <w:proofErr w:type="gramEnd"/>
      <w:r w:rsidRPr="00AD6DC9">
        <w:t xml:space="preserve">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83"/>
    <w:bookmarkEnd w:id="84"/>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w:t>
      </w:r>
      <w:r w:rsidRPr="00D8153E">
        <w:lastRenderedPageBreak/>
        <w:t xml:space="preserve">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69D6296E">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lastRenderedPageBreak/>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5F5867F">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Pr="004B693E" w:rsidRDefault="00835B35" w:rsidP="005C752D">
      <w:pPr>
        <w:spacing w:after="120"/>
        <w:rPr>
          <w:sz w:val="16"/>
          <w:szCs w:val="16"/>
        </w:rPr>
      </w:pPr>
      <w:r w:rsidRPr="004B693E">
        <w:rPr>
          <w:i/>
          <w:iCs/>
          <w:sz w:val="16"/>
          <w:szCs w:val="16"/>
        </w:rPr>
        <w:t>Note</w:t>
      </w:r>
      <w:r w:rsidRPr="004B693E">
        <w:rPr>
          <w:sz w:val="16"/>
          <w:szCs w:val="16"/>
        </w:rPr>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73"/>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89" w:name="OLE_LINK56"/>
      <w:bookmarkStart w:id="90" w:name="OLE_LINK41"/>
      <w:bookmarkStart w:id="91" w:name="OLE_LINK58"/>
      <w:bookmarkEnd w:id="74"/>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w:t>
      </w:r>
      <w:r w:rsidRPr="00894D18">
        <w:lastRenderedPageBreak/>
        <w:t xml:space="preserve">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89"/>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90"/>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91"/>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7652F55B" w:rsidR="004974B7" w:rsidRPr="00454331" w:rsidRDefault="00CB0E6D" w:rsidP="006D6210">
      <w:pPr>
        <w:spacing w:after="120" w:line="360" w:lineRule="auto"/>
        <w:ind w:firstLine="360"/>
        <w:jc w:val="both"/>
      </w:pPr>
      <w:bookmarkStart w:id="92" w:name="OLE_LINK21"/>
      <w:r w:rsidRPr="00CB0E6D">
        <w:t xml:space="preserve">This meta-analysis examined the effects of unguided self-help cognitive behavioral therapy (CBT) on depressive symptoms in adolescents.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w:t>
      </w:r>
      <w:proofErr w:type="gramStart"/>
      <w:r w:rsidRPr="00CB0E6D">
        <w:t>in order to</w:t>
      </w:r>
      <w:proofErr w:type="gramEnd"/>
      <w:r w:rsidRPr="00CB0E6D">
        <w:t xml:space="preserve"> give the reader a clearer picture of how robust each finding is.</w:t>
      </w:r>
    </w:p>
    <w:p w14:paraId="0D8FC25D" w14:textId="77777777" w:rsidR="00454331" w:rsidRDefault="00454331" w:rsidP="00454331">
      <w:pPr>
        <w:pStyle w:val="2"/>
        <w:rPr>
          <w:rFonts w:eastAsiaTheme="minorEastAsia"/>
        </w:rPr>
      </w:pPr>
      <w:bookmarkStart w:id="93" w:name="OLE_LINK59"/>
      <w:bookmarkStart w:id="94" w:name="OLE_LINK100"/>
      <w:bookmarkEnd w:id="92"/>
      <w:r>
        <w:t>5.1. Summary of Findings</w:t>
      </w:r>
    </w:p>
    <w:p w14:paraId="27F3FEC8" w14:textId="5334BCA5" w:rsidR="00614AF4" w:rsidRPr="00614AF4" w:rsidRDefault="00614AF4" w:rsidP="003100EF">
      <w:pPr>
        <w:spacing w:after="120" w:line="360" w:lineRule="auto"/>
        <w:ind w:firstLine="360"/>
        <w:jc w:val="both"/>
      </w:pPr>
      <w:r w:rsidRPr="00614AF4">
        <w:rPr>
          <w:b/>
          <w:bCs/>
        </w:rPr>
        <w:t>Research trends.</w:t>
      </w:r>
      <w:r w:rsidR="00736B8D" w:rsidRPr="00736B8D">
        <w:t xml:space="preserve"> Several descriptive trends emerged from the eligible trials. First, comparable studies were sparse before around 2010, after which trials appeared more regularly. Second, trials became more effectiveness-oriented over time, and the recruitment setting shifted. Educational settings predominated through 2016. From 2018 onward, trials moved into clinical, emergency-department, and community settings, while a separate strand (O'Dea 2020, 2025) recruited fully online. The pattern was not linear, and the online trials </w:t>
      </w:r>
      <w:proofErr w:type="gramStart"/>
      <w:r w:rsidR="00736B8D" w:rsidRPr="00736B8D">
        <w:t>in particular sat</w:t>
      </w:r>
      <w:proofErr w:type="gramEnd"/>
      <w:r w:rsidR="00736B8D" w:rsidRPr="00736B8D">
        <w:t xml:space="preserve"> outside any institutional setting. Third, studies from 2020 onward more often used mobile applications. Fourth, larger trials became more common in later years, although sample size did not increase in a strictly linear manner. Finally, trials from 2018 onward relied on fully automated support with no human contact, with the small Bohr 2023 pilot the only exception.</w:t>
      </w:r>
    </w:p>
    <w:p w14:paraId="6A495EF3" w14:textId="5126ED34"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w:t>
      </w:r>
      <w:r w:rsidRPr="00447393">
        <w:rPr>
          <w:i/>
          <w:iCs/>
        </w:rPr>
        <w:t xml:space="preserve">g </w:t>
      </w:r>
      <w:r w:rsidRPr="0006772F">
        <w:t xml:space="preserve">= 0.27, 95% CI [0.06, 0.47]). Against the empirically derived benchmarks for psychotherapy trials in children and adolescents (small = 0.21, medium = 0.34; Nordahl-Hansen et al., 2024), this effect </w:t>
      </w:r>
      <w:r w:rsidR="008C148B">
        <w:rPr>
          <w:rFonts w:hint="eastAsia"/>
        </w:rPr>
        <w:t>exceeds</w:t>
      </w:r>
      <w:r w:rsidRPr="0006772F">
        <w:t xml:space="preserve"> the upper part of the small range and approach</w:t>
      </w:r>
      <w:r w:rsidR="008C148B">
        <w:rPr>
          <w:rFonts w:hint="eastAsia"/>
        </w:rPr>
        <w:t>ing</w:t>
      </w:r>
      <w:r w:rsidRPr="0006772F">
        <w:t xml:space="preserve">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4B030A08" w:rsidR="0006772F" w:rsidRPr="0006772F" w:rsidRDefault="0006772F" w:rsidP="0006772F">
      <w:pPr>
        <w:spacing w:after="120" w:line="360" w:lineRule="auto"/>
        <w:ind w:firstLine="360"/>
        <w:jc w:val="both"/>
      </w:pPr>
      <w:r w:rsidRPr="0006772F">
        <w:t xml:space="preserve">The trial-level trajectories also did not show a consistent temporal pattern. Among trials that reported more than one assessment, the effect in Ip et al. (2016) increased over time (from </w:t>
      </w:r>
      <w:r w:rsidRPr="00447393">
        <w:rPr>
          <w:i/>
          <w:iCs/>
        </w:rPr>
        <w:t>g</w:t>
      </w:r>
      <w:r w:rsidRPr="0006772F">
        <w:t xml:space="preserve"> = 0.21 at post-intervention to </w:t>
      </w:r>
      <w:r w:rsidRPr="00447393">
        <w:rPr>
          <w:i/>
          <w:iCs/>
        </w:rPr>
        <w:t xml:space="preserve">g </w:t>
      </w:r>
      <w:r w:rsidRPr="0006772F">
        <w:t xml:space="preserve">= 0.36 at twelve months), the large Rohde et al. (2015) trial fluctuated only slightly around zero across its repeated assessments, and </w:t>
      </w:r>
      <w:proofErr w:type="spellStart"/>
      <w:r w:rsidRPr="0006772F">
        <w:t>Poppelaars</w:t>
      </w:r>
      <w:proofErr w:type="spellEnd"/>
      <w:r w:rsidRPr="0006772F">
        <w:t xml:space="preserve">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w:t>
      </w:r>
      <w:r w:rsidR="00736B8D">
        <w:rPr>
          <w:rFonts w:hint="eastAsia"/>
        </w:rPr>
        <w:t xml:space="preserve">overall </w:t>
      </w:r>
      <w:r w:rsidRPr="0006772F">
        <w:t>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0BB246EE" w:rsidR="0006772F" w:rsidRPr="0006772F" w:rsidRDefault="0006772F" w:rsidP="0006772F">
      <w:pPr>
        <w:spacing w:after="120" w:line="360" w:lineRule="auto"/>
        <w:ind w:firstLine="360"/>
        <w:jc w:val="both"/>
      </w:pPr>
      <w:r w:rsidRPr="0006772F">
        <w:t xml:space="preserve">For the moderators that were tested, none of the subgroup analyses produced a statistically significant between-group difference (all </w:t>
      </w:r>
      <w:r w:rsidRPr="00447393">
        <w:rPr>
          <w:i/>
          <w:iCs/>
        </w:rPr>
        <w:t xml:space="preserve">p </w:t>
      </w:r>
      <w:r w:rsidRPr="0006772F">
        <w:t>for the between-group test &gt; .1</w:t>
      </w:r>
      <w:r w:rsidR="00072915">
        <w:rPr>
          <w:rFonts w:hint="eastAsia"/>
        </w:rPr>
        <w:t>6</w:t>
      </w:r>
      <w:r w:rsidRPr="0006772F">
        <w:t xml:space="preserve">). </w:t>
      </w:r>
      <w:r w:rsidR="008C6117">
        <w:rPr>
          <w:rFonts w:hint="eastAsia"/>
        </w:rPr>
        <w:t>However, t</w:t>
      </w:r>
      <w:r w:rsidRPr="0006772F">
        <w: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w:t>
      </w:r>
      <w:r w:rsidR="00BE1B95">
        <w:rPr>
          <w:rFonts w:hint="eastAsia"/>
        </w:rPr>
        <w:t>s</w:t>
      </w:r>
      <w:r w:rsidRPr="0006772F">
        <w:t xml:space="preserve"> </w:t>
      </w:r>
      <w:proofErr w:type="gramStart"/>
      <w:r w:rsidRPr="0006772F">
        <w:t>was</w:t>
      </w:r>
      <w:proofErr w:type="gramEnd"/>
      <w:r w:rsidRPr="0006772F">
        <w:t xml:space="preserve"> not </w:t>
      </w:r>
      <w:r w:rsidR="00BE1B95">
        <w:rPr>
          <w:rFonts w:hint="eastAsia"/>
        </w:rPr>
        <w:t>independent to each other</w:t>
      </w:r>
      <w:r w:rsidRPr="0006772F">
        <w:t>,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w:t>
      </w:r>
      <w:r w:rsidRPr="00C30FB0">
        <w:rPr>
          <w:i/>
          <w:iCs/>
        </w:rPr>
        <w:t xml:space="preserve">g </w:t>
      </w:r>
      <w:r w:rsidRPr="0006772F">
        <w:t>= 0.31 with human contact versus g = 0.26 without), echoing the adult finding of Tong et al. (2024) that support level did not meaningfully change outcomes. Baseline severity was the one dimension that diverged from prior work, as discussed below</w:t>
      </w:r>
      <w:r w:rsidR="00C30FB0">
        <w:rPr>
          <w:rFonts w:hint="eastAsia"/>
        </w:rPr>
        <w:t xml:space="preserve"> in 5.5.2</w:t>
      </w:r>
      <w:r w:rsidRPr="0006772F">
        <w:t>.</w:t>
      </w:r>
    </w:p>
    <w:p w14:paraId="0BE2CB77" w14:textId="08280EED" w:rsidR="0064448D" w:rsidRPr="006D6210" w:rsidRDefault="0006772F" w:rsidP="00C40EA7">
      <w:pPr>
        <w:spacing w:after="120" w:line="360" w:lineRule="auto"/>
        <w:ind w:firstLine="360"/>
        <w:jc w:val="both"/>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retained participants well even when their intended dose was relatively high.</w:t>
      </w:r>
      <w:bookmarkEnd w:id="93"/>
    </w:p>
    <w:bookmarkEnd w:id="94"/>
    <w:p w14:paraId="2314C40D" w14:textId="4EAC2D40" w:rsidR="000C3784" w:rsidRDefault="001F5182">
      <w:pPr>
        <w:pStyle w:val="2"/>
      </w:pPr>
      <w:r w:rsidRPr="001F5182">
        <w:t>5.3. Interpretation of Subgroup, Sensitivity, and Meta-Regression Findings</w:t>
      </w:r>
    </w:p>
    <w:p w14:paraId="355A16CF" w14:textId="152D8CF6" w:rsidR="0006772F" w:rsidRPr="00D56604" w:rsidRDefault="00EE1AD5" w:rsidP="00EE1AD5">
      <w:pPr>
        <w:pStyle w:val="3"/>
        <w:rPr>
          <w:rFonts w:eastAsiaTheme="minorEastAsia"/>
        </w:rPr>
      </w:pPr>
      <w:bookmarkStart w:id="95" w:name="OLE_LINK17"/>
      <w:r w:rsidRPr="00EE1AD5">
        <w:t>5.3.</w:t>
      </w:r>
      <w:bookmarkEnd w:id="95"/>
      <w:r w:rsidR="00D56604">
        <w:rPr>
          <w:rFonts w:eastAsiaTheme="minorEastAsia" w:hint="eastAsia"/>
        </w:rPr>
        <w:t>1 Contextual</w:t>
      </w:r>
      <w:r w:rsidR="00045918">
        <w:rPr>
          <w:rFonts w:eastAsiaTheme="minorEastAsia" w:hint="eastAsia"/>
        </w:rPr>
        <w:t xml:space="preserve"> dependence</w:t>
      </w:r>
      <w:r w:rsidR="00D56604">
        <w:rPr>
          <w:rFonts w:eastAsiaTheme="minorEastAsia" w:hint="eastAsia"/>
        </w:rPr>
        <w:t xml:space="preserve"> in observed effects</w:t>
      </w:r>
    </w:p>
    <w:p w14:paraId="551AB409" w14:textId="25D83310" w:rsidR="006C2324" w:rsidRDefault="00E61DE1" w:rsidP="0030037E">
      <w:pPr>
        <w:spacing w:after="120" w:line="360" w:lineRule="auto"/>
        <w:ind w:firstLine="360"/>
        <w:jc w:val="both"/>
      </w:pPr>
      <w:r w:rsidRPr="00E61DE1">
        <w:t>The trials fell into two broad groups. The first was a small set recruited from clinical services (Ranney et al., 2018; Wright et al., 2020; Stallard et al., 2024). These trials were embedded in routine clinical care, which makes them realistic but also demanding, because they enrolled severe or help-seeking adolescents and used active comparators. As a group they gave uniformly small effects (</w:t>
      </w:r>
      <w:r w:rsidRPr="00E61DE1">
        <w:rPr>
          <w:i/>
          <w:iCs/>
        </w:rPr>
        <w:t>g</w:t>
      </w:r>
      <w:r w:rsidRPr="00E61DE1">
        <w:t xml:space="preserve"> = 0.02 to 0.21) and sat at the bottom of the range. Within this group the contextual </w:t>
      </w:r>
      <w:r w:rsidR="00045918">
        <w:t>dependence</w:t>
      </w:r>
      <w:r w:rsidRPr="00E61DE1">
        <w:t xml:space="preserve"> was hard to see. Only three trials were available, and although they had a clearly defined, high-need population</w:t>
      </w:r>
      <w:r>
        <w:t>—</w:t>
      </w:r>
      <w:r w:rsidRPr="00E61DE1">
        <w:t xml:space="preserve">a feature that went with larger effects elsewhere, they still produced small effects. </w:t>
      </w:r>
      <w:r>
        <w:rPr>
          <w:rFonts w:hint="eastAsia"/>
        </w:rPr>
        <w:t>Also, t</w:t>
      </w:r>
      <w:r w:rsidRPr="00E61DE1">
        <w:t xml:space="preserve">heir active comparators, and delivery that mostly took place outside a fixed setting, likely pulled in the opposite direction. </w:t>
      </w:r>
    </w:p>
    <w:p w14:paraId="393DD9F4" w14:textId="158EF236" w:rsidR="0030037E" w:rsidRDefault="00E61DE1" w:rsidP="006C2324">
      <w:pPr>
        <w:spacing w:after="120" w:line="360" w:lineRule="auto"/>
        <w:ind w:firstLine="360"/>
        <w:jc w:val="both"/>
      </w:pPr>
      <w:r w:rsidRPr="00E61DE1">
        <w:t>The second group was the trials run in general settings such as schools, communities, and online platforms, where effects ranged widely.</w:t>
      </w:r>
      <w:r w:rsidR="006C2324">
        <w:rPr>
          <w:rFonts w:hint="eastAsia"/>
        </w:rPr>
        <w:t xml:space="preserve"> </w:t>
      </w:r>
      <w:r w:rsidR="0030037E" w:rsidRPr="0030037E">
        <w:t xml:space="preserve">Within this second group, a contextual </w:t>
      </w:r>
      <w:r w:rsidR="00045918">
        <w:t>dependence</w:t>
      </w:r>
      <w:r w:rsidR="0030037E" w:rsidRPr="0030037E">
        <w:t xml:space="preserve"> appeared. Larger effects tended to occur with a bounded setting, a clearly defined or high-need target group, and a close fit between the program and its intended users. The clearest cases at the high end were the three trials in which the program was used at school (Fleming et al., 2012; Smith et al., 2015; Stasiak et al., 2014), which gave the largest effects </w:t>
      </w:r>
      <w:proofErr w:type="gramStart"/>
      <w:r w:rsidR="0030037E" w:rsidRPr="0030037E">
        <w:t>a</w:t>
      </w:r>
      <w:proofErr w:type="gramEnd"/>
      <w:r w:rsidR="00BC338F" w:rsidRPr="00BC338F">
        <w:t xml:space="preserve"> </w:t>
      </w:r>
      <w:r w:rsidR="00BC338F" w:rsidRPr="00BC338F">
        <w:t>apart from Ackerson et al. (1998), whose estimate should be interpreted cautiously because it was based on a small completer-only sample</w:t>
      </w:r>
      <w:r w:rsidR="00BC338F">
        <w:rPr>
          <w:rFonts w:hint="eastAsia"/>
        </w:rPr>
        <w:t>.</w:t>
      </w:r>
      <w:r w:rsidR="0030037E" w:rsidRPr="0030037E">
        <w:t xml:space="preserve"> Smaller or null effects were more common when recruitment was broad and online and when use was highly autonomous, that is, closer to real-world self-directed use. </w:t>
      </w:r>
      <w:r w:rsidR="0046486E">
        <w:rPr>
          <w:rFonts w:hint="eastAsia"/>
        </w:rPr>
        <w:t>It is also worth noting that no</w:t>
      </w:r>
      <w:r w:rsidR="0030037E" w:rsidRPr="0030037E">
        <w:t xml:space="preserve"> single feature explains this </w:t>
      </w:r>
      <w:r w:rsidR="00045918">
        <w:t>dependence</w:t>
      </w:r>
      <w:r w:rsidR="0030037E" w:rsidRPr="0030037E">
        <w:t xml:space="preserve">. </w:t>
      </w:r>
      <w:r w:rsidR="0046486E">
        <w:rPr>
          <w:rFonts w:hint="eastAsia"/>
        </w:rPr>
        <w:t xml:space="preserve">For example, </w:t>
      </w:r>
      <w:r w:rsidR="00BC338F">
        <w:rPr>
          <w:rFonts w:hint="eastAsia"/>
        </w:rPr>
        <w:t>s</w:t>
      </w:r>
      <w:r w:rsidR="0030037E" w:rsidRPr="0030037E">
        <w:t xml:space="preserve">ome of the largest effects came from passive-comparator trials, but passive-comparator trials </w:t>
      </w:r>
      <w:r w:rsidR="0030037E" w:rsidRPr="0030037E">
        <w:lastRenderedPageBreak/>
        <w:t>also produced some of the smallest and null effects. The variation therefore seems to depend on how the population, the setting, the comparator, the program fit, and the degree of autonomous use combined within each trial.</w:t>
      </w:r>
    </w:p>
    <w:p w14:paraId="08110C8A" w14:textId="736ACE3B" w:rsidR="00154104" w:rsidRPr="00154104" w:rsidRDefault="00154104" w:rsidP="00154104">
      <w:pPr>
        <w:spacing w:after="120" w:line="360" w:lineRule="auto"/>
        <w:ind w:firstLine="360"/>
        <w:jc w:val="both"/>
        <w:rPr>
          <w:rFonts w:hint="eastAsia"/>
        </w:rPr>
      </w:pPr>
      <w:r w:rsidRPr="00154104">
        <w:t xml:space="preserve">Two within-program comparisons make this concrete, because they hold the program constant and change only the context. The clearer one is SPARX, tested by Fleming et al. (2012) and </w:t>
      </w:r>
      <w:proofErr w:type="spellStart"/>
      <w:r w:rsidRPr="00154104">
        <w:t>Poppelaars</w:t>
      </w:r>
      <w:proofErr w:type="spellEnd"/>
      <w:r w:rsidRPr="00154104">
        <w:t xml:space="preserve"> et al. (2016). Both used a computer </w:t>
      </w:r>
      <w:proofErr w:type="gramStart"/>
      <w:r w:rsidRPr="00154104">
        <w:t>program</w:t>
      </w:r>
      <w:proofErr w:type="gramEnd"/>
      <w:r w:rsidRPr="00154104">
        <w:t xml:space="preserve"> and both used a waitlist comparator. </w:t>
      </w:r>
      <w:r w:rsidR="00212F77" w:rsidRPr="00212F77">
        <w:t>Fleming et al. recruited a small, high-need sample in alternative education settings, where the program was completed on site during class time with minimal non-therapeutic support, and reported a very large effect (g = 1.51). This large effect may partly reflect the fit between SPARX and this implementation context: whole-class or opt-out recruitment and on-site use may have reduced the need for individual help-seeking and made engagement easier for this group.</w:t>
      </w:r>
      <w:r w:rsidR="00BC338F">
        <w:rPr>
          <w:rFonts w:hint="eastAsia"/>
        </w:rPr>
        <w:t xml:space="preserve"> </w:t>
      </w:r>
      <w:proofErr w:type="spellStart"/>
      <w:r w:rsidRPr="00154104">
        <w:t>Poppelaars</w:t>
      </w:r>
      <w:proofErr w:type="spellEnd"/>
      <w:r w:rsidRPr="00154104">
        <w:t xml:space="preserve"> et al. recruited a larger, milder, all-female sample from mainstream schools and gave the same program for home </w:t>
      </w:r>
      <w:proofErr w:type="gramStart"/>
      <w:r w:rsidRPr="00154104">
        <w:t>use, and</w:t>
      </w:r>
      <w:proofErr w:type="gramEnd"/>
      <w:r w:rsidRPr="00154104">
        <w:t xml:space="preserve"> reported a null effect (g = −0.01). Because the program, the delivery format, and the comparator are the same, the difference points to the population and the place of use, not to the program. </w:t>
      </w:r>
      <w:r w:rsidR="00AD15F5">
        <w:rPr>
          <w:rFonts w:hint="eastAsia"/>
        </w:rPr>
        <w:t>However,</w:t>
      </w:r>
      <w:r w:rsidR="00102DA3">
        <w:rPr>
          <w:rFonts w:hint="eastAsia"/>
        </w:rPr>
        <w:t xml:space="preserve"> it is also worth noting that</w:t>
      </w:r>
      <w:r w:rsidR="00AD15F5">
        <w:rPr>
          <w:rFonts w:hint="eastAsia"/>
        </w:rPr>
        <w:t xml:space="preserve"> </w:t>
      </w:r>
      <w:r w:rsidRPr="00154104">
        <w:t xml:space="preserve">Fleming et al. sample was very small (n = 30), so its estimate </w:t>
      </w:r>
      <w:r w:rsidR="00AD15F5">
        <w:rPr>
          <w:rFonts w:hint="eastAsia"/>
        </w:rPr>
        <w:t>should be taken with caution.</w:t>
      </w:r>
    </w:p>
    <w:p w14:paraId="111ABD9D" w14:textId="04EC5057" w:rsidR="00154104" w:rsidRPr="00154104" w:rsidRDefault="00154104" w:rsidP="00154104">
      <w:pPr>
        <w:spacing w:after="120" w:line="360" w:lineRule="auto"/>
        <w:ind w:firstLine="360"/>
        <w:jc w:val="both"/>
      </w:pPr>
      <w:r w:rsidRPr="00154104">
        <w:t xml:space="preserve">The second comparison is Stressbusters, tested by Smith et al. (2015) and Wright et al. (2020). Smith et al. recruited a school sample with mild-to-moderate symptoms, used a passive comparator, and reported a large effect (g = 0.82). Wright et al. recruited a clinically referred sample with severe symptoms, used an attention control, and reported a small effect (g = 0.11). Here three things differ at the same time: the comparator, the setting, and the </w:t>
      </w:r>
      <w:r w:rsidR="00B71BE8">
        <w:rPr>
          <w:rFonts w:hint="eastAsia"/>
        </w:rPr>
        <w:t>clinical-or-general setting</w:t>
      </w:r>
      <w:r w:rsidRPr="00154104">
        <w:t xml:space="preserve">. </w:t>
      </w:r>
    </w:p>
    <w:p w14:paraId="49E8DB58" w14:textId="5A00911C" w:rsidR="00154104" w:rsidRPr="00154104" w:rsidRDefault="00154104" w:rsidP="00154104">
      <w:pPr>
        <w:spacing w:after="120" w:line="360" w:lineRule="auto"/>
        <w:ind w:firstLine="360"/>
        <w:jc w:val="both"/>
      </w:pPr>
      <w:r w:rsidRPr="00154104">
        <w:t>The two O'Dea trials show the same logic from the screening side. O'Dea et al. (2020) recruited fully online with no exclusion criteria and used a waitlist comparator (g = −0.17). O'Dea et al. (2025) added a symptom-based screen and youth co-design and used an attention control (g = 0.35). A waitlist usually raises the apparent effect, so the comparator difference would predict the opposite order</w:t>
      </w:r>
      <w:r w:rsidR="00F94CA4">
        <w:rPr>
          <w:rFonts w:hint="eastAsia"/>
        </w:rPr>
        <w:t>,</w:t>
      </w:r>
      <w:r w:rsidRPr="00154104">
        <w:t xml:space="preserve"> </w:t>
      </w:r>
      <w:r w:rsidR="00F94CA4">
        <w:rPr>
          <w:rFonts w:hint="eastAsia"/>
        </w:rPr>
        <w:t>thus</w:t>
      </w:r>
      <w:r w:rsidRPr="00154104">
        <w:t xml:space="preserve"> higher result for the 2025 trial therefore points to screening and design rather than to the comparator. O'Dea et al. (2020) was the only included trial with no exclusion criteria.</w:t>
      </w:r>
    </w:p>
    <w:p w14:paraId="0533985D" w14:textId="77777777" w:rsidR="00154104" w:rsidRDefault="00154104" w:rsidP="00154104">
      <w:pPr>
        <w:spacing w:after="120" w:line="360" w:lineRule="auto"/>
        <w:ind w:firstLine="360"/>
        <w:jc w:val="both"/>
      </w:pPr>
      <w:r w:rsidRPr="00154104">
        <w:t>Taken together, these comparisons support one reading. The effect of unguided self-help CBT is not a fixed value attached to one program or one component. It depends on who is reached, how severe their symptoms are, what they are compared against, and how closely the trial matches real-world autonomous use. Delivery format changed over time, from bibliotherapy in the earliest trials, to stand-alone computer programs, to mobile applications in the most recent trials. Because the era and the usual deployment style changed together, delivery format is better read as a marker of when and how a trial was run than as a separate cause.</w:t>
      </w:r>
    </w:p>
    <w:p w14:paraId="4E9E095E" w14:textId="1364B5F2" w:rsidR="00AD3EA4" w:rsidRDefault="00DB1337" w:rsidP="00F94CA4">
      <w:pPr>
        <w:spacing w:after="120" w:line="360" w:lineRule="auto"/>
        <w:ind w:firstLine="360"/>
        <w:jc w:val="both"/>
        <w:rPr>
          <w:rFonts w:hint="eastAsia"/>
        </w:rPr>
      </w:pPr>
      <w:r>
        <w:rPr>
          <w:rFonts w:hint="eastAsia"/>
        </w:rPr>
        <w:lastRenderedPageBreak/>
        <w:t>Another t</w:t>
      </w:r>
      <w:r w:rsidR="00AD3EA4" w:rsidRPr="00AD3EA4">
        <w:t>wo cautions follow. First, a small symptom-reduction effect in a severe or clinically referred sample does not mean that these trials contribute less. Second, symptom reduction may understate the value of unguided self-help for other outcomes commonly understood as intervention effects, such as preventing depressive disorder onset, although this value also appears to depend on the implementation context. To illustrate, in the efficacy trial by Stice et al. (2008, 2010), Feeling Good bibliotherapy did not show a sustained advantage for depressive symptoms, but two-year major/minor depressive disorder onset was about 3% in the bibliotherapy condition, compared with about 14% in therapist-led</w:t>
      </w:r>
      <w:r w:rsidR="00B7783D">
        <w:rPr>
          <w:rFonts w:hint="eastAsia"/>
        </w:rPr>
        <w:t xml:space="preserve"> </w:t>
      </w:r>
      <w:r w:rsidR="00B7783D">
        <w:t>cognitive</w:t>
      </w:r>
      <w:r w:rsidR="00B7783D">
        <w:rPr>
          <w:rFonts w:hint="eastAsia"/>
        </w:rPr>
        <w:t>-behavioral (CB)</w:t>
      </w:r>
      <w:r w:rsidR="00AD3EA4" w:rsidRPr="00AD3EA4">
        <w:t xml:space="preserve"> group, 15% in therapist-led supportive-expressive therapy, and 23% in the brochure control condition. The authors suggested that one possible advantage of bibliotherapy was that participants could return to the book when symptoms worsened. The present meta-analysis primarily captures symptom effect sizes and therefore cannot fully represent other forms of preventive value.</w:t>
      </w:r>
    </w:p>
    <w:p w14:paraId="205F6638" w14:textId="214320B4" w:rsidR="00BA511C" w:rsidRPr="00091E4E" w:rsidRDefault="0006772F" w:rsidP="00091E4E">
      <w:pPr>
        <w:pStyle w:val="3"/>
        <w:rPr>
          <w:rFonts w:eastAsiaTheme="minorEastAsia" w:hint="eastAsia"/>
        </w:rPr>
      </w:pPr>
      <w:bookmarkStart w:id="96" w:name="OLE_LINK86"/>
      <w:r w:rsidRPr="0006772F">
        <w:t>5.2.2. Why no moderator reached significance, and what the heterogeneity reflects</w:t>
      </w:r>
      <w:bookmarkEnd w:id="96"/>
    </w:p>
    <w:p w14:paraId="1A0486D8" w14:textId="5FBD9144" w:rsidR="00091E4E" w:rsidRPr="00EB3EA3" w:rsidRDefault="00091E4E" w:rsidP="00091E4E">
      <w:pPr>
        <w:spacing w:after="120" w:line="360" w:lineRule="auto"/>
        <w:ind w:firstLine="420"/>
        <w:jc w:val="both"/>
        <w:rPr>
          <w:rFonts w:hint="eastAsia"/>
        </w:rPr>
      </w:pPr>
      <w:r w:rsidRPr="00091E4E">
        <w:t>The subgroup results in Section 4.5 may look reassuring at first, but this impression is misleading. The overall analysis showed substantial and statistically significant heterogeneity (</w:t>
      </w:r>
      <w:r w:rsidRPr="00091E4E">
        <w:rPr>
          <w:i/>
          <w:iCs/>
        </w:rPr>
        <w:t>I</w:t>
      </w:r>
      <w:r w:rsidRPr="00091E4E">
        <w:t xml:space="preserve">² = 63%, </w:t>
      </w:r>
      <w:r w:rsidRPr="00091E4E">
        <w:rPr>
          <w:i/>
          <w:iCs/>
        </w:rPr>
        <w:t>τ</w:t>
      </w:r>
      <w:r w:rsidRPr="00091E4E">
        <w:t xml:space="preserve">² = 0.055, </w:t>
      </w:r>
      <w:proofErr w:type="gramStart"/>
      <w:r w:rsidRPr="00091E4E">
        <w:rPr>
          <w:i/>
          <w:iCs/>
        </w:rPr>
        <w:t>Q</w:t>
      </w:r>
      <w:r w:rsidRPr="00091E4E">
        <w:t>(</w:t>
      </w:r>
      <w:proofErr w:type="gramEnd"/>
      <w:r w:rsidRPr="00091E4E">
        <w:t xml:space="preserve">13) = 35.34, </w:t>
      </w:r>
      <w:r w:rsidRPr="00091E4E">
        <w:rPr>
          <w:i/>
          <w:iCs/>
        </w:rPr>
        <w:t>p</w:t>
      </w:r>
      <w:r w:rsidRPr="00091E4E">
        <w:t xml:space="preserve"> &lt; .001). At the same time, </w:t>
      </w:r>
      <w:r>
        <w:rPr>
          <w:rFonts w:hint="eastAsia"/>
        </w:rPr>
        <w:t>n</w:t>
      </w:r>
      <w:r w:rsidRPr="00091E4E">
        <w:t>o single moderator explained the heterogeneity on its own</w:t>
      </w:r>
      <w:r>
        <w:rPr>
          <w:rFonts w:hint="eastAsia"/>
        </w:rPr>
        <w:t>. T</w:t>
      </w:r>
      <w:r w:rsidRPr="00091E4E">
        <w:t>he test for subgroup differences was never significant (all p &gt; .16), and most subgroup contrasts ran in the expected direction, with interpersonal skills training the only exception. Three considerations account for why.</w:t>
      </w:r>
    </w:p>
    <w:p w14:paraId="5204A9A7" w14:textId="0EA4A269" w:rsidR="00091E4E" w:rsidRDefault="00091E4E" w:rsidP="00921B1E">
      <w:pPr>
        <w:spacing w:after="120" w:line="360" w:lineRule="auto"/>
        <w:ind w:firstLine="420"/>
        <w:jc w:val="both"/>
      </w:pPr>
      <w:r w:rsidRPr="00091E4E">
        <w:t>The first and most important is confounding. The trials with the largest effects tended to fall in the same subgroups. The four largest effects came from Fleming et al. (2012,</w:t>
      </w:r>
      <w:r w:rsidRPr="00B30C6E">
        <w:rPr>
          <w:i/>
          <w:iCs/>
        </w:rPr>
        <w:t xml:space="preserve"> g</w:t>
      </w:r>
      <w:r w:rsidRPr="00091E4E">
        <w:t xml:space="preserve"> = 1.51), Ackerson et al. (1998, </w:t>
      </w:r>
      <w:r w:rsidRPr="00B30C6E">
        <w:rPr>
          <w:i/>
          <w:iCs/>
        </w:rPr>
        <w:t>g</w:t>
      </w:r>
      <w:r w:rsidRPr="00091E4E">
        <w:t xml:space="preserve"> = 1.01), Smith et al. (2015, </w:t>
      </w:r>
      <w:r w:rsidRPr="00B30C6E">
        <w:rPr>
          <w:i/>
          <w:iCs/>
        </w:rPr>
        <w:t>g</w:t>
      </w:r>
      <w:r w:rsidRPr="00091E4E">
        <w:t xml:space="preserve"> = 0.82), and Stasiak et al. (2014, </w:t>
      </w:r>
      <w:r w:rsidRPr="00B30C6E">
        <w:rPr>
          <w:i/>
          <w:iCs/>
        </w:rPr>
        <w:t>g</w:t>
      </w:r>
      <w:r w:rsidRPr="00091E4E">
        <w:t xml:space="preserve"> = 0.53). As Table X shows, the higher-effect level of almost every moderator is simply the level that happens to contain these trials, and the size of the apparent advantage tracks how many of the four </w:t>
      </w:r>
      <w:proofErr w:type="gramStart"/>
      <w:r w:rsidRPr="00091E4E">
        <w:t>fall</w:t>
      </w:r>
      <w:proofErr w:type="gramEnd"/>
      <w:r w:rsidRPr="00091E4E">
        <w:t xml:space="preserve"> on that side. Homework, present in all four, showed the widest gap. Interpersonal skills training, where the four were split two and two, showed none, and baseline severity, where they were spread across levels, also showed none. The advantage of a level therefore cannot be attributed to the moderator itself. The same trials also drive the heterogeneity: the level that holds them is the more heterogeneous one, with a wider and less precise confidence interval, whereas the cleaner level gives a smaller but tighter and often significant effect. A larger subgroup effect here is thus a marker of a few influential trials, not of a robust moderator.</w:t>
      </w:r>
      <w:r>
        <w:rPr>
          <w:rFonts w:hint="eastAsia"/>
        </w:rPr>
        <w:t xml:space="preserve"> What</w:t>
      </w:r>
      <w:r>
        <w:t>’</w:t>
      </w:r>
      <w:r>
        <w:rPr>
          <w:rFonts w:hint="eastAsia"/>
        </w:rPr>
        <w:t>s more, s</w:t>
      </w:r>
      <w:r w:rsidRPr="00091E4E">
        <w:t>even of the fourteen trials belong to three program families: Feeling Good (three trials), SPARX (two), and Stressbusters (two). Trials that share a program also share its component profile and much of its design, so several feature contrasts are partly contrasts between programs rather than between the feature itself. This lowers the effective number of independent units below fourteen and adds to the confounding already described.</w:t>
      </w:r>
    </w:p>
    <w:p w14:paraId="515D4544" w14:textId="77777777" w:rsidR="00EA066C" w:rsidRDefault="00EA066C" w:rsidP="00921B1E">
      <w:pPr>
        <w:spacing w:after="120" w:line="360" w:lineRule="auto"/>
        <w:ind w:firstLine="420"/>
        <w:jc w:val="both"/>
      </w:pPr>
    </w:p>
    <w:p w14:paraId="1AF6E954" w14:textId="77777777" w:rsidR="00EA066C" w:rsidRDefault="00EA066C" w:rsidP="00921B1E">
      <w:pPr>
        <w:spacing w:after="120" w:line="360" w:lineRule="auto"/>
        <w:ind w:firstLine="420"/>
        <w:jc w:val="both"/>
      </w:pPr>
    </w:p>
    <w:p w14:paraId="03F01E69" w14:textId="77777777" w:rsidR="00EA066C" w:rsidRDefault="00EA066C" w:rsidP="00921B1E">
      <w:pPr>
        <w:spacing w:after="120" w:line="360" w:lineRule="auto"/>
        <w:ind w:firstLine="420"/>
        <w:jc w:val="both"/>
      </w:pPr>
    </w:p>
    <w:p w14:paraId="6B199805" w14:textId="77B2F2A5" w:rsidR="00EA066C" w:rsidRPr="00EA066C" w:rsidRDefault="00EA066C" w:rsidP="00EA066C">
      <w:pPr>
        <w:spacing w:after="120" w:line="360" w:lineRule="auto"/>
        <w:jc w:val="both"/>
        <w:rPr>
          <w:rFonts w:hint="eastAsia"/>
          <w:b/>
          <w:bCs/>
        </w:rPr>
      </w:pPr>
      <w:r w:rsidRPr="00EA066C">
        <w:rPr>
          <w:b/>
          <w:bCs/>
        </w:rPr>
        <w:t>Table X. Higher-effect level of each moderator and the large trials it contains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2409"/>
        <w:gridCol w:w="3544"/>
        <w:gridCol w:w="703"/>
      </w:tblGrid>
      <w:tr w:rsidR="002942AA" w14:paraId="73C6CB69" w14:textId="77777777" w:rsidTr="00EA066C">
        <w:trPr>
          <w:jc w:val="center"/>
        </w:trPr>
        <w:tc>
          <w:tcPr>
            <w:tcW w:w="2694" w:type="dxa"/>
            <w:tcBorders>
              <w:top w:val="single" w:sz="8" w:space="0" w:color="auto"/>
              <w:bottom w:val="single" w:sz="4" w:space="0" w:color="auto"/>
            </w:tcBorders>
          </w:tcPr>
          <w:p w14:paraId="47FB8F08" w14:textId="0F8B2CB5" w:rsidR="002942AA" w:rsidRPr="00EA066C" w:rsidRDefault="002942AA" w:rsidP="00EA066C">
            <w:pPr>
              <w:spacing w:after="120" w:line="360" w:lineRule="auto"/>
              <w:rPr>
                <w:rFonts w:hint="eastAsia"/>
                <w:b/>
                <w:bCs/>
              </w:rPr>
            </w:pPr>
            <w:r w:rsidRPr="00EA066C">
              <w:rPr>
                <w:rFonts w:hint="eastAsia"/>
                <w:b/>
                <w:bCs/>
              </w:rPr>
              <w:t>Moderator</w:t>
            </w:r>
          </w:p>
        </w:tc>
        <w:tc>
          <w:tcPr>
            <w:tcW w:w="2409" w:type="dxa"/>
            <w:tcBorders>
              <w:top w:val="single" w:sz="8" w:space="0" w:color="auto"/>
              <w:bottom w:val="single" w:sz="4" w:space="0" w:color="auto"/>
            </w:tcBorders>
          </w:tcPr>
          <w:p w14:paraId="18AAF722" w14:textId="14644A2A" w:rsidR="002942AA" w:rsidRPr="00EA066C" w:rsidRDefault="00EA066C" w:rsidP="00EA066C">
            <w:pPr>
              <w:spacing w:after="120" w:line="360" w:lineRule="auto"/>
              <w:rPr>
                <w:rFonts w:hint="eastAsia"/>
                <w:b/>
                <w:bCs/>
              </w:rPr>
            </w:pPr>
            <w:r w:rsidRPr="00EA066C">
              <w:rPr>
                <w:b/>
                <w:bCs/>
              </w:rPr>
              <w:t>Higher-effect level</w:t>
            </w:r>
          </w:p>
        </w:tc>
        <w:tc>
          <w:tcPr>
            <w:tcW w:w="3544" w:type="dxa"/>
            <w:tcBorders>
              <w:top w:val="single" w:sz="8" w:space="0" w:color="auto"/>
              <w:bottom w:val="single" w:sz="4" w:space="0" w:color="auto"/>
            </w:tcBorders>
          </w:tcPr>
          <w:p w14:paraId="28F9BC26" w14:textId="0C96CB4B" w:rsidR="002942AA" w:rsidRPr="00EA066C" w:rsidRDefault="00EA066C" w:rsidP="00EA066C">
            <w:pPr>
              <w:spacing w:after="120" w:line="360" w:lineRule="auto"/>
              <w:rPr>
                <w:rFonts w:hint="eastAsia"/>
                <w:b/>
                <w:bCs/>
              </w:rPr>
            </w:pPr>
            <w:r w:rsidRPr="00EA066C">
              <w:rPr>
                <w:b/>
                <w:bCs/>
              </w:rPr>
              <w:t>Largest trials at that level</w:t>
            </w:r>
          </w:p>
        </w:tc>
        <w:tc>
          <w:tcPr>
            <w:tcW w:w="703" w:type="dxa"/>
            <w:tcBorders>
              <w:top w:val="single" w:sz="8" w:space="0" w:color="auto"/>
              <w:bottom w:val="single" w:sz="4" w:space="0" w:color="auto"/>
            </w:tcBorders>
          </w:tcPr>
          <w:p w14:paraId="71D782EE" w14:textId="54040B12" w:rsidR="002942AA" w:rsidRPr="00EA066C" w:rsidRDefault="00EA066C" w:rsidP="00EA066C">
            <w:pPr>
              <w:spacing w:after="120" w:line="360" w:lineRule="auto"/>
              <w:rPr>
                <w:rFonts w:hint="eastAsia"/>
                <w:b/>
                <w:bCs/>
              </w:rPr>
            </w:pPr>
            <w:r w:rsidRPr="00EA066C">
              <w:rPr>
                <w:rFonts w:hint="eastAsia"/>
                <w:b/>
                <w:bCs/>
              </w:rPr>
              <w:t>n</w:t>
            </w:r>
          </w:p>
        </w:tc>
      </w:tr>
      <w:tr w:rsidR="002942AA" w14:paraId="4118EA6F" w14:textId="77777777" w:rsidTr="00EA066C">
        <w:trPr>
          <w:jc w:val="center"/>
        </w:trPr>
        <w:tc>
          <w:tcPr>
            <w:tcW w:w="2694" w:type="dxa"/>
            <w:tcBorders>
              <w:top w:val="single" w:sz="4" w:space="0" w:color="auto"/>
              <w:bottom w:val="nil"/>
            </w:tcBorders>
          </w:tcPr>
          <w:p w14:paraId="2C766B2A" w14:textId="435B5B41" w:rsidR="002942AA" w:rsidRDefault="002942AA" w:rsidP="00EA066C">
            <w:pPr>
              <w:spacing w:after="120" w:line="360" w:lineRule="auto"/>
              <w:rPr>
                <w:rFonts w:hint="eastAsia"/>
              </w:rPr>
            </w:pPr>
            <w:r>
              <w:rPr>
                <w:rFonts w:hint="eastAsia"/>
              </w:rPr>
              <w:t>Control type</w:t>
            </w:r>
          </w:p>
        </w:tc>
        <w:tc>
          <w:tcPr>
            <w:tcW w:w="2409" w:type="dxa"/>
            <w:tcBorders>
              <w:top w:val="single" w:sz="4" w:space="0" w:color="auto"/>
              <w:bottom w:val="nil"/>
            </w:tcBorders>
          </w:tcPr>
          <w:p w14:paraId="55F9F303" w14:textId="66B2A727" w:rsidR="002942AA" w:rsidRDefault="00D42252" w:rsidP="00EA066C">
            <w:pPr>
              <w:spacing w:after="120" w:line="360" w:lineRule="auto"/>
              <w:rPr>
                <w:rFonts w:hint="eastAsia"/>
              </w:rPr>
            </w:pPr>
            <w:r>
              <w:rPr>
                <w:rFonts w:hint="eastAsia"/>
              </w:rPr>
              <w:t>Passive</w:t>
            </w:r>
          </w:p>
        </w:tc>
        <w:tc>
          <w:tcPr>
            <w:tcW w:w="3544" w:type="dxa"/>
            <w:tcBorders>
              <w:top w:val="single" w:sz="4" w:space="0" w:color="auto"/>
              <w:bottom w:val="nil"/>
            </w:tcBorders>
          </w:tcPr>
          <w:p w14:paraId="7C264301" w14:textId="17CC97A1" w:rsidR="002942AA" w:rsidRDefault="00D42252" w:rsidP="00EA066C">
            <w:pPr>
              <w:spacing w:after="120" w:line="360" w:lineRule="auto"/>
              <w:rPr>
                <w:rFonts w:hint="eastAsia"/>
              </w:rPr>
            </w:pPr>
            <w:r>
              <w:rPr>
                <w:rFonts w:hint="eastAsia"/>
              </w:rPr>
              <w:t>Ackerson; Fleming; Smith;</w:t>
            </w:r>
          </w:p>
        </w:tc>
        <w:tc>
          <w:tcPr>
            <w:tcW w:w="703" w:type="dxa"/>
            <w:tcBorders>
              <w:top w:val="single" w:sz="4" w:space="0" w:color="auto"/>
              <w:bottom w:val="nil"/>
            </w:tcBorders>
          </w:tcPr>
          <w:p w14:paraId="70ECA23D" w14:textId="522A1312" w:rsidR="002942AA" w:rsidRDefault="00D42252" w:rsidP="00EA066C">
            <w:pPr>
              <w:spacing w:after="120" w:line="360" w:lineRule="auto"/>
              <w:rPr>
                <w:rFonts w:hint="eastAsia"/>
              </w:rPr>
            </w:pPr>
            <w:r>
              <w:rPr>
                <w:rFonts w:hint="eastAsia"/>
              </w:rPr>
              <w:t>3</w:t>
            </w:r>
          </w:p>
        </w:tc>
      </w:tr>
      <w:tr w:rsidR="002942AA" w14:paraId="265FEBAD" w14:textId="77777777" w:rsidTr="00EA066C">
        <w:trPr>
          <w:jc w:val="center"/>
        </w:trPr>
        <w:tc>
          <w:tcPr>
            <w:tcW w:w="2694" w:type="dxa"/>
            <w:tcBorders>
              <w:top w:val="nil"/>
            </w:tcBorders>
          </w:tcPr>
          <w:p w14:paraId="73E669EE" w14:textId="2BAD13BA" w:rsidR="002942AA" w:rsidRDefault="002942AA" w:rsidP="00EA066C">
            <w:pPr>
              <w:spacing w:after="120" w:line="360" w:lineRule="auto"/>
              <w:rPr>
                <w:rFonts w:hint="eastAsia"/>
              </w:rPr>
            </w:pPr>
            <w:r>
              <w:rPr>
                <w:rFonts w:hint="eastAsia"/>
              </w:rPr>
              <w:t>Baseline severity</w:t>
            </w:r>
          </w:p>
        </w:tc>
        <w:tc>
          <w:tcPr>
            <w:tcW w:w="2409" w:type="dxa"/>
            <w:tcBorders>
              <w:top w:val="nil"/>
            </w:tcBorders>
          </w:tcPr>
          <w:p w14:paraId="697AC5D8" w14:textId="611F00A4" w:rsidR="002942AA" w:rsidRDefault="00D42252" w:rsidP="00EA066C">
            <w:pPr>
              <w:spacing w:after="120" w:line="360" w:lineRule="auto"/>
              <w:rPr>
                <w:rFonts w:hint="eastAsia"/>
              </w:rPr>
            </w:pPr>
            <w:r>
              <w:rPr>
                <w:rFonts w:hint="eastAsia"/>
              </w:rPr>
              <w:t>Low</w:t>
            </w:r>
          </w:p>
        </w:tc>
        <w:tc>
          <w:tcPr>
            <w:tcW w:w="3544" w:type="dxa"/>
            <w:tcBorders>
              <w:top w:val="nil"/>
            </w:tcBorders>
          </w:tcPr>
          <w:p w14:paraId="19F20B49" w14:textId="226000CE" w:rsidR="002942AA" w:rsidRDefault="00D42252" w:rsidP="00EA066C">
            <w:pPr>
              <w:spacing w:after="120" w:line="360" w:lineRule="auto"/>
              <w:rPr>
                <w:rFonts w:hint="eastAsia"/>
              </w:rPr>
            </w:pPr>
            <w:r>
              <w:rPr>
                <w:rFonts w:hint="eastAsia"/>
              </w:rPr>
              <w:t>Ackerson; Smith; Stasiak;</w:t>
            </w:r>
          </w:p>
        </w:tc>
        <w:tc>
          <w:tcPr>
            <w:tcW w:w="703" w:type="dxa"/>
            <w:tcBorders>
              <w:top w:val="nil"/>
            </w:tcBorders>
          </w:tcPr>
          <w:p w14:paraId="2604EF60" w14:textId="580BA09F" w:rsidR="002942AA" w:rsidRDefault="00D42252" w:rsidP="00EA066C">
            <w:pPr>
              <w:spacing w:after="120" w:line="360" w:lineRule="auto"/>
              <w:rPr>
                <w:rFonts w:hint="eastAsia"/>
              </w:rPr>
            </w:pPr>
            <w:r>
              <w:rPr>
                <w:rFonts w:hint="eastAsia"/>
              </w:rPr>
              <w:t>3</w:t>
            </w:r>
          </w:p>
        </w:tc>
      </w:tr>
      <w:tr w:rsidR="002942AA" w14:paraId="213F1BB1" w14:textId="77777777" w:rsidTr="00EA066C">
        <w:trPr>
          <w:jc w:val="center"/>
        </w:trPr>
        <w:tc>
          <w:tcPr>
            <w:tcW w:w="2694" w:type="dxa"/>
          </w:tcPr>
          <w:p w14:paraId="48E10F5C" w14:textId="4A82CA1D" w:rsidR="002942AA" w:rsidRDefault="002942AA" w:rsidP="00EA066C">
            <w:pPr>
              <w:spacing w:after="120" w:line="360" w:lineRule="auto"/>
              <w:rPr>
                <w:rFonts w:hint="eastAsia"/>
              </w:rPr>
            </w:pPr>
            <w:r>
              <w:rPr>
                <w:rFonts w:hint="eastAsia"/>
              </w:rPr>
              <w:t>Human contact</w:t>
            </w:r>
          </w:p>
        </w:tc>
        <w:tc>
          <w:tcPr>
            <w:tcW w:w="2409" w:type="dxa"/>
          </w:tcPr>
          <w:p w14:paraId="7D170925" w14:textId="549C374A" w:rsidR="002942AA" w:rsidRDefault="00D42252" w:rsidP="00EA066C">
            <w:pPr>
              <w:spacing w:after="120" w:line="360" w:lineRule="auto"/>
              <w:rPr>
                <w:rFonts w:hint="eastAsia"/>
              </w:rPr>
            </w:pPr>
            <w:r>
              <w:rPr>
                <w:rFonts w:hint="eastAsia"/>
              </w:rPr>
              <w:t>Yes</w:t>
            </w:r>
          </w:p>
        </w:tc>
        <w:tc>
          <w:tcPr>
            <w:tcW w:w="3544" w:type="dxa"/>
          </w:tcPr>
          <w:p w14:paraId="3A5E8B3C" w14:textId="7205D9FF" w:rsidR="002942AA" w:rsidRDefault="00D42252" w:rsidP="00EA066C">
            <w:pPr>
              <w:spacing w:after="120" w:line="360" w:lineRule="auto"/>
              <w:rPr>
                <w:rFonts w:hint="eastAsia"/>
              </w:rPr>
            </w:pPr>
            <w:r>
              <w:rPr>
                <w:rFonts w:hint="eastAsia"/>
              </w:rPr>
              <w:t>Ackerson; Fleming</w:t>
            </w:r>
          </w:p>
        </w:tc>
        <w:tc>
          <w:tcPr>
            <w:tcW w:w="703" w:type="dxa"/>
          </w:tcPr>
          <w:p w14:paraId="77C6D0A4" w14:textId="6588FB0E" w:rsidR="002942AA" w:rsidRDefault="00D42252" w:rsidP="00EA066C">
            <w:pPr>
              <w:spacing w:after="120" w:line="360" w:lineRule="auto"/>
              <w:rPr>
                <w:rFonts w:hint="eastAsia"/>
              </w:rPr>
            </w:pPr>
            <w:r>
              <w:rPr>
                <w:rFonts w:hint="eastAsia"/>
              </w:rPr>
              <w:t>2</w:t>
            </w:r>
          </w:p>
        </w:tc>
      </w:tr>
      <w:tr w:rsidR="002942AA" w14:paraId="00B77156" w14:textId="77777777" w:rsidTr="00EA066C">
        <w:trPr>
          <w:jc w:val="center"/>
        </w:trPr>
        <w:tc>
          <w:tcPr>
            <w:tcW w:w="2694" w:type="dxa"/>
          </w:tcPr>
          <w:p w14:paraId="0D160F60" w14:textId="4B17C705" w:rsidR="002942AA" w:rsidRDefault="002942AA" w:rsidP="00EA066C">
            <w:pPr>
              <w:spacing w:after="120" w:line="360" w:lineRule="auto"/>
              <w:rPr>
                <w:rFonts w:hint="eastAsia"/>
              </w:rPr>
            </w:pPr>
            <w:r>
              <w:rPr>
                <w:rFonts w:hint="eastAsia"/>
              </w:rPr>
              <w:t>Relaxation</w:t>
            </w:r>
          </w:p>
        </w:tc>
        <w:tc>
          <w:tcPr>
            <w:tcW w:w="2409" w:type="dxa"/>
          </w:tcPr>
          <w:p w14:paraId="22588096" w14:textId="48FC30B0" w:rsidR="002942AA" w:rsidRDefault="00D42252" w:rsidP="00EA066C">
            <w:pPr>
              <w:spacing w:after="120" w:line="360" w:lineRule="auto"/>
              <w:rPr>
                <w:rFonts w:hint="eastAsia"/>
              </w:rPr>
            </w:pPr>
            <w:r>
              <w:rPr>
                <w:rFonts w:hint="eastAsia"/>
              </w:rPr>
              <w:t>Present</w:t>
            </w:r>
          </w:p>
        </w:tc>
        <w:tc>
          <w:tcPr>
            <w:tcW w:w="3544" w:type="dxa"/>
          </w:tcPr>
          <w:p w14:paraId="0268E477" w14:textId="7D1D699A" w:rsidR="002942AA" w:rsidRDefault="00D42252" w:rsidP="00EA066C">
            <w:pPr>
              <w:spacing w:after="120" w:line="360" w:lineRule="auto"/>
              <w:rPr>
                <w:rFonts w:hint="eastAsia"/>
              </w:rPr>
            </w:pPr>
            <w:r>
              <w:rPr>
                <w:rFonts w:hint="eastAsia"/>
              </w:rPr>
              <w:t>Fleming; Stasiak</w:t>
            </w:r>
          </w:p>
        </w:tc>
        <w:tc>
          <w:tcPr>
            <w:tcW w:w="703" w:type="dxa"/>
          </w:tcPr>
          <w:p w14:paraId="3849C280" w14:textId="1CA26E77" w:rsidR="002942AA" w:rsidRDefault="00D42252" w:rsidP="00EA066C">
            <w:pPr>
              <w:spacing w:after="120" w:line="360" w:lineRule="auto"/>
              <w:rPr>
                <w:rFonts w:hint="eastAsia"/>
              </w:rPr>
            </w:pPr>
            <w:r>
              <w:rPr>
                <w:rFonts w:hint="eastAsia"/>
              </w:rPr>
              <w:t>2</w:t>
            </w:r>
          </w:p>
        </w:tc>
      </w:tr>
      <w:tr w:rsidR="002942AA" w14:paraId="4B10FC1C" w14:textId="77777777" w:rsidTr="00EA066C">
        <w:trPr>
          <w:jc w:val="center"/>
        </w:trPr>
        <w:tc>
          <w:tcPr>
            <w:tcW w:w="2694" w:type="dxa"/>
          </w:tcPr>
          <w:p w14:paraId="188392A3" w14:textId="15A64065" w:rsidR="002942AA" w:rsidRDefault="00D42252" w:rsidP="00EA066C">
            <w:pPr>
              <w:spacing w:after="120" w:line="360" w:lineRule="auto"/>
              <w:rPr>
                <w:rFonts w:hint="eastAsia"/>
              </w:rPr>
            </w:pPr>
            <w:r>
              <w:rPr>
                <w:rFonts w:hint="eastAsia"/>
              </w:rPr>
              <w:t>Problem-solving</w:t>
            </w:r>
          </w:p>
        </w:tc>
        <w:tc>
          <w:tcPr>
            <w:tcW w:w="2409" w:type="dxa"/>
          </w:tcPr>
          <w:p w14:paraId="0A9D3902" w14:textId="637C1264" w:rsidR="002942AA" w:rsidRDefault="00D42252" w:rsidP="00EA066C">
            <w:pPr>
              <w:spacing w:after="120" w:line="360" w:lineRule="auto"/>
              <w:rPr>
                <w:rFonts w:hint="eastAsia"/>
              </w:rPr>
            </w:pPr>
            <w:r>
              <w:rPr>
                <w:rFonts w:hint="eastAsia"/>
              </w:rPr>
              <w:t>Present</w:t>
            </w:r>
          </w:p>
        </w:tc>
        <w:tc>
          <w:tcPr>
            <w:tcW w:w="3544" w:type="dxa"/>
          </w:tcPr>
          <w:p w14:paraId="6D4F66BD" w14:textId="26625B3B" w:rsidR="002942AA" w:rsidRDefault="00BB1264" w:rsidP="00EA066C">
            <w:pPr>
              <w:spacing w:after="120" w:line="360" w:lineRule="auto"/>
              <w:rPr>
                <w:rFonts w:hint="eastAsia"/>
              </w:rPr>
            </w:pPr>
            <w:r>
              <w:rPr>
                <w:rFonts w:hint="eastAsia"/>
              </w:rPr>
              <w:t>Fleming; Stasiak; Smith</w:t>
            </w:r>
          </w:p>
        </w:tc>
        <w:tc>
          <w:tcPr>
            <w:tcW w:w="703" w:type="dxa"/>
          </w:tcPr>
          <w:p w14:paraId="4CA0ACC6" w14:textId="2652B290" w:rsidR="002942AA" w:rsidRDefault="00BB1264" w:rsidP="00EA066C">
            <w:pPr>
              <w:spacing w:after="120" w:line="360" w:lineRule="auto"/>
              <w:rPr>
                <w:rFonts w:hint="eastAsia"/>
              </w:rPr>
            </w:pPr>
            <w:r>
              <w:rPr>
                <w:rFonts w:hint="eastAsia"/>
              </w:rPr>
              <w:t>3</w:t>
            </w:r>
          </w:p>
        </w:tc>
      </w:tr>
      <w:tr w:rsidR="002942AA" w14:paraId="1DF75739" w14:textId="77777777" w:rsidTr="00EA066C">
        <w:trPr>
          <w:jc w:val="center"/>
        </w:trPr>
        <w:tc>
          <w:tcPr>
            <w:tcW w:w="2694" w:type="dxa"/>
          </w:tcPr>
          <w:p w14:paraId="65A4ADF7" w14:textId="5ED16217" w:rsidR="002942AA" w:rsidRDefault="00D42252" w:rsidP="00EA066C">
            <w:pPr>
              <w:spacing w:after="120" w:line="360" w:lineRule="auto"/>
              <w:rPr>
                <w:rFonts w:hint="eastAsia"/>
              </w:rPr>
            </w:pPr>
            <w:r>
              <w:rPr>
                <w:rFonts w:hint="eastAsia"/>
              </w:rPr>
              <w:t>Homework</w:t>
            </w:r>
          </w:p>
        </w:tc>
        <w:tc>
          <w:tcPr>
            <w:tcW w:w="2409" w:type="dxa"/>
          </w:tcPr>
          <w:p w14:paraId="79B2B6DE" w14:textId="451A21F3" w:rsidR="002942AA" w:rsidRDefault="00D42252" w:rsidP="00EA066C">
            <w:pPr>
              <w:spacing w:after="120" w:line="360" w:lineRule="auto"/>
              <w:rPr>
                <w:rFonts w:hint="eastAsia"/>
              </w:rPr>
            </w:pPr>
            <w:r>
              <w:rPr>
                <w:rFonts w:hint="eastAsia"/>
              </w:rPr>
              <w:t>Present</w:t>
            </w:r>
          </w:p>
        </w:tc>
        <w:tc>
          <w:tcPr>
            <w:tcW w:w="3544" w:type="dxa"/>
          </w:tcPr>
          <w:p w14:paraId="231C00F9" w14:textId="4D892334" w:rsidR="002942AA" w:rsidRDefault="00BB1264" w:rsidP="00EA066C">
            <w:pPr>
              <w:spacing w:after="120" w:line="360" w:lineRule="auto"/>
              <w:rPr>
                <w:rFonts w:hint="eastAsia"/>
              </w:rPr>
            </w:pPr>
            <w:r>
              <w:rPr>
                <w:rFonts w:hint="eastAsia"/>
              </w:rPr>
              <w:t>Ackerson; Fleming; Stasiak; Smith</w:t>
            </w:r>
          </w:p>
        </w:tc>
        <w:tc>
          <w:tcPr>
            <w:tcW w:w="703" w:type="dxa"/>
          </w:tcPr>
          <w:p w14:paraId="581E5031" w14:textId="21186D31" w:rsidR="002942AA" w:rsidRDefault="00BB1264" w:rsidP="00EA066C">
            <w:pPr>
              <w:spacing w:after="120" w:line="360" w:lineRule="auto"/>
              <w:rPr>
                <w:rFonts w:hint="eastAsia"/>
              </w:rPr>
            </w:pPr>
            <w:r>
              <w:rPr>
                <w:rFonts w:hint="eastAsia"/>
              </w:rPr>
              <w:t>4</w:t>
            </w:r>
          </w:p>
        </w:tc>
      </w:tr>
      <w:tr w:rsidR="002942AA" w14:paraId="6E0C2BDB" w14:textId="77777777" w:rsidTr="00EA066C">
        <w:trPr>
          <w:jc w:val="center"/>
        </w:trPr>
        <w:tc>
          <w:tcPr>
            <w:tcW w:w="2694" w:type="dxa"/>
          </w:tcPr>
          <w:p w14:paraId="34D9DD01" w14:textId="23365E8F" w:rsidR="002942AA" w:rsidRDefault="00D42252" w:rsidP="00EA066C">
            <w:pPr>
              <w:spacing w:after="120" w:line="360" w:lineRule="auto"/>
              <w:rPr>
                <w:rFonts w:hint="eastAsia"/>
              </w:rPr>
            </w:pPr>
            <w:r>
              <w:rPr>
                <w:rFonts w:hint="eastAsia"/>
              </w:rPr>
              <w:t>Relapse prevention</w:t>
            </w:r>
          </w:p>
        </w:tc>
        <w:tc>
          <w:tcPr>
            <w:tcW w:w="2409" w:type="dxa"/>
          </w:tcPr>
          <w:p w14:paraId="25004B27" w14:textId="401B1D5A" w:rsidR="002942AA" w:rsidRDefault="00D42252" w:rsidP="00EA066C">
            <w:pPr>
              <w:spacing w:after="120" w:line="360" w:lineRule="auto"/>
              <w:rPr>
                <w:rFonts w:hint="eastAsia"/>
              </w:rPr>
            </w:pPr>
            <w:r>
              <w:rPr>
                <w:rFonts w:hint="eastAsia"/>
              </w:rPr>
              <w:t>Present</w:t>
            </w:r>
          </w:p>
        </w:tc>
        <w:tc>
          <w:tcPr>
            <w:tcW w:w="3544" w:type="dxa"/>
          </w:tcPr>
          <w:p w14:paraId="2913F39B" w14:textId="3BF38758" w:rsidR="002942AA" w:rsidRDefault="00BB1264" w:rsidP="00EA066C">
            <w:pPr>
              <w:spacing w:after="120" w:line="360" w:lineRule="auto"/>
              <w:rPr>
                <w:rFonts w:hint="eastAsia"/>
              </w:rPr>
            </w:pPr>
            <w:r>
              <w:rPr>
                <w:rFonts w:hint="eastAsia"/>
              </w:rPr>
              <w:t>Ackerson; Stasiak; Smith</w:t>
            </w:r>
          </w:p>
        </w:tc>
        <w:tc>
          <w:tcPr>
            <w:tcW w:w="703" w:type="dxa"/>
          </w:tcPr>
          <w:p w14:paraId="174FDE34" w14:textId="089C041A" w:rsidR="002942AA" w:rsidRDefault="00BB1264" w:rsidP="00EA066C">
            <w:pPr>
              <w:spacing w:after="120" w:line="360" w:lineRule="auto"/>
              <w:rPr>
                <w:rFonts w:hint="eastAsia"/>
              </w:rPr>
            </w:pPr>
            <w:r>
              <w:rPr>
                <w:rFonts w:hint="eastAsia"/>
              </w:rPr>
              <w:t>3</w:t>
            </w:r>
          </w:p>
        </w:tc>
      </w:tr>
      <w:tr w:rsidR="002942AA" w14:paraId="5900C61F" w14:textId="77777777" w:rsidTr="00EA066C">
        <w:trPr>
          <w:jc w:val="center"/>
        </w:trPr>
        <w:tc>
          <w:tcPr>
            <w:tcW w:w="2694" w:type="dxa"/>
          </w:tcPr>
          <w:p w14:paraId="63FB6EE3" w14:textId="486AEB41" w:rsidR="002942AA" w:rsidRDefault="00D42252" w:rsidP="00EA066C">
            <w:pPr>
              <w:spacing w:after="120" w:line="360" w:lineRule="auto"/>
              <w:rPr>
                <w:rFonts w:hint="eastAsia"/>
              </w:rPr>
            </w:pPr>
            <w:r>
              <w:rPr>
                <w:rFonts w:hint="eastAsia"/>
              </w:rPr>
              <w:t>Interpersonal skills training</w:t>
            </w:r>
          </w:p>
        </w:tc>
        <w:tc>
          <w:tcPr>
            <w:tcW w:w="2409" w:type="dxa"/>
          </w:tcPr>
          <w:p w14:paraId="3FD9DDE5" w14:textId="11D328BE" w:rsidR="002942AA" w:rsidRDefault="00D42252" w:rsidP="00EA066C">
            <w:pPr>
              <w:spacing w:after="120" w:line="360" w:lineRule="auto"/>
              <w:rPr>
                <w:rFonts w:hint="eastAsia"/>
              </w:rPr>
            </w:pPr>
            <w:r>
              <w:rPr>
                <w:rFonts w:hint="eastAsia"/>
              </w:rPr>
              <w:t>Absent</w:t>
            </w:r>
          </w:p>
        </w:tc>
        <w:tc>
          <w:tcPr>
            <w:tcW w:w="3544" w:type="dxa"/>
          </w:tcPr>
          <w:p w14:paraId="176AD2AE" w14:textId="1F93D785" w:rsidR="002942AA" w:rsidRDefault="00BB1264" w:rsidP="00EA066C">
            <w:pPr>
              <w:spacing w:after="120" w:line="360" w:lineRule="auto"/>
              <w:rPr>
                <w:rFonts w:hint="eastAsia"/>
              </w:rPr>
            </w:pPr>
            <w:r>
              <w:rPr>
                <w:rFonts w:hint="eastAsia"/>
              </w:rPr>
              <w:t>Fleming; Stasiak</w:t>
            </w:r>
          </w:p>
        </w:tc>
        <w:tc>
          <w:tcPr>
            <w:tcW w:w="703" w:type="dxa"/>
          </w:tcPr>
          <w:p w14:paraId="24227575" w14:textId="05BFCE67" w:rsidR="002942AA" w:rsidRDefault="00BB1264" w:rsidP="00EA066C">
            <w:pPr>
              <w:spacing w:after="120" w:line="360" w:lineRule="auto"/>
              <w:rPr>
                <w:rFonts w:hint="eastAsia"/>
              </w:rPr>
            </w:pPr>
            <w:r>
              <w:rPr>
                <w:rFonts w:hint="eastAsia"/>
              </w:rPr>
              <w:t>2</w:t>
            </w:r>
          </w:p>
        </w:tc>
      </w:tr>
    </w:tbl>
    <w:p w14:paraId="45B7BB07" w14:textId="2FF9C47A" w:rsidR="00921B1E" w:rsidRDefault="00921B1E" w:rsidP="002942AA">
      <w:pPr>
        <w:spacing w:after="120" w:line="360" w:lineRule="auto"/>
        <w:jc w:val="both"/>
        <w:rPr>
          <w:rFonts w:hint="eastAsia"/>
        </w:rPr>
      </w:pPr>
    </w:p>
    <w:p w14:paraId="1317C3B6" w14:textId="68B81C82" w:rsidR="009B4D1F" w:rsidRDefault="00091E4E" w:rsidP="00EA066C">
      <w:pPr>
        <w:spacing w:after="120" w:line="360" w:lineRule="auto"/>
        <w:jc w:val="both"/>
      </w:pPr>
      <w:r>
        <w:tab/>
      </w:r>
      <w:r w:rsidRPr="00091E4E">
        <w:t>The second consideration is statistical power. The number of included trials was small (</w:t>
      </w:r>
      <w:r w:rsidRPr="00B30C6E">
        <w:rPr>
          <w:i/>
          <w:iCs/>
        </w:rPr>
        <w:t>k</w:t>
      </w:r>
      <w:r w:rsidRPr="00091E4E">
        <w:t xml:space="preserve"> = 14</w:t>
      </w:r>
      <w:proofErr w:type="gramStart"/>
      <w:r w:rsidRPr="00091E4E">
        <w:t>), and</w:t>
      </w:r>
      <w:proofErr w:type="gramEnd"/>
      <w:r w:rsidRPr="00091E4E">
        <w:t xml:space="preserve"> splitting them into subgroups left as few as five trials on one side. The Hartung-Knapp adjustment widens the confidence intervals further, which makes a real between-group difference even harder to detect. A non-significant subgroup test under these conditions is uninformative. </w:t>
      </w:r>
    </w:p>
    <w:p w14:paraId="1C30EDB7" w14:textId="27414625" w:rsidR="00B30C6E" w:rsidRPr="009B4D1F" w:rsidRDefault="00B30C6E" w:rsidP="00EA066C">
      <w:pPr>
        <w:spacing w:after="120" w:line="360" w:lineRule="auto"/>
        <w:ind w:firstLine="420"/>
        <w:jc w:val="both"/>
        <w:rPr>
          <w:rFonts w:hint="eastAsia"/>
        </w:rPr>
      </w:pPr>
      <w:r w:rsidRPr="00B30C6E">
        <w:t xml:space="preserve">Finally, the significant overall heterogeneity means that the trial effects were more dispersed around the pooled estimate than would be expected from sampling error alone. The observed effects ranged from −0.17 to 1.51, and the prediction interval [−0.27, 0.80] suggests that the true effect in a new setting could range from slightly negative to large. This dispersion was not reducible to any single moderator. Some of the visible spread and many of the apparent subgroup advantages came from a small number of high-effect trials, but statistical heterogeneity is weighted by study precision, so these trials should not be assumed to be the sole drivers of </w:t>
      </w:r>
      <w:r w:rsidRPr="00283152">
        <w:rPr>
          <w:i/>
          <w:iCs/>
        </w:rPr>
        <w:t>Q</w:t>
      </w:r>
      <w:r w:rsidRPr="00B30C6E">
        <w:t xml:space="preserve"> or </w:t>
      </w:r>
      <w:r w:rsidRPr="00283152">
        <w:rPr>
          <w:i/>
          <w:iCs/>
        </w:rPr>
        <w:t>I</w:t>
      </w:r>
      <w:r w:rsidRPr="00B30C6E">
        <w:t>². More plausibly, the heterogeneity reflects several features varying together, including study size, deployment context, intervention family, and possible small-study bias. Because the small, high-effect trials were also those conducted under more favorable deployment conditions, the present evidence can describe this pattern but cannot separate it into independent moderator effects.</w:t>
      </w:r>
    </w:p>
    <w:p w14:paraId="21028A38" w14:textId="5CA0F6DA" w:rsidR="00EE1AD5" w:rsidRDefault="0006772F" w:rsidP="00EE1AD5">
      <w:pPr>
        <w:pStyle w:val="3"/>
        <w:rPr>
          <w:rFonts w:eastAsiaTheme="minorEastAsia"/>
        </w:rPr>
      </w:pPr>
      <w:r w:rsidRPr="0006772F">
        <w:lastRenderedPageBreak/>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 xml:space="preserve">The main post-intervention result was robust to the planned and post-hoc checks. The leave-one-out analysis showed that omitting any single trial, including the outlier, left the pooled effect close to the original estimate (range </w:t>
      </w:r>
      <w:r w:rsidRPr="00A45E1D">
        <w:rPr>
          <w:i/>
          <w:iCs/>
        </w:rPr>
        <w:t xml:space="preserve">g </w:t>
      </w:r>
      <w:r w:rsidRPr="0006772F">
        <w:t>= 0.20 to 0.30), with all confidence intervals continuing to exclude zero. The planned sensitivity analyses pointed in the same direction: restricting to peer-reviewed journal articles (</w:t>
      </w:r>
      <w:r w:rsidRPr="00A45E1D">
        <w:rPr>
          <w:i/>
          <w:iCs/>
        </w:rPr>
        <w:t>g</w:t>
      </w:r>
      <w:r w:rsidRPr="0006772F">
        <w:t xml:space="preserve"> = 0.27), excluding high-risk-of-bias trials (</w:t>
      </w:r>
      <w:r w:rsidRPr="00A45E1D">
        <w:rPr>
          <w:i/>
          <w:iCs/>
        </w:rPr>
        <w:t>g</w:t>
      </w:r>
      <w:r w:rsidRPr="0006772F">
        <w:t xml:space="preserve"> = 0.22), and restricting to trials in which depression was the primary target (</w:t>
      </w:r>
      <w:r w:rsidRPr="00A45E1D">
        <w:rPr>
          <w:i/>
          <w:iCs/>
        </w:rPr>
        <w:t>g</w:t>
      </w:r>
      <w:r w:rsidRPr="0006772F">
        <w:t xml:space="preserve"> = 0.35) all preserved a small positive effect. The two post-hoc checks, restricting to endpoint-based effect sizes (</w:t>
      </w:r>
      <w:r w:rsidRPr="00A45E1D">
        <w:rPr>
          <w:i/>
          <w:iCs/>
        </w:rPr>
        <w:t>g</w:t>
      </w:r>
      <w:r w:rsidRPr="0006772F">
        <w:t xml:space="preserve"> = 0.22) and adding the cluster trial under a range of assumed intraclass correlation values (</w:t>
      </w:r>
      <w:r w:rsidRPr="00A45E1D">
        <w:rPr>
          <w:i/>
          <w:iCs/>
        </w:rPr>
        <w:t>g</w:t>
      </w:r>
      <w:r w:rsidRPr="0006772F">
        <w:t xml:space="preserve"> ≈ 0.26), did not materially alter the result either.</w:t>
      </w:r>
    </w:p>
    <w:p w14:paraId="3E426A46" w14:textId="77777777" w:rsidR="0006772F" w:rsidRPr="0006772F" w:rsidRDefault="0006772F" w:rsidP="0006772F">
      <w:pPr>
        <w:spacing w:after="120" w:line="360" w:lineRule="auto"/>
        <w:ind w:firstLine="360"/>
        <w:jc w:val="both"/>
      </w:pPr>
      <w:r w:rsidRPr="0006772F">
        <w:t>Publication bias requires a more cautious reading. The formal tests were not significant: Egger's regression test (</w:t>
      </w:r>
      <w:proofErr w:type="gramStart"/>
      <w:r w:rsidRPr="00363109">
        <w:rPr>
          <w:i/>
          <w:iCs/>
        </w:rPr>
        <w:t>t</w:t>
      </w:r>
      <w:r w:rsidRPr="0006772F">
        <w:t>(</w:t>
      </w:r>
      <w:proofErr w:type="gramEnd"/>
      <w:r w:rsidRPr="0006772F">
        <w:t xml:space="preserve">12) = 1.82, </w:t>
      </w:r>
      <w:r w:rsidRPr="00363109">
        <w:rPr>
          <w:i/>
          <w:iCs/>
        </w:rPr>
        <w:t>p</w:t>
      </w:r>
      <w:r w:rsidRPr="0006772F">
        <w:t xml:space="preserve"> = .093) and the modified test for standardized mean differences (Pustejovsky &amp; Rodgers, 2019; </w:t>
      </w:r>
      <w:r w:rsidRPr="00363109">
        <w:rPr>
          <w:i/>
          <w:iCs/>
        </w:rPr>
        <w:t>t</w:t>
      </w:r>
      <w:r w:rsidRPr="0006772F">
        <w:t xml:space="preserve">(12) = 1.66, </w:t>
      </w:r>
      <w:r w:rsidRPr="00363109">
        <w:rPr>
          <w:i/>
          <w:iCs/>
        </w:rPr>
        <w:t>p</w:t>
      </w:r>
      <w:r w:rsidRPr="0006772F">
        <w:t xml:space="preserve">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w:t>
      </w:r>
      <w:r w:rsidRPr="00363109">
        <w:rPr>
          <w:i/>
          <w:iCs/>
        </w:rPr>
        <w:t xml:space="preserve">g </w:t>
      </w:r>
      <w:r w:rsidRPr="0006772F">
        <w:t xml:space="preserve">= 0.27 to </w:t>
      </w:r>
      <w:r w:rsidRPr="00363109">
        <w:rPr>
          <w:i/>
          <w:iCs/>
        </w:rPr>
        <w:t>g</w:t>
      </w:r>
      <w:r w:rsidRPr="0006772F">
        <w:t xml:space="preserve"> = 0.21, with the confidence interval then crossing zero (95% CI [−0.04, 0.47]). Small-study effects therefore cannot be ruled out, and the pooled effect should be interpreted with that uncertainty in mind.</w:t>
      </w:r>
    </w:p>
    <w:p w14:paraId="14F3D5D3" w14:textId="304B56D1"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r w:rsidR="00363109">
        <w:rPr>
          <w:rFonts w:hint="eastAsia"/>
        </w:rPr>
        <w:t xml:space="preserve"> and excluded it in the main analysis</w:t>
      </w:r>
      <w:r w:rsidRPr="0006772F">
        <w:t>.</w:t>
      </w:r>
    </w:p>
    <w:p w14:paraId="4B5DB2A5" w14:textId="77777777" w:rsidR="00434E1C" w:rsidRPr="00434E1C" w:rsidRDefault="00434E1C" w:rsidP="00434E1C">
      <w:pPr>
        <w:pStyle w:val="3"/>
      </w:pPr>
      <w:r w:rsidRPr="00434E1C">
        <w:t>5.2.4. Acceptability</w:t>
      </w:r>
    </w:p>
    <w:p w14:paraId="649B36A9" w14:textId="4567F9B7" w:rsidR="00434E1C" w:rsidRPr="00434E1C" w:rsidRDefault="00434E1C" w:rsidP="00434E1C">
      <w:pPr>
        <w:spacing w:after="120" w:line="360" w:lineRule="auto"/>
        <w:ind w:firstLine="360"/>
        <w:jc w:val="both"/>
      </w:pPr>
      <w:r w:rsidRPr="00434E1C">
        <w:t xml:space="preserve">The acceptability finding fits the same deployment </w:t>
      </w:r>
      <w:r w:rsidR="00045918">
        <w:t>dependence</w:t>
      </w:r>
      <w:r w:rsidRPr="00434E1C">
        <w:t xml:space="preserve">.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t>
      </w:r>
      <w:r w:rsidRPr="00434E1C">
        <w:lastRenderedPageBreak/>
        <w:t>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64FA31F1" w:rsidR="0006772F" w:rsidRPr="0006772F" w:rsidRDefault="00434E1C" w:rsidP="00434E1C">
      <w:pPr>
        <w:spacing w:after="120" w:line="360" w:lineRule="auto"/>
        <w:ind w:firstLine="360"/>
        <w:jc w:val="both"/>
        <w:rPr>
          <w:rFonts w:hint="eastAsia"/>
        </w:rPr>
      </w:pPr>
      <w:r w:rsidRPr="00434E1C">
        <w:t xml:space="preserve">The more informative observation concerns where the heterogeneity came from. It was driven almost entirely by O'Dea et al. (2025), the only trial in the upper-right quadrant of the </w:t>
      </w:r>
      <w:proofErr w:type="spellStart"/>
      <w:r w:rsidRPr="00434E1C">
        <w:t>Baujat</w:t>
      </w:r>
      <w:proofErr w:type="spellEnd"/>
      <w:r w:rsidRPr="00434E1C">
        <w:t xml:space="preserve"> plot, and removing it left near-zero between-trial variance (RR = 1.18, I² = 13.6%). Reading the trials in context, the highest differential dropout occurred in the recent, large, naturalistic mobile trials, of which O'Dea et al. (2025) is the clearest example. By contrast, trials conducted in </w:t>
      </w:r>
      <w:proofErr w:type="gramStart"/>
      <w:r w:rsidRPr="00434E1C">
        <w:t>clinical</w:t>
      </w:r>
      <w:proofErr w:type="gramEnd"/>
      <w:r w:rsidRPr="00434E1C">
        <w:t xml:space="preserve"> or school settings</w:t>
      </w:r>
      <w:r w:rsidR="00F930B1">
        <w:rPr>
          <w:rFonts w:hint="eastAsia"/>
        </w:rPr>
        <w:t xml:space="preserve"> </w:t>
      </w:r>
      <w:r w:rsidRPr="00434E1C">
        <w:t>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r w:rsidR="00376AA2">
        <w:rPr>
          <w:rFonts w:hint="eastAsia"/>
        </w:rPr>
        <w:t xml:space="preserve"> </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 xml:space="preserve">First, the eligibility criteria were deliberately constructed to keep the included trials close to the real help-seeking ecology of adolescents, </w:t>
      </w:r>
      <w:proofErr w:type="gramStart"/>
      <w:r w:rsidRPr="00C46AEA">
        <w:t>in particular by</w:t>
      </w:r>
      <w:proofErr w:type="gramEnd"/>
      <w:r w:rsidRPr="00C46AEA">
        <w:t xml:space="preserve">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w:t>
      </w:r>
      <w:proofErr w:type="spellStart"/>
      <w:r w:rsidRPr="00C46AEA">
        <w:t>Ostinelli</w:t>
      </w:r>
      <w:proofErr w:type="spellEnd"/>
      <w:r w:rsidRPr="00C46AEA">
        <w:t xml:space="preserve">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w:t>
      </w:r>
      <w:r w:rsidRPr="00F930B1">
        <w:rPr>
          <w:i/>
          <w:iCs/>
        </w:rPr>
        <w:t>k</w:t>
      </w:r>
      <w:r w:rsidRPr="00C46AEA">
        <w:t xml:space="preserve"> = 3), </w:t>
      </w:r>
      <w:r w:rsidRPr="00C46AEA">
        <w:rPr>
          <w:i/>
          <w:iCs/>
        </w:rPr>
        <w:t>SPARX</w:t>
      </w:r>
      <w:r w:rsidRPr="00C46AEA">
        <w:t xml:space="preserve"> (</w:t>
      </w:r>
      <w:r w:rsidRPr="00F930B1">
        <w:rPr>
          <w:i/>
          <w:iCs/>
        </w:rPr>
        <w:t>k</w:t>
      </w:r>
      <w:r w:rsidRPr="00C46AEA">
        <w:t xml:space="preserve"> = 2), and </w:t>
      </w:r>
      <w:r w:rsidRPr="00C46AEA">
        <w:rPr>
          <w:i/>
          <w:iCs/>
        </w:rPr>
        <w:lastRenderedPageBreak/>
        <w:t>Stressbusters</w:t>
      </w:r>
      <w:r w:rsidRPr="00C46AEA">
        <w:t xml:space="preserve"> (</w:t>
      </w:r>
      <w:r w:rsidRPr="00F930B1">
        <w:rPr>
          <w:i/>
          <w:iCs/>
        </w:rPr>
        <w:t xml:space="preserve">k </w:t>
      </w:r>
      <w:r w:rsidRPr="00C46AEA">
        <w:t xml:space="preserve">= 2). Roughly half of the evidence base therefore comes from three programs, so the component-level and feature-level contrasts are partly confounded with program-level differences. A multilevel meta-analysis that </w:t>
      </w:r>
      <w:proofErr w:type="gramStart"/>
      <w:r w:rsidRPr="00C46AEA">
        <w:t>models</w:t>
      </w:r>
      <w:proofErr w:type="gramEnd"/>
      <w:r w:rsidRPr="00C46AEA">
        <w:t xml:space="preserve"> trials nested within programs would be the appropriate response, but it was not feasible with fourteen trials. This confound should be kept in mind whenever a subgroup difference is interpreted.</w:t>
      </w:r>
    </w:p>
    <w:p w14:paraId="2011DCDC" w14:textId="77777777" w:rsidR="00C46AEA" w:rsidRPr="00C46AEA" w:rsidRDefault="00C46AEA" w:rsidP="00C46AEA">
      <w:pPr>
        <w:spacing w:after="120" w:line="360" w:lineRule="auto"/>
        <w:ind w:firstLine="360"/>
        <w:jc w:val="both"/>
      </w:pPr>
      <w:r w:rsidRPr="00C46AEA">
        <w:t>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6C81C807" w:rsidR="00C46AEA" w:rsidRDefault="00C46AEA" w:rsidP="00C46AEA">
      <w:pPr>
        <w:spacing w:after="120" w:line="360" w:lineRule="auto"/>
        <w:ind w:firstLine="360"/>
        <w:jc w:val="both"/>
      </w:pPr>
      <w:r w:rsidRPr="00C46AEA">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w:t>
      </w:r>
      <w:proofErr w:type="spellStart"/>
      <w:r w:rsidRPr="00C46AEA">
        <w:t>RoB</w:t>
      </w:r>
      <w:proofErr w:type="spellEnd"/>
      <w:r w:rsidRPr="00C46AEA">
        <w:t xml:space="preserve"> 2.0, Domain 2 (deviations from intended interventions) had to be rated as raising some concerns in most included trials. This reflects a structural feature of the field rather than poor conduct of individual trials, because blinding of participants and personnel is barely feasible in</w:t>
      </w:r>
      <w:r w:rsidR="00915C37">
        <w:rPr>
          <w:rFonts w:hint="eastAsia"/>
        </w:rPr>
        <w:t xml:space="preserve"> psychological setting, </w:t>
      </w:r>
      <w:r w:rsidR="00915C37">
        <w:t>especially</w:t>
      </w:r>
      <w:r w:rsidR="00915C37">
        <w:rPr>
          <w:rFonts w:hint="eastAsia"/>
        </w:rPr>
        <w:t xml:space="preserve"> in</w:t>
      </w:r>
      <w:r w:rsidRPr="00C46AEA">
        <w:t xml:space="preserve">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4729A40C" w14:textId="23874BE2" w:rsidR="00E26AE9" w:rsidRPr="003860E3" w:rsidRDefault="003860E3" w:rsidP="00E26AE9">
      <w:pPr>
        <w:spacing w:after="120" w:line="360" w:lineRule="auto"/>
        <w:ind w:firstLine="360"/>
        <w:jc w:val="both"/>
        <w:rPr>
          <w:rFonts w:hint="eastAsia"/>
        </w:rPr>
      </w:pPr>
      <w:r>
        <w:rPr>
          <w:rFonts w:hint="eastAsia"/>
        </w:rPr>
        <w:t>Fourth, o</w:t>
      </w:r>
      <w:r w:rsidRPr="003860E3">
        <w:t>ne limitation concerns the handling of trial registration records during screening.</w:t>
      </w:r>
      <w:r>
        <w:rPr>
          <w:rFonts w:hint="eastAsia"/>
        </w:rPr>
        <w:t xml:space="preserve"> </w:t>
      </w:r>
      <w:r>
        <w:t>T</w:t>
      </w:r>
      <w:r>
        <w:rPr>
          <w:rFonts w:hint="eastAsia"/>
        </w:rPr>
        <w:t xml:space="preserve">he trial registration-only records were excluded during screening when no </w:t>
      </w:r>
      <w:proofErr w:type="gramStart"/>
      <w:r>
        <w:rPr>
          <w:rFonts w:hint="eastAsia"/>
        </w:rPr>
        <w:t>publicly</w:t>
      </w:r>
      <w:proofErr w:type="gramEnd"/>
      <w:r>
        <w:rPr>
          <w:rFonts w:hint="eastAsia"/>
        </w:rPr>
        <w:t xml:space="preserve"> results </w:t>
      </w:r>
      <w:r w:rsidR="00F37C88">
        <w:rPr>
          <w:rFonts w:hint="eastAsia"/>
        </w:rPr>
        <w:t xml:space="preserve">were available </w:t>
      </w:r>
      <w:r>
        <w:rPr>
          <w:rFonts w:hint="eastAsia"/>
        </w:rPr>
        <w:t xml:space="preserve">or </w:t>
      </w:r>
      <w:r w:rsidR="00F37C88">
        <w:rPr>
          <w:rFonts w:hint="eastAsia"/>
        </w:rPr>
        <w:t xml:space="preserve">no </w:t>
      </w:r>
      <w:r>
        <w:rPr>
          <w:rFonts w:hint="eastAsia"/>
        </w:rPr>
        <w:t>extractable outcome were provided. This review did not contact authors to obtain unpublished results. Therefore, some completed but unpublished trials may have been missed</w:t>
      </w:r>
      <w:r w:rsidR="00E26AE9">
        <w:rPr>
          <w:rFonts w:hint="eastAsia"/>
        </w:rPr>
        <w:t>.</w:t>
      </w:r>
    </w:p>
    <w:p w14:paraId="535BA730" w14:textId="489D1B24" w:rsidR="000C3784" w:rsidRDefault="00D450DC" w:rsidP="003860E3">
      <w:pPr>
        <w:pStyle w:val="2"/>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 xml:space="preserve">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w:t>
      </w:r>
      <w:r w:rsidRPr="00C46AEA">
        <w:lastRenderedPageBreak/>
        <w:t>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 xml:space="preserve">First, design around a concrete user. Developers can begin by asking which depressed adolescent a program is </w:t>
      </w:r>
      <w:proofErr w:type="gramStart"/>
      <w:r w:rsidRPr="00C46AEA">
        <w:t>actually meant</w:t>
      </w:r>
      <w:proofErr w:type="gramEnd"/>
      <w:r w:rsidRPr="00C46AEA">
        <w:t xml:space="preserve">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BBBDDF" w:rsidR="00C46AEA" w:rsidRPr="00C46AEA" w:rsidRDefault="00C46AEA" w:rsidP="00C46AEA">
      <w:pPr>
        <w:spacing w:after="120" w:line="360" w:lineRule="auto"/>
        <w:ind w:firstLine="360"/>
        <w:jc w:val="both"/>
      </w:pPr>
      <w:r w:rsidRPr="00C46AEA">
        <w:t xml:space="preserve">Second, build supportive structure into the intervention rather than treating it as a feature of the research setting. The trials with the lowest dropout and the largest effects were typically those with a </w:t>
      </w:r>
      <w:r w:rsidR="00635E5E">
        <w:rPr>
          <w:rFonts w:hint="eastAsia"/>
        </w:rPr>
        <w:t>fixed setting like school</w:t>
      </w:r>
      <w:r w:rsidRPr="00C46AEA">
        <w:t xml:space="preserve">. These conditions are usually present during a trial and absent during real deployment. If a structured setting reliably </w:t>
      </w:r>
      <w:proofErr w:type="gramStart"/>
      <w:r w:rsidRPr="00C46AEA">
        <w:t>improve</w:t>
      </w:r>
      <w:proofErr w:type="gramEnd"/>
      <w:r w:rsidRPr="00C46AEA">
        <w:t xml:space="preser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0A86CC5" w14:textId="024C7AA9" w:rsidR="002F44C5" w:rsidRPr="00C46AEA" w:rsidRDefault="002F44C5" w:rsidP="00C46AEA">
      <w:pPr>
        <w:spacing w:after="120" w:line="360" w:lineRule="auto"/>
        <w:ind w:firstLine="360"/>
        <w:jc w:val="both"/>
        <w:rPr>
          <w:rFonts w:hint="eastAsia"/>
        </w:rPr>
      </w:pPr>
      <w:r w:rsidRPr="002F44C5">
        <w:t>Fourth, future trials should account for the changing digital help-seeking context created by generative AI. Most included trials were designed before large language models became widely available. This matters because newer conversational AI systems differ from earlier rule-based or retrieval-based mental health chatbots: rather than following largely pre-specified dialogue paths, they can provide more open-ended, immediate, and personalized interaction</w:t>
      </w:r>
      <w:r>
        <w:rPr>
          <w:rFonts w:hint="eastAsia"/>
        </w:rPr>
        <w:t xml:space="preserve"> (Li et al., 2023)</w:t>
      </w:r>
      <w:r w:rsidRPr="002F44C5">
        <w:t>. Recent survey evidence suggests that AI chatbots, especially ChatGPT, are already widely used by adolescents, while systematic reviews indicate that generative AI chatbots are promising but still insufficiently evaluated in adolescent and young-adult mental health contexts</w:t>
      </w:r>
      <w:r>
        <w:rPr>
          <w:rFonts w:hint="eastAsia"/>
        </w:rPr>
        <w:t xml:space="preserve"> (Pew Research Center, 2025; Clark et al., 2025)</w:t>
      </w:r>
      <w:r w:rsidRPr="002F44C5">
        <w:t>. This changed context may affect how adolescents experience unguided self-help CBT. Structured, self-paced CBT programs now coexist with more interactive and lower-effort forms of digital emotional support, which may alter expectations for immediacy, personalization, and engagement. Future trials should therefore consider generative AI as part of the broader digital environment when designing interventions and interpreting adherence, engagement, and dropout</w:t>
      </w:r>
      <w:r>
        <w:rPr>
          <w:rFonts w:hint="eastAsia"/>
        </w:rPr>
        <w:t xml:space="preserve"> (Feng et al., 2025)</w:t>
      </w:r>
      <w:r w:rsidRPr="002F44C5">
        <w:t>.</w:t>
      </w:r>
    </w:p>
    <w:p w14:paraId="00C0A49E" w14:textId="3CD07142" w:rsidR="00824877" w:rsidRPr="00094538" w:rsidRDefault="00824877" w:rsidP="00094538">
      <w:pPr>
        <w:pStyle w:val="3"/>
      </w:pPr>
      <w:bookmarkStart w:id="97" w:name="OLE_LINK87"/>
      <w:r w:rsidRPr="00824877">
        <w:t>5.4.2. For researchers conducting meta-analyses of psychological interventions</w:t>
      </w:r>
    </w:p>
    <w:p w14:paraId="4878B3C9" w14:textId="2504A5F8" w:rsidR="00FD0D01" w:rsidRPr="00C63515" w:rsidRDefault="00C46AEA" w:rsidP="0084720D">
      <w:pPr>
        <w:spacing w:after="120" w:line="360" w:lineRule="auto"/>
        <w:ind w:firstLine="360"/>
        <w:jc w:val="both"/>
        <w:rPr>
          <w:rFonts w:hint="eastAsia"/>
        </w:rPr>
      </w:pPr>
      <w:r w:rsidRPr="00C46AEA">
        <w:t xml:space="preserve">Two suggestions are offered for researchers undertaking similar work, including meta-analyses of psychological interventions more broadly. The first is to follow the groups doing frontier methodological </w:t>
      </w:r>
      <w:r w:rsidRPr="00C46AEA">
        <w:lastRenderedPageBreak/>
        <w:t xml:space="preserve">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w:t>
      </w:r>
      <w:proofErr w:type="spellStart"/>
      <w:r w:rsidRPr="00C46AEA">
        <w:t>RoB</w:t>
      </w:r>
      <w:proofErr w:type="spellEnd"/>
      <w:r w:rsidRPr="00C46AEA">
        <w:t xml:space="preserve"> 2 adapted specifically for psychotherapy trials had recently become available (Miguel et al., 2025; metapsy.org/rob). It provides domain-by-domain guidance and a digital rating assistant for exactly the situations that make standard </w:t>
      </w:r>
      <w:proofErr w:type="spellStart"/>
      <w:r w:rsidRPr="00C46AEA">
        <w:t>RoB</w:t>
      </w:r>
      <w:proofErr w:type="spellEnd"/>
      <w:r w:rsidRPr="00C46AEA">
        <w:t xml:space="preserve"> 2 difficult to apply in this field, including the Domain 2 blinding problem. This operationalization was, at the time of writing, still a preprint undergoing peer review, so it was not used for the ratings in the present review, which relied on the standard Cochrane </w:t>
      </w:r>
      <w:proofErr w:type="spellStart"/>
      <w:r w:rsidRPr="00C46AEA">
        <w:t>RoB</w:t>
      </w:r>
      <w:proofErr w:type="spellEnd"/>
      <w:r w:rsidRPr="00C46AEA">
        <w:t xml:space="preserve"> 2 tool. Researchers facing the same difficulties are encouraged to track this development and to adopt such a tool once it is peer-reviewed and validated.</w:t>
      </w:r>
      <w:r w:rsidR="008E39C8">
        <w:rPr>
          <w:rFonts w:hint="eastAsia"/>
        </w:rPr>
        <w:t xml:space="preserve"> </w:t>
      </w:r>
      <w:r w:rsidR="00330755" w:rsidRPr="00330755">
        <w:t>All in all, the researchers of the similar should bear in mind that</w:t>
      </w:r>
      <w:r w:rsidR="00330755">
        <w:rPr>
          <w:rFonts w:hint="eastAsia"/>
        </w:rPr>
        <w:t xml:space="preserve"> </w:t>
      </w:r>
      <w:r w:rsidR="00330755" w:rsidRPr="00330755">
        <w:t xml:space="preserve">psychological interventions are quite different from regular medical interventions that are more prevalent for meta-analysis work, many </w:t>
      </w:r>
      <w:proofErr w:type="gramStart"/>
      <w:r w:rsidR="00330755" w:rsidRPr="00330755">
        <w:t>standard</w:t>
      </w:r>
      <w:proofErr w:type="gramEnd"/>
      <w:r w:rsidR="00330755" w:rsidRPr="00330755">
        <w:t xml:space="preserve"> are not compatible with our works, so additional interpretive work is needed.</w:t>
      </w:r>
    </w:p>
    <w:bookmarkEnd w:id="40"/>
    <w:bookmarkEnd w:id="97"/>
    <w:p w14:paraId="3CD756E0" w14:textId="77777777" w:rsidR="00013C4F" w:rsidRDefault="00013C4F" w:rsidP="00013C4F">
      <w:pPr>
        <w:pStyle w:val="2"/>
      </w:pPr>
      <w:r>
        <w:t>5.6. Conclusion</w:t>
      </w:r>
    </w:p>
    <w:p w14:paraId="34CA77D7" w14:textId="77777777" w:rsidR="00C51F14" w:rsidRDefault="00013C4F" w:rsidP="009E10A8">
      <w:pPr>
        <w:spacing w:after="120" w:line="360" w:lineRule="auto"/>
        <w:ind w:firstLine="360"/>
        <w:jc w:val="both"/>
      </w:pPr>
      <w:bookmarkStart w:id="98" w:name="OLE_LINK99"/>
      <w:r>
        <w:rPr>
          <w:rFonts w:asciiTheme="minorEastAsia" w:hAnsiTheme="minorEastAsia" w:hint="eastAsia"/>
        </w:rPr>
        <w:t>T</w:t>
      </w:r>
      <w:r w:rsidRPr="00824877">
        <w:t>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w:t>
      </w:r>
      <w:r w:rsidRPr="00330755">
        <w:rPr>
          <w:i/>
          <w:iCs/>
        </w:rPr>
        <w:t>g</w:t>
      </w:r>
      <w:r w:rsidRPr="00824877">
        <w:t xml:space="preserve"> = 0.27), an effect that reached the upper part of the small range by current benchmarks for this population and that proved robust to leave-one-out and sensitivity analyses, although small-study effects could not be entirely ruled out. </w:t>
      </w:r>
    </w:p>
    <w:p w14:paraId="6113CFA5" w14:textId="77777777" w:rsidR="00C51F14" w:rsidRDefault="00013C4F" w:rsidP="009E10A8">
      <w:pPr>
        <w:spacing w:after="120" w:line="360" w:lineRule="auto"/>
        <w:ind w:firstLine="360"/>
        <w:jc w:val="both"/>
      </w:pPr>
      <w:r w:rsidRPr="00824877">
        <w:t>The answer to the second question is more tentative. The pooled follow-up effects were smaller but still positive, yet because they were drawn from shifting subsets of trials rather than from the same trials measured repeatedly, the durability of the effect is promising rather than established.</w:t>
      </w:r>
      <w:r w:rsidR="00330755">
        <w:rPr>
          <w:rFonts w:hint="eastAsia"/>
        </w:rPr>
        <w:t xml:space="preserve"> </w:t>
      </w:r>
    </w:p>
    <w:p w14:paraId="3A7851F2" w14:textId="77777777" w:rsidR="00C51F14" w:rsidRDefault="00C51F14" w:rsidP="00C51F14">
      <w:pPr>
        <w:spacing w:after="120" w:line="360" w:lineRule="auto"/>
        <w:ind w:firstLine="360"/>
        <w:jc w:val="both"/>
      </w:pPr>
      <w:r w:rsidRPr="00C51F14">
        <w:t xml:space="preserve">The answer to the third question is the most informative part of this work, even though no single moderator reached statistical significance. The effect of unguided self-help CBT does not appear to reside in any one program, any one component, or any one form of minimal support. Rather, it appears to be </w:t>
      </w:r>
      <w:proofErr w:type="gramStart"/>
      <w:r w:rsidRPr="00C51F14">
        <w:t>context-dependent</w:t>
      </w:r>
      <w:proofErr w:type="gramEnd"/>
      <w:r w:rsidRPr="00C51F14">
        <w:t xml:space="preserve">. Among trials conducted outside routine clinical services, larger effects tended to occur with a bounded setting, a clearly defined or high-need target group, and a close fit between the program and its intended users. By contrast, the clinically embedded trials produced uniformly small effects, even </w:t>
      </w:r>
      <w:r w:rsidRPr="00C51F14">
        <w:lastRenderedPageBreak/>
        <w:t>though they enrolled clearly defined, high-need adolescents. This likely reflects the fact that these studies also involved more severe or help-seeking samples, more active comparators, and less bounded delivery contexts.</w:t>
      </w:r>
    </w:p>
    <w:p w14:paraId="70690A8A" w14:textId="20D96E15" w:rsidR="00C51F14" w:rsidRDefault="00C51F14" w:rsidP="00C51F14">
      <w:pPr>
        <w:spacing w:after="120" w:line="360" w:lineRule="auto"/>
        <w:ind w:firstLine="360"/>
        <w:jc w:val="both"/>
      </w:pPr>
      <w:r w:rsidRPr="00C51F14">
        <w:t>The same logic helps explain the acceptability findings and the apparent subgroup contrasts. Dropout was highest in more naturalistic and autonomous mobile trials, whereas school- or clinic-based studies tended to retain participants better. Similarly, apparent subgroup differences were partly shaped by a small set of influential high-effect trials and by correlated study features, rather than by any single moderator such as comparator type. The practical implication is that the field faces an accessibility-effectiveness tension: unguided formats may increase reach, but their effects and retention appear to weaken when they move closer to fully autonomous real-world use.</w:t>
      </w:r>
    </w:p>
    <w:p w14:paraId="2FC7CE43" w14:textId="2FF8A3C9" w:rsidR="00F207B2" w:rsidRPr="00C51F14" w:rsidRDefault="00F207B2" w:rsidP="00C51F14">
      <w:pPr>
        <w:spacing w:after="120" w:line="360" w:lineRule="auto"/>
        <w:ind w:firstLine="360"/>
        <w:jc w:val="both"/>
      </w:pPr>
      <w:r w:rsidRPr="00F207B2">
        <w:t xml:space="preserve">The practical implication is </w:t>
      </w:r>
      <w:r>
        <w:rPr>
          <w:rFonts w:hint="eastAsia"/>
        </w:rPr>
        <w:t>that fu</w:t>
      </w:r>
      <w:r w:rsidRPr="00F207B2">
        <w:t>ture work should therefore focus on designing unguided interventions around concrete users and embedding enough structure to support engagement without losing the accessibility that makes these formats valuable.</w:t>
      </w:r>
    </w:p>
    <w:bookmarkEnd w:id="98"/>
    <w:p w14:paraId="39F847D1" w14:textId="77777777" w:rsidR="000C3784" w:rsidRDefault="00D450DC">
      <w:pPr>
        <w:pStyle w:val="1"/>
        <w:pageBreakBefore/>
      </w:pPr>
      <w:r>
        <w:lastRenderedPageBreak/>
        <w:t>References</w:t>
      </w:r>
    </w:p>
    <w:p w14:paraId="274323AF" w14:textId="5A98F3E7" w:rsidR="0071246E" w:rsidRDefault="0071246E" w:rsidP="0071246E">
      <w:pPr>
        <w:spacing w:after="120" w:line="360" w:lineRule="auto"/>
        <w:ind w:left="720" w:hanging="720"/>
      </w:pPr>
      <w:bookmarkStart w:id="99" w:name="_Hlk231486327"/>
      <w:r w:rsidRPr="0071246E">
        <w:t xml:space="preserve">Ackerson, J., Scogin, F., McKendree-Smith, N., &amp; Lyman, R. D. (1998). Cognitive bibliotherapy for mild and moderate adolescent depressive symptomatology. </w:t>
      </w:r>
      <w:r w:rsidRPr="0071246E">
        <w:rPr>
          <w:i/>
          <w:iCs/>
        </w:rPr>
        <w:t>Journal of Consulting and Clinical Psychology, 66</w:t>
      </w:r>
      <w:r w:rsidRPr="0071246E">
        <w:t xml:space="preserve">(4), 685–690. </w:t>
      </w:r>
      <w:hyperlink r:id="rId21" w:history="1">
        <w:r w:rsidR="00871D9C" w:rsidRPr="00EB3CA8">
          <w:rPr>
            <w:rStyle w:val="a5"/>
          </w:rPr>
          <w:t>https://doi.org/10.1037/0022-006X.66.4.685</w:t>
        </w:r>
      </w:hyperlink>
    </w:p>
    <w:p w14:paraId="5190D345" w14:textId="61A82A8F" w:rsidR="000C3784" w:rsidRPr="008074FA" w:rsidRDefault="00D450DC">
      <w:pPr>
        <w:spacing w:after="120" w:line="360" w:lineRule="auto"/>
        <w:ind w:left="720" w:hanging="720"/>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8074FA">
        <w:rPr>
          <w:rFonts w:eastAsia="Times New Roman"/>
        </w:rPr>
        <w:t>American Psychiatric Publishing.</w:t>
      </w:r>
    </w:p>
    <w:p w14:paraId="24A7A0E0" w14:textId="2ABED6C2" w:rsidR="00874DC1" w:rsidRPr="008074FA" w:rsidRDefault="00874DC1">
      <w:pPr>
        <w:spacing w:after="120" w:line="360" w:lineRule="auto"/>
        <w:ind w:left="720" w:hanging="720"/>
      </w:pPr>
      <w:r w:rsidRPr="00874DC1">
        <w:t xml:space="preserve">Angold, A., Costello, E. J., Messer, S. C., Pickles, A., Winder, F., &amp; Silver, D. (1995). Development of a short questionnaire for use in epidemiological studies of depression in children and adolescents. </w:t>
      </w:r>
      <w:r w:rsidRPr="00874DC1">
        <w:rPr>
          <w:i/>
          <w:iCs/>
        </w:rPr>
        <w:t>International Journal of Methods in Psychiatric Research</w:t>
      </w:r>
      <w:r w:rsidRPr="00874DC1">
        <w:t xml:space="preserve">, </w:t>
      </w:r>
      <w:r w:rsidRPr="00874DC1">
        <w:rPr>
          <w:i/>
          <w:iCs/>
        </w:rPr>
        <w:t>5</w:t>
      </w:r>
      <w:r w:rsidRPr="00874DC1">
        <w:t>, 237–249.</w:t>
      </w:r>
    </w:p>
    <w:p w14:paraId="3C05F07C" w14:textId="77777777" w:rsidR="000C3784" w:rsidRDefault="00D450DC">
      <w:pPr>
        <w:spacing w:after="120" w:line="360" w:lineRule="auto"/>
        <w:ind w:left="720" w:hanging="720"/>
      </w:pPr>
      <w:r w:rsidRPr="008074FA">
        <w:rPr>
          <w:rFonts w:eastAsia="Times New Roman"/>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65F4B048" w14:textId="121EE627" w:rsidR="007F3E55" w:rsidRPr="007F3E55" w:rsidRDefault="007F3E55">
      <w:pPr>
        <w:spacing w:after="120" w:line="360" w:lineRule="auto"/>
        <w:ind w:left="720" w:hanging="720"/>
      </w:pPr>
      <w:proofErr w:type="spellStart"/>
      <w:r w:rsidRPr="007F3E55">
        <w:t>Baujat</w:t>
      </w:r>
      <w:proofErr w:type="spellEnd"/>
      <w:r w:rsidRPr="007F3E55">
        <w:t xml:space="preserve">, B., Mahé, C., </w:t>
      </w:r>
      <w:proofErr w:type="spellStart"/>
      <w:r w:rsidRPr="007F3E55">
        <w:t>Pignon</w:t>
      </w:r>
      <w:proofErr w:type="spellEnd"/>
      <w:r w:rsidRPr="007F3E55">
        <w:t xml:space="preserve">, J.-P., &amp; Hill, C. (2002). A graphical method for exploring heterogeneity in meta-analyses: Application to a meta-analysis of 65 trials. </w:t>
      </w:r>
      <w:r w:rsidRPr="007F3E55">
        <w:rPr>
          <w:i/>
          <w:iCs/>
        </w:rPr>
        <w:t>Statistics in Medicine, 21</w:t>
      </w:r>
      <w:r w:rsidRPr="007F3E55">
        <w:t xml:space="preserve">(18), 2641–2652. </w:t>
      </w:r>
      <w:hyperlink r:id="rId22" w:tgtFrame="_new" w:history="1">
        <w:r w:rsidRPr="007F3E55">
          <w:rPr>
            <w:rStyle w:val="a5"/>
          </w:rPr>
          <w:t>https://doi.org/10.1002/sim.1221</w:t>
        </w:r>
      </w:hyperlink>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695FFE96" w14:textId="77777777" w:rsidR="00874DC1" w:rsidRDefault="00874DC1">
      <w:pPr>
        <w:spacing w:after="120" w:line="360" w:lineRule="auto"/>
        <w:ind w:left="720" w:hanging="720"/>
      </w:pPr>
      <w:r w:rsidRPr="00874DC1">
        <w:t>Beck, A. T., Steer, R. A., &amp; Brown, G. K. (1996). Manual for the Beck Depression Inventory-II. The Psychological Corporation.</w:t>
      </w:r>
    </w:p>
    <w:p w14:paraId="7AA9EB8F" w14:textId="3174D01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0BBBA6D6" w14:textId="4F4B2851" w:rsidR="00DD2E35" w:rsidRDefault="00DD2E35">
      <w:pPr>
        <w:spacing w:after="120" w:line="360" w:lineRule="auto"/>
        <w:ind w:left="720" w:hanging="720"/>
      </w:pPr>
      <w:r w:rsidRPr="00B72CF8">
        <w:t xml:space="preserve">Borenstein, M., Higgins, J. P. T., Hedges, L. V., &amp; Rothstein, H. R. (2017). </w:t>
      </w:r>
      <w:r w:rsidRPr="00DD2E35">
        <w:t xml:space="preserve">Basics of meta-analysis: I² is not an absolute measure of heterogeneity. </w:t>
      </w:r>
      <w:r w:rsidRPr="00DD2E35">
        <w:rPr>
          <w:i/>
          <w:iCs/>
        </w:rPr>
        <w:t>Research Synthesis Methods, 8</w:t>
      </w:r>
      <w:r w:rsidRPr="00DD2E35">
        <w:t xml:space="preserve">(1), 5–18. </w:t>
      </w:r>
      <w:hyperlink r:id="rId23" w:history="1">
        <w:r w:rsidRPr="00DD2E35">
          <w:rPr>
            <w:rStyle w:val="a5"/>
          </w:rPr>
          <w:t>https://doi.org/10.1002/jrsm.1230</w:t>
        </w:r>
      </w:hyperlink>
    </w:p>
    <w:p w14:paraId="08DFEECC" w14:textId="4D2AD9CA" w:rsidR="0056192E" w:rsidRPr="00DD2E35" w:rsidRDefault="0056192E">
      <w:pPr>
        <w:spacing w:after="120" w:line="360" w:lineRule="auto"/>
        <w:ind w:left="720" w:hanging="720"/>
      </w:pPr>
      <w:r w:rsidRPr="0056192E">
        <w:t xml:space="preserve">Clark, A. (2025). The ability of AI therapy bots to set limits with distressed adolescents: Simulation-based comparison study. </w:t>
      </w:r>
      <w:r w:rsidRPr="0056192E">
        <w:rPr>
          <w:i/>
          <w:iCs/>
        </w:rPr>
        <w:t>JMIR Mental Health, 12</w:t>
      </w:r>
      <w:r w:rsidRPr="0056192E">
        <w:t>, e78414.</w:t>
      </w:r>
    </w:p>
    <w:p w14:paraId="20F675A4" w14:textId="77777777" w:rsidR="000C3784" w:rsidRDefault="00D450DC">
      <w:pPr>
        <w:spacing w:after="120" w:line="360" w:lineRule="auto"/>
        <w:ind w:left="720" w:hanging="720"/>
      </w:pPr>
      <w:r>
        <w:rPr>
          <w:rFonts w:eastAsia="Times New Roman"/>
        </w:rPr>
        <w:lastRenderedPageBreak/>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FAF020C" w14:textId="5FBDAC3F" w:rsidR="00013C4F" w:rsidRPr="00013C4F" w:rsidRDefault="00013C4F">
      <w:pPr>
        <w:spacing w:after="120" w:line="360" w:lineRule="auto"/>
        <w:ind w:left="720" w:hanging="720"/>
      </w:pPr>
      <w:r w:rsidRPr="00013C4F">
        <w:t xml:space="preserve">Cuijpers, P., Turner, E. H., Koole, S. L., van </w:t>
      </w:r>
      <w:proofErr w:type="spellStart"/>
      <w:r w:rsidRPr="00013C4F">
        <w:t>Dijke</w:t>
      </w:r>
      <w:proofErr w:type="spellEnd"/>
      <w:r w:rsidRPr="00013C4F">
        <w:t xml:space="preserve">, A., &amp; Smit, F. (2014). What is the threshold for a clinically relevant effect? The case of major depressive disorders. </w:t>
      </w:r>
      <w:r w:rsidRPr="00013C4F">
        <w:rPr>
          <w:i/>
          <w:iCs/>
        </w:rPr>
        <w:t>Depression and Anxiety, 31</w:t>
      </w:r>
      <w:r w:rsidRPr="00013C4F">
        <w:t>(5), 374–378. https://doi.org/10.1002/da.22249</w:t>
      </w:r>
    </w:p>
    <w:p w14:paraId="75D73DDF" w14:textId="541CD8FA" w:rsidR="00B203C7" w:rsidRPr="00B203C7" w:rsidRDefault="00B203C7">
      <w:pPr>
        <w:spacing w:after="120" w:line="360" w:lineRule="auto"/>
        <w:ind w:left="720" w:hanging="720"/>
      </w:pPr>
      <w:r w:rsidRPr="00B203C7">
        <w:t xml:space="preserve">Cuijpers, P. (2016). </w:t>
      </w:r>
      <w:r w:rsidRPr="00B203C7">
        <w:rPr>
          <w:i/>
          <w:iCs/>
        </w:rPr>
        <w:t>Meta-analyses in mental health research: A practical guide</w:t>
      </w:r>
      <w:r w:rsidRPr="00B203C7">
        <w:t xml:space="preserve">. Pim Cuijpers </w:t>
      </w:r>
      <w:proofErr w:type="spellStart"/>
      <w:r w:rsidRPr="00B203C7">
        <w:t>Uitgeverij</w:t>
      </w:r>
      <w:proofErr w:type="spellEnd"/>
      <w:r w:rsidRPr="00B203C7">
        <w:t>.</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1A9E970" w14:textId="7ED78E57" w:rsidR="0054675C" w:rsidRPr="0054675C" w:rsidRDefault="0054675C">
      <w:pPr>
        <w:spacing w:after="120" w:line="360" w:lineRule="auto"/>
        <w:ind w:left="720" w:hanging="720"/>
      </w:pPr>
      <w:r w:rsidRPr="00B72CF8">
        <w:t xml:space="preserve">da Costa, B. R., </w:t>
      </w:r>
      <w:proofErr w:type="spellStart"/>
      <w:r w:rsidRPr="00B72CF8">
        <w:t>Nüesch</w:t>
      </w:r>
      <w:proofErr w:type="spellEnd"/>
      <w:r w:rsidRPr="00B72CF8">
        <w:t xml:space="preserve">, E., </w:t>
      </w:r>
      <w:proofErr w:type="spellStart"/>
      <w:r w:rsidRPr="00B72CF8">
        <w:t>Rutjes</w:t>
      </w:r>
      <w:proofErr w:type="spellEnd"/>
      <w:r w:rsidRPr="00B72CF8">
        <w:t xml:space="preserve">, A. W., Johnston, B. C., Reichenbach, S., Trelle, S., Guyatt, G. H., &amp; </w:t>
      </w:r>
      <w:proofErr w:type="spellStart"/>
      <w:r w:rsidRPr="00B72CF8">
        <w:t>Jüni</w:t>
      </w:r>
      <w:proofErr w:type="spellEnd"/>
      <w:r w:rsidRPr="00B72CF8">
        <w:t xml:space="preserve">, P. (2013). </w:t>
      </w:r>
      <w:r w:rsidRPr="0054675C">
        <w:t xml:space="preserve">Combining follow-up and change data is valid in meta-analyses of continuous outcomes: A meta-epidemiological study. </w:t>
      </w:r>
      <w:r w:rsidRPr="0054675C">
        <w:rPr>
          <w:i/>
          <w:iCs/>
        </w:rPr>
        <w:t>Journal of Clinical Epidemiology, 66</w:t>
      </w:r>
      <w:r w:rsidRPr="0054675C">
        <w:t>(8), 847–855. https://doi.org/10.1016/j.jclinepi.2013.03.009</w:t>
      </w:r>
    </w:p>
    <w:p w14:paraId="05EFD091" w14:textId="77777777" w:rsidR="000C3784" w:rsidRDefault="00D450DC">
      <w:pPr>
        <w:spacing w:after="120" w:line="360" w:lineRule="auto"/>
        <w:ind w:left="720" w:hanging="720"/>
      </w:pPr>
      <w:r w:rsidRPr="00B72CF8">
        <w:rPr>
          <w:rFonts w:eastAsia="Times New Roman"/>
          <w:lang w:val="de-DE"/>
        </w:rPr>
        <w:t xml:space="preserve">Egger, M., Davey Smith, G., Schneider, M., &amp; Minder, C. (1997). </w:t>
      </w:r>
      <w:r>
        <w:rPr>
          <w:rFonts w:eastAsia="Times New Roman"/>
        </w:rPr>
        <w:t xml:space="preserve">Bias in meta-analysis detected by a simple, graphical test. </w:t>
      </w:r>
      <w:r>
        <w:rPr>
          <w:rFonts w:eastAsia="Times New Roman"/>
          <w:i/>
          <w:iCs/>
        </w:rPr>
        <w:t>BMJ, 315</w:t>
      </w:r>
      <w:r>
        <w:rPr>
          <w:rFonts w:eastAsia="Times New Roman"/>
        </w:rPr>
        <w:t>(7109), 629–634.</w:t>
      </w:r>
    </w:p>
    <w:p w14:paraId="6CFA8A57" w14:textId="109895CA" w:rsidR="00874DC1" w:rsidRDefault="00874DC1">
      <w:pPr>
        <w:spacing w:after="120" w:line="360" w:lineRule="auto"/>
        <w:ind w:left="720" w:hanging="720"/>
      </w:pPr>
      <w:r w:rsidRPr="00874DC1">
        <w:t xml:space="preserve">Eaton, W. W., </w:t>
      </w:r>
      <w:proofErr w:type="spellStart"/>
      <w:r w:rsidRPr="00874DC1">
        <w:t>Muntaner</w:t>
      </w:r>
      <w:proofErr w:type="spellEnd"/>
      <w:r w:rsidRPr="00874DC1">
        <w:t xml:space="preserve">, C., Smith, C., Tien, A., &amp; Ybarra, M. (2004). Center for Epidemiologic Studies Depression Scale: Review and revision (CESD and CESD-R). In M. E. </w:t>
      </w:r>
      <w:proofErr w:type="spellStart"/>
      <w:r w:rsidRPr="00874DC1">
        <w:t>Maruish</w:t>
      </w:r>
      <w:proofErr w:type="spellEnd"/>
      <w:r w:rsidRPr="00874DC1">
        <w:t xml:space="preserve"> (Ed.), </w:t>
      </w:r>
      <w:r w:rsidRPr="00874DC1">
        <w:rPr>
          <w:i/>
          <w:iCs/>
        </w:rPr>
        <w:t>The use of psychological testing for treatment planning and outcomes assessment</w:t>
      </w:r>
      <w:r w:rsidRPr="00874DC1">
        <w:t xml:space="preserve"> (3rd ed., pp. 363–377). Mahwah, NJ: Lawrence Erlbaum.</w:t>
      </w:r>
    </w:p>
    <w:p w14:paraId="6C938CBB" w14:textId="621BD96E" w:rsidR="00D4058C" w:rsidRPr="00874DC1" w:rsidRDefault="00D4058C">
      <w:pPr>
        <w:spacing w:after="120" w:line="360" w:lineRule="auto"/>
        <w:ind w:left="720" w:hanging="720"/>
      </w:pPr>
      <w:r w:rsidRPr="00D4058C">
        <w:t xml:space="preserve">Feng, X., Tian, L., Ho, G. W. K., Yorke, J., &amp; Hui, V. (2025). The effectiveness of AI chatbots in alleviating mental distress and promoting health behaviors among adolescents and young adults: Systematic review and meta-analysis. </w:t>
      </w:r>
      <w:r w:rsidRPr="00D4058C">
        <w:rPr>
          <w:i/>
          <w:iCs/>
        </w:rPr>
        <w:t>Journal of Medical Internet Research, 27</w:t>
      </w:r>
      <w:r w:rsidRPr="00D4058C">
        <w:t>, e79850.</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Default="006F24BF">
      <w:pPr>
        <w:spacing w:after="120" w:line="360" w:lineRule="auto"/>
        <w:ind w:left="720" w:hanging="720"/>
      </w:pPr>
      <w:r w:rsidRPr="006F24BF">
        <w:t xml:space="preserve">Furukawa, T. A., Noma, H., Caldwell, D. M., </w:t>
      </w:r>
      <w:proofErr w:type="spellStart"/>
      <w:r w:rsidRPr="006F24BF">
        <w:t>Honyashiki</w:t>
      </w:r>
      <w:proofErr w:type="spellEnd"/>
      <w:r w:rsidRPr="006F24BF">
        <w:t xml:space="preserve">, M., Shinohara, K., Imai, H., Chen, P., </w:t>
      </w:r>
      <w:proofErr w:type="spellStart"/>
      <w:r w:rsidRPr="006F24BF">
        <w:t>Hunot</w:t>
      </w:r>
      <w:proofErr w:type="spellEnd"/>
      <w:r w:rsidRPr="006F24BF">
        <w:t xml:space="preserve">, V., &amp; Churchill, R. (2014). Waiting list may be a nocebo condition in psychotherapy trials: a contribution from network meta-analysis. </w:t>
      </w:r>
      <w:r w:rsidRPr="006F24BF">
        <w:rPr>
          <w:i/>
          <w:iCs/>
        </w:rPr>
        <w:t xml:space="preserve">Acta </w:t>
      </w:r>
      <w:proofErr w:type="spellStart"/>
      <w:r w:rsidRPr="006F24BF">
        <w:rPr>
          <w:i/>
          <w:iCs/>
        </w:rPr>
        <w:t>Psychiatrica</w:t>
      </w:r>
      <w:proofErr w:type="spellEnd"/>
      <w:r w:rsidRPr="006F24BF">
        <w:rPr>
          <w:i/>
          <w:iCs/>
        </w:rPr>
        <w:t xml:space="preserve"> Scandinavica, 130</w:t>
      </w:r>
      <w:r w:rsidRPr="006F24BF">
        <w:t xml:space="preserve">(3), 181–192. </w:t>
      </w:r>
      <w:hyperlink r:id="rId24" w:history="1">
        <w:r w:rsidRPr="006F24BF">
          <w:rPr>
            <w:rStyle w:val="a5"/>
          </w:rPr>
          <w:t>https://doi.org/10.1111/acps.12275</w:t>
        </w:r>
      </w:hyperlink>
    </w:p>
    <w:p w14:paraId="1F5A76E9" w14:textId="5FFD5E26" w:rsidR="00742840" w:rsidRPr="006F24BF" w:rsidRDefault="00742840">
      <w:pPr>
        <w:spacing w:after="120" w:line="360" w:lineRule="auto"/>
        <w:ind w:left="720" w:hanging="720"/>
      </w:pPr>
      <w:r w:rsidRPr="00742840">
        <w:lastRenderedPageBreak/>
        <w:t xml:space="preserve">Grist, R., Croker, A., Denne, M., &amp; Stallard, P. (2019). Technology delivered interventions for depression and anxiety in children and adolescents: A systematic review and meta-analysis. </w:t>
      </w:r>
      <w:r w:rsidRPr="00742840">
        <w:rPr>
          <w:i/>
          <w:iCs/>
        </w:rPr>
        <w:t>Clinical Child and Family Psychology Review, 22</w:t>
      </w:r>
      <w:r w:rsidRPr="00742840">
        <w:t xml:space="preserve">, 147–171. </w:t>
      </w:r>
      <w:hyperlink r:id="rId25" w:history="1">
        <w:r w:rsidRPr="00742840">
          <w:rPr>
            <w:rStyle w:val="a5"/>
          </w:rPr>
          <w:t>https://doi.org/10.1007/s10567-018-0271-8</w:t>
        </w:r>
      </w:hyperlink>
    </w:p>
    <w:p w14:paraId="62629774" w14:textId="0F375401" w:rsid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6" w:tgtFrame="_new" w:history="1">
        <w:r w:rsidRPr="00225D00">
          <w:rPr>
            <w:rStyle w:val="a5"/>
          </w:rPr>
          <w:t>https://doi.org/10.1186/1471-244X-10-113</w:t>
        </w:r>
      </w:hyperlink>
    </w:p>
    <w:p w14:paraId="19A656F2" w14:textId="05E84B6E" w:rsidR="00874DC1" w:rsidRDefault="00874DC1">
      <w:pPr>
        <w:spacing w:after="120" w:line="360" w:lineRule="auto"/>
        <w:ind w:left="720" w:hanging="720"/>
      </w:pPr>
      <w:r w:rsidRPr="00874DC1">
        <w:t xml:space="preserve">Hamilton, M. (1960). A rating scale for depression. </w:t>
      </w:r>
      <w:r w:rsidRPr="00874DC1">
        <w:rPr>
          <w:i/>
          <w:iCs/>
        </w:rPr>
        <w:t>Journal of Neurology, Neurosurgery, and Psychiatry</w:t>
      </w:r>
      <w:r w:rsidRPr="00874DC1">
        <w:t xml:space="preserve">, </w:t>
      </w:r>
      <w:r w:rsidRPr="00874DC1">
        <w:rPr>
          <w:i/>
          <w:iCs/>
        </w:rPr>
        <w:t>23</w:t>
      </w:r>
      <w:r w:rsidRPr="00874DC1">
        <w:t>, 56–62.</w:t>
      </w:r>
    </w:p>
    <w:p w14:paraId="4EC98328" w14:textId="2CA211DB" w:rsidR="00107407" w:rsidRDefault="00107407">
      <w:pPr>
        <w:spacing w:after="120" w:line="360" w:lineRule="auto"/>
        <w:ind w:left="720" w:hanging="720"/>
      </w:pPr>
      <w:r w:rsidRPr="00107407">
        <w:t xml:space="preserve">Harrer, M., Cuijpers, P., Furukawa, T. A., &amp; Ebert, D. D. (2021). </w:t>
      </w:r>
      <w:r w:rsidRPr="00107407">
        <w:rPr>
          <w:i/>
          <w:iCs/>
        </w:rPr>
        <w:t>Doing meta-analysis with R: A hands-on guide</w:t>
      </w:r>
      <w:r w:rsidRPr="00107407">
        <w:t>. Chapman &amp; Hall/CRC Press.</w:t>
      </w:r>
    </w:p>
    <w:p w14:paraId="6DABAC12" w14:textId="4CCF5369" w:rsidR="0054675C" w:rsidRPr="0054675C" w:rsidRDefault="0054675C" w:rsidP="0054675C">
      <w:pPr>
        <w:spacing w:after="120" w:line="360" w:lineRule="auto"/>
        <w:ind w:left="720" w:hanging="720"/>
      </w:pPr>
      <w:r w:rsidRPr="00B72CF8">
        <w:t xml:space="preserve">Harrer, M., Miguel, C., Luo, Y., </w:t>
      </w:r>
      <w:proofErr w:type="spellStart"/>
      <w:r w:rsidRPr="00B72CF8">
        <w:t>Ostinelli</w:t>
      </w:r>
      <w:proofErr w:type="spellEnd"/>
      <w:r w:rsidRPr="00B72CF8">
        <w:t xml:space="preserve">, E. G., </w:t>
      </w:r>
      <w:proofErr w:type="spellStart"/>
      <w:r w:rsidRPr="00B72CF8">
        <w:t>Karyotaki</w:t>
      </w:r>
      <w:proofErr w:type="spellEnd"/>
      <w:r w:rsidRPr="00B72CF8">
        <w:t xml:space="preserve">, E., Leucht, S., Furukawa, T. A., &amp; Cuijpers, P. (2025). </w:t>
      </w:r>
      <w:r w:rsidRPr="0054675C">
        <w:t xml:space="preserve">Standardized effect sizes are far from “standardized”: A primer and empirical illustration in depression psychotherapy meta-analyses. </w:t>
      </w:r>
      <w:r w:rsidRPr="0054675C">
        <w:rPr>
          <w:i/>
          <w:iCs/>
        </w:rPr>
        <w:t>PLOS Mental Health, 2</w:t>
      </w:r>
      <w:r w:rsidRPr="0054675C">
        <w:t xml:space="preserve">(7), Article e0000347. </w:t>
      </w:r>
      <w:hyperlink r:id="rId27" w:tgtFrame="_new" w:history="1">
        <w:r w:rsidRPr="0054675C">
          <w:rPr>
            <w:rStyle w:val="a5"/>
          </w:rPr>
          <w:t>https://doi.org/10.1371/journal.pmen.0000347</w:t>
        </w:r>
      </w:hyperlink>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5C19437C" w14:textId="06DEBF73" w:rsidR="00871D9C" w:rsidRDefault="00871D9C">
      <w:pPr>
        <w:spacing w:after="120" w:line="360" w:lineRule="auto"/>
        <w:ind w:left="720" w:hanging="720"/>
      </w:pPr>
      <w:proofErr w:type="spellStart"/>
      <w:r w:rsidRPr="00871D9C">
        <w:t>IntHout</w:t>
      </w:r>
      <w:proofErr w:type="spellEnd"/>
      <w:r w:rsidRPr="00871D9C">
        <w:t>, J., Ioannidis, J. P. A., &amp; Borm, G. F. (2014). The Hartung-Knapp-</w:t>
      </w:r>
      <w:proofErr w:type="spellStart"/>
      <w:r w:rsidRPr="00871D9C">
        <w:t>Sidik</w:t>
      </w:r>
      <w:proofErr w:type="spellEnd"/>
      <w:r w:rsidRPr="00871D9C">
        <w:t xml:space="preserve">-Jonkman method for random effects meta-analysis is straightforward and considerably outperforms the standard </w:t>
      </w:r>
      <w:proofErr w:type="spellStart"/>
      <w:r w:rsidRPr="00871D9C">
        <w:t>DerSimonian</w:t>
      </w:r>
      <w:proofErr w:type="spellEnd"/>
      <w:r w:rsidRPr="00871D9C">
        <w:t xml:space="preserve">-Laird method. </w:t>
      </w:r>
      <w:r w:rsidRPr="00871D9C">
        <w:rPr>
          <w:i/>
          <w:iCs/>
        </w:rPr>
        <w:t>BMC Medical Research Methodology, 14</w:t>
      </w:r>
      <w:r w:rsidRPr="00871D9C">
        <w:t xml:space="preserve">, Article 25. </w:t>
      </w:r>
      <w:hyperlink r:id="rId28" w:tgtFrame="_new" w:history="1">
        <w:r w:rsidRPr="00871D9C">
          <w:rPr>
            <w:rStyle w:val="a5"/>
          </w:rPr>
          <w:t>https://doi.org/10.1186/1471-2288-14-25</w:t>
        </w:r>
      </w:hyperlink>
    </w:p>
    <w:p w14:paraId="3DD45CA7" w14:textId="1FDB7931" w:rsidR="00092C7B" w:rsidRPr="00871D9C" w:rsidRDefault="00092C7B">
      <w:pPr>
        <w:spacing w:after="120" w:line="360" w:lineRule="auto"/>
        <w:ind w:left="720" w:hanging="720"/>
      </w:pPr>
      <w:proofErr w:type="spellStart"/>
      <w:r w:rsidRPr="00092C7B">
        <w:t>IntHout</w:t>
      </w:r>
      <w:proofErr w:type="spellEnd"/>
      <w:r w:rsidRPr="00092C7B">
        <w:t xml:space="preserve">, J., Ioannidis, J. P. A., Rovers, M. M., &amp; Goeman, J. J. (2016). Plea for routinely presenting prediction intervals in meta-analysis. </w:t>
      </w:r>
      <w:r w:rsidRPr="00092C7B">
        <w:rPr>
          <w:i/>
          <w:iCs/>
        </w:rPr>
        <w:t>BMJ Open, 6</w:t>
      </w:r>
      <w:r w:rsidRPr="00092C7B">
        <w:t xml:space="preserve">(7), Article e010247. </w:t>
      </w:r>
      <w:hyperlink r:id="rId29" w:history="1">
        <w:r w:rsidRPr="00092C7B">
          <w:rPr>
            <w:rStyle w:val="a5"/>
          </w:rPr>
          <w:t>https://doi.org/10.1136/bmjopen-2015-010247</w:t>
        </w:r>
      </w:hyperlink>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4FCEE164" w14:textId="18B286CE" w:rsidR="00874DC1" w:rsidRPr="00874DC1" w:rsidRDefault="00874DC1">
      <w:pPr>
        <w:spacing w:after="120" w:line="360" w:lineRule="auto"/>
        <w:ind w:left="720" w:hanging="720"/>
      </w:pPr>
      <w:r w:rsidRPr="00874DC1">
        <w:t xml:space="preserve">Johnson, J. G., Harris, E. S., Spitzer, R. L., &amp; Williams, J. B. W. (2002). The Patient Health Questionnaire for Adolescents: Validation of an instrument for the assessment of mental disorders among adolescent primary care patients. </w:t>
      </w:r>
      <w:r w:rsidRPr="00874DC1">
        <w:rPr>
          <w:i/>
          <w:iCs/>
        </w:rPr>
        <w:t>Journal of Adolescent Health</w:t>
      </w:r>
      <w:r w:rsidRPr="00874DC1">
        <w:t xml:space="preserve">, </w:t>
      </w:r>
      <w:r w:rsidRPr="00874DC1">
        <w:rPr>
          <w:i/>
          <w:iCs/>
        </w:rPr>
        <w:t>30</w:t>
      </w:r>
      <w:r w:rsidRPr="00874DC1">
        <w:t>(3), 196–204.</w:t>
      </w:r>
    </w:p>
    <w:p w14:paraId="396AAA53" w14:textId="70583CF2" w:rsidR="00874DC1" w:rsidRDefault="00874DC1">
      <w:pPr>
        <w:spacing w:after="120" w:line="360" w:lineRule="auto"/>
        <w:ind w:left="720" w:hanging="720"/>
      </w:pPr>
      <w:r w:rsidRPr="008074FA">
        <w:t xml:space="preserve">Kroenke, K., Spitzer, R. L., &amp; Williams, J. B. (2001). </w:t>
      </w:r>
      <w:r w:rsidRPr="00874DC1">
        <w:t xml:space="preserve">The PHQ-9: Validity of a brief depression severity measure. </w:t>
      </w:r>
      <w:r w:rsidRPr="00874DC1">
        <w:rPr>
          <w:i/>
          <w:iCs/>
        </w:rPr>
        <w:t>Journal of General Internal Medicine</w:t>
      </w:r>
      <w:r w:rsidRPr="00874DC1">
        <w:t xml:space="preserve">, </w:t>
      </w:r>
      <w:r w:rsidRPr="00874DC1">
        <w:rPr>
          <w:i/>
          <w:iCs/>
        </w:rPr>
        <w:t>16</w:t>
      </w:r>
      <w:r w:rsidRPr="00874DC1">
        <w:t>(9), 606–613.</w:t>
      </w:r>
    </w:p>
    <w:p w14:paraId="36D8F1DF" w14:textId="3B901FBC" w:rsidR="00874DC1" w:rsidRDefault="00874DC1">
      <w:pPr>
        <w:spacing w:after="120" w:line="360" w:lineRule="auto"/>
        <w:ind w:left="720" w:hanging="720"/>
      </w:pPr>
      <w:r w:rsidRPr="00874DC1">
        <w:t xml:space="preserve">Kovacs, M. (1992). </w:t>
      </w:r>
      <w:r w:rsidRPr="00874DC1">
        <w:rPr>
          <w:i/>
          <w:iCs/>
        </w:rPr>
        <w:t>Children's Depression Inventory manual</w:t>
      </w:r>
      <w:r w:rsidRPr="00874DC1">
        <w:t>. North Tonawanda, NY: Multi-Health Systems.</w:t>
      </w:r>
    </w:p>
    <w:p w14:paraId="1460C408" w14:textId="696D4FE0" w:rsidR="00871D9C" w:rsidRPr="0056192E" w:rsidRDefault="00871D9C">
      <w:pPr>
        <w:spacing w:after="120" w:line="360" w:lineRule="auto"/>
        <w:ind w:left="720" w:hanging="720"/>
        <w:rPr>
          <w:lang w:val="de-DE"/>
        </w:rPr>
      </w:pPr>
      <w:r w:rsidRPr="005B0457">
        <w:rPr>
          <w:lang w:val="de-DE"/>
        </w:rPr>
        <w:t xml:space="preserve">Langan, D., Higgins, J. P. T., Jackson, D., Bowden, J., Veroniki, A. A., Kontopantelis, E., Viechtbauer, W., &amp; Simmonds, M. (2019). </w:t>
      </w:r>
      <w:r w:rsidRPr="00871D9C">
        <w:t xml:space="preserve">A comparison of heterogeneity variance estimators in simulated random-effects meta-analyses. </w:t>
      </w:r>
      <w:r w:rsidRPr="00871D9C">
        <w:rPr>
          <w:i/>
          <w:iCs/>
        </w:rPr>
        <w:t>Research Synthesis Methods, 10</w:t>
      </w:r>
      <w:r w:rsidRPr="00871D9C">
        <w:t xml:space="preserve">(1), 83–98. </w:t>
      </w:r>
      <w:hyperlink r:id="rId30" w:history="1">
        <w:r w:rsidR="000E5C44" w:rsidRPr="0056192E">
          <w:rPr>
            <w:rStyle w:val="a5"/>
            <w:lang w:val="de-DE"/>
          </w:rPr>
          <w:t>https://doi.org/10.1002/jrsm.1316</w:t>
        </w:r>
      </w:hyperlink>
    </w:p>
    <w:p w14:paraId="7B85860A" w14:textId="61213CF4" w:rsidR="000E5C44" w:rsidRPr="00874DC1" w:rsidRDefault="000E5C44">
      <w:pPr>
        <w:spacing w:after="120" w:line="360" w:lineRule="auto"/>
        <w:ind w:left="720" w:hanging="720"/>
        <w:rPr>
          <w:rFonts w:hint="eastAsia"/>
        </w:rPr>
      </w:pPr>
      <w:r w:rsidRPr="0056192E">
        <w:rPr>
          <w:lang w:val="de-DE"/>
        </w:rPr>
        <w:t xml:space="preserve">Li, H., Zhang, R., Lee, Y.-C., Kraut, R. E., &amp; Mohr, D. C. (2023). </w:t>
      </w:r>
      <w:r w:rsidRPr="000E5C44">
        <w:t xml:space="preserve">Systematic review and meta-analysis of AI-based conversational agents for promoting mental health and well-being. </w:t>
      </w:r>
      <w:proofErr w:type="spellStart"/>
      <w:r w:rsidRPr="000E5C44">
        <w:rPr>
          <w:i/>
          <w:iCs/>
        </w:rPr>
        <w:t>npj</w:t>
      </w:r>
      <w:proofErr w:type="spellEnd"/>
      <w:r w:rsidRPr="000E5C44">
        <w:rPr>
          <w:i/>
          <w:iCs/>
        </w:rPr>
        <w:t xml:space="preserve"> Digital Medicine, 6</w:t>
      </w:r>
      <w:r w:rsidRPr="000E5C44">
        <w:t>, 236.</w:t>
      </w:r>
    </w:p>
    <w:p w14:paraId="7F90C52E" w14:textId="296B4645" w:rsidR="00742840" w:rsidRPr="00742840" w:rsidRDefault="00742840">
      <w:pPr>
        <w:spacing w:after="120" w:line="360" w:lineRule="auto"/>
        <w:ind w:left="720" w:hanging="720"/>
      </w:pPr>
      <w:r w:rsidRPr="00B72CF8">
        <w:t xml:space="preserve">Ma, Q., Shi, Y., Zhao, W., Zhang, H., Tan, D., Ji, C., &amp; Liu, L. (2024). </w:t>
      </w:r>
      <w:r w:rsidRPr="00742840">
        <w:t xml:space="preserve">Effectiveness of internet-based self-help interventions for depression in adolescents and young adults: A systematic review and meta-analysis. </w:t>
      </w:r>
      <w:r w:rsidRPr="00742840">
        <w:rPr>
          <w:i/>
          <w:iCs/>
        </w:rPr>
        <w:t>BMC Psychiatry, 24</w:t>
      </w:r>
      <w:r w:rsidRPr="00742840">
        <w:t xml:space="preserve">, Article 604. </w:t>
      </w:r>
      <w:hyperlink r:id="rId31" w:history="1">
        <w:r w:rsidRPr="00742840">
          <w:rPr>
            <w:rStyle w:val="a5"/>
          </w:rPr>
          <w:t>https://doi.org/10.1186/s12888-024-06046-x</w:t>
        </w:r>
      </w:hyperlink>
    </w:p>
    <w:p w14:paraId="6689DB3D" w14:textId="6A6F1C2A" w:rsidR="00A35027" w:rsidRPr="00A35027" w:rsidRDefault="00A35027">
      <w:pPr>
        <w:spacing w:after="120" w:line="360" w:lineRule="auto"/>
        <w:ind w:left="720" w:hanging="720"/>
      </w:pPr>
      <w:bookmarkStart w:id="100" w:name="OLE_LINK67"/>
      <w:r w:rsidRPr="00A35027">
        <w:t>McAuley</w:t>
      </w:r>
      <w:bookmarkEnd w:id="100"/>
      <w:r w:rsidRPr="00A35027">
        <w:t xml:space="preserve">, L., Pham, B., Tugwell, P., &amp; Moher, D. (2000). Does the inclusion of grey literature influence estimates of intervention effectiveness </w:t>
      </w:r>
      <w:proofErr w:type="gramStart"/>
      <w:r w:rsidRPr="00A35027">
        <w:t>reported</w:t>
      </w:r>
      <w:proofErr w:type="gramEnd"/>
      <w:r w:rsidRPr="00A35027">
        <w:t xml:space="preserve"> in meta-analyses? </w:t>
      </w:r>
      <w:r w:rsidRPr="00A35027">
        <w:rPr>
          <w:i/>
          <w:iCs/>
        </w:rPr>
        <w:t>The Lancet, 356</w:t>
      </w:r>
      <w:r w:rsidRPr="00A35027">
        <w:t>(9237), 1228–1231. https://doi.org/10.1016/S0140-6736(00)02786-0</w:t>
      </w:r>
    </w:p>
    <w:p w14:paraId="5AB53901" w14:textId="6D087DA6" w:rsidR="002E700D" w:rsidRPr="002E700D" w:rsidRDefault="002E700D">
      <w:pPr>
        <w:spacing w:after="120" w:line="360" w:lineRule="auto"/>
        <w:ind w:left="720" w:hanging="720"/>
      </w:pPr>
      <w:r w:rsidRPr="002E700D">
        <w:t xml:space="preserve">Miguel, C., Harrer, M., </w:t>
      </w:r>
      <w:proofErr w:type="spellStart"/>
      <w:r w:rsidRPr="002E700D">
        <w:t>Karyotaki</w:t>
      </w:r>
      <w:proofErr w:type="spellEnd"/>
      <w:r w:rsidRPr="002E700D">
        <w:t xml:space="preserve">, E., </w:t>
      </w:r>
      <w:proofErr w:type="spellStart"/>
      <w:r w:rsidRPr="002E700D">
        <w:t>Sakher</w:t>
      </w:r>
      <w:proofErr w:type="spellEnd"/>
      <w:r w:rsidRPr="002E700D">
        <w:t>, E., Sakata, M., Furukawa, T. A., &amp; Cuijpers, P. (2025). Operationalization of Cochrane's Risk of Bias 2 Tool (</w:t>
      </w:r>
      <w:proofErr w:type="spellStart"/>
      <w:r w:rsidRPr="002E700D">
        <w:t>RoB</w:t>
      </w:r>
      <w:proofErr w:type="spellEnd"/>
      <w:r w:rsidRPr="002E700D">
        <w:t xml:space="preserve"> 2) in the context of psychotherapy trials. </w:t>
      </w:r>
      <w:proofErr w:type="spellStart"/>
      <w:r w:rsidRPr="002E700D">
        <w:t>medRxiv</w:t>
      </w:r>
      <w:proofErr w:type="spellEnd"/>
      <w:r w:rsidRPr="002E700D">
        <w:t xml:space="preserve">. </w:t>
      </w:r>
      <w:hyperlink r:id="rId32"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lastRenderedPageBreak/>
        <w:t xml:space="preserve">Nordahl-Hansen, A., Cogo-Moreira, H., Panjeh, S., &amp; </w:t>
      </w:r>
      <w:proofErr w:type="spellStart"/>
      <w:r w:rsidRPr="00F1618C">
        <w:t>Quintana</w:t>
      </w:r>
      <w:proofErr w:type="spellEnd"/>
      <w:r w:rsidRPr="00F1618C">
        <w:t>, D. S. (2024). Redefining effect size 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38B2DA6" w14:textId="6224CEB5" w:rsidR="00742840" w:rsidRDefault="00742840">
      <w:pPr>
        <w:spacing w:after="120" w:line="360" w:lineRule="auto"/>
        <w:ind w:left="720" w:hanging="720"/>
      </w:pPr>
      <w:r w:rsidRPr="00742840">
        <w:t xml:space="preserve">Pennant, M. E., Loucas, C. E., Whittington, C., Creswell, C., Fonagy, P., </w:t>
      </w:r>
      <w:proofErr w:type="spellStart"/>
      <w:r w:rsidRPr="00742840">
        <w:t>Fuggle</w:t>
      </w:r>
      <w:proofErr w:type="spellEnd"/>
      <w:r w:rsidRPr="00742840">
        <w:t xml:space="preserve">, P., Kelvin, R., Naqvi, S., Stockton, S., &amp; Kendall, T. (2015). </w:t>
      </w:r>
      <w:proofErr w:type="spellStart"/>
      <w:r w:rsidRPr="00742840">
        <w:t>Computerised</w:t>
      </w:r>
      <w:proofErr w:type="spellEnd"/>
      <w:r w:rsidRPr="00742840">
        <w:t xml:space="preserve"> therapies for anxiety and depression in children and young people: A systematic review and meta-analysis. </w:t>
      </w:r>
      <w:proofErr w:type="spellStart"/>
      <w:r w:rsidRPr="00742840">
        <w:rPr>
          <w:i/>
          <w:iCs/>
        </w:rPr>
        <w:t>Behaviour</w:t>
      </w:r>
      <w:proofErr w:type="spellEnd"/>
      <w:r w:rsidRPr="00742840">
        <w:rPr>
          <w:i/>
          <w:iCs/>
        </w:rPr>
        <w:t xml:space="preserve"> Research and Therapy, 67</w:t>
      </w:r>
      <w:r w:rsidRPr="00742840">
        <w:t xml:space="preserve">, 1–18. </w:t>
      </w:r>
      <w:hyperlink r:id="rId33" w:history="1">
        <w:r w:rsidRPr="00742840">
          <w:rPr>
            <w:rStyle w:val="a5"/>
          </w:rPr>
          <w:t>https://doi.org/10.1016/j.brat.2015.01.009</w:t>
        </w:r>
      </w:hyperlink>
    </w:p>
    <w:p w14:paraId="1709C0E4" w14:textId="65FBE7B5" w:rsidR="00AB7F1D" w:rsidRDefault="00AB7F1D" w:rsidP="00AB7F1D">
      <w:pPr>
        <w:spacing w:after="120" w:line="360" w:lineRule="auto"/>
        <w:ind w:left="720" w:hanging="720"/>
      </w:pPr>
      <w:r w:rsidRPr="00AB7F1D">
        <w:t xml:space="preserve">Peters, J. L., Sutton, A. J., Jones, D. R., Abrams, K. R., &amp; Rushton, L. (2008). Contour-enhanced meta-analysis funnel plots help distinguish publication bias from other causes of asymmetry. </w:t>
      </w:r>
      <w:r w:rsidRPr="00AB7F1D">
        <w:rPr>
          <w:i/>
          <w:iCs/>
        </w:rPr>
        <w:t>Journal of Clinical Epidemiology, 61</w:t>
      </w:r>
      <w:r w:rsidRPr="00AB7F1D">
        <w:t xml:space="preserve">(10), 991–996. </w:t>
      </w:r>
      <w:hyperlink r:id="rId34" w:history="1">
        <w:r w:rsidRPr="00C13038">
          <w:rPr>
            <w:rStyle w:val="a5"/>
          </w:rPr>
          <w:t>https://doi.org/10.1016/j.jclinepi.2007.11.010</w:t>
        </w:r>
      </w:hyperlink>
    </w:p>
    <w:p w14:paraId="16AB883D" w14:textId="2FEF268A" w:rsidR="00D4058C" w:rsidRDefault="00D4058C" w:rsidP="00AB7F1D">
      <w:pPr>
        <w:spacing w:after="120" w:line="360" w:lineRule="auto"/>
        <w:ind w:left="720" w:hanging="720"/>
      </w:pPr>
      <w:r w:rsidRPr="00D4058C">
        <w:t xml:space="preserve">Pew Research Center. (2025, December 9). </w:t>
      </w:r>
      <w:r w:rsidRPr="00D4058C">
        <w:rPr>
          <w:i/>
          <w:iCs/>
        </w:rPr>
        <w:t>Teens, social media and AI chatbots 2025</w:t>
      </w:r>
      <w:r w:rsidRPr="00D4058C">
        <w:t>.</w:t>
      </w:r>
    </w:p>
    <w:p w14:paraId="5B3FFEB4" w14:textId="77777777" w:rsidR="000C3784" w:rsidRDefault="00D450DC" w:rsidP="00AB7F1D">
      <w:pPr>
        <w:spacing w:after="120" w:line="360" w:lineRule="auto"/>
      </w:pPr>
      <w:r w:rsidRPr="008074FA">
        <w:rPr>
          <w:rFonts w:eastAsia="Times New Roman"/>
          <w:lang w:val="de-DE"/>
        </w:rPr>
        <w:t xml:space="preserve">Pinquart, M., &amp; Duberstein, P. R. (2010). </w:t>
      </w:r>
      <w:r>
        <w:rPr>
          <w:rFonts w:eastAsia="Times New Roman"/>
        </w:rPr>
        <w:t xml:space="preserve">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57F721D3" w14:textId="558874E7" w:rsidR="00874DC1" w:rsidRDefault="00874DC1">
      <w:pPr>
        <w:spacing w:after="120" w:line="360" w:lineRule="auto"/>
        <w:ind w:left="720" w:hanging="720"/>
      </w:pPr>
      <w:r w:rsidRPr="008074FA">
        <w:t xml:space="preserve">Poznanski, E. Q., &amp; Mokros, H. B. (1996). </w:t>
      </w:r>
      <w:r w:rsidRPr="00874DC1">
        <w:rPr>
          <w:i/>
          <w:iCs/>
        </w:rPr>
        <w:t>Children's Depression Rating Scale, Revised (CDRS-R): Manual</w:t>
      </w:r>
      <w:r w:rsidRPr="00874DC1">
        <w:t>. Los Angeles, CA: Western Psychological Services.</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6AC3F193" w14:textId="52894920" w:rsidR="008A0D89" w:rsidRPr="008074FA" w:rsidRDefault="008A0D89" w:rsidP="008A0D89">
      <w:pPr>
        <w:spacing w:after="120" w:line="360" w:lineRule="auto"/>
        <w:ind w:left="720" w:hanging="720"/>
      </w:pPr>
      <w:proofErr w:type="spellStart"/>
      <w:r w:rsidRPr="008A0D89">
        <w:t>Raksilp</w:t>
      </w:r>
      <w:proofErr w:type="spellEnd"/>
      <w:r w:rsidRPr="008A0D89">
        <w:t xml:space="preserve">, M., </w:t>
      </w:r>
      <w:proofErr w:type="spellStart"/>
      <w:r w:rsidRPr="008A0D89">
        <w:t>Krongyudh</w:t>
      </w:r>
      <w:proofErr w:type="spellEnd"/>
      <w:r w:rsidRPr="008A0D89">
        <w:t xml:space="preserve">, S., </w:t>
      </w:r>
      <w:proofErr w:type="spellStart"/>
      <w:r w:rsidRPr="008A0D89">
        <w:t>Songserm</w:t>
      </w:r>
      <w:proofErr w:type="spellEnd"/>
      <w:r w:rsidRPr="008A0D89">
        <w:t xml:space="preserve">, N., &amp; </w:t>
      </w:r>
      <w:proofErr w:type="spellStart"/>
      <w:r w:rsidRPr="008A0D89">
        <w:t>Bussahong</w:t>
      </w:r>
      <w:proofErr w:type="spellEnd"/>
      <w:r w:rsidRPr="008A0D89">
        <w:t xml:space="preserve">,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 xml:space="preserve">(3), 283-294. </w:t>
      </w:r>
      <w:hyperlink r:id="rId35" w:history="1">
        <w:r w:rsidR="00742840" w:rsidRPr="008074FA">
          <w:rPr>
            <w:rStyle w:val="a5"/>
          </w:rPr>
          <w:t>https://doi.org/10.55489/njcm.160320254839</w:t>
        </w:r>
      </w:hyperlink>
    </w:p>
    <w:p w14:paraId="20C610F6" w14:textId="666CBEA8" w:rsidR="00742840" w:rsidRDefault="00742840" w:rsidP="008A0D89">
      <w:pPr>
        <w:spacing w:after="120" w:line="360" w:lineRule="auto"/>
        <w:ind w:left="720" w:hanging="720"/>
      </w:pPr>
      <w:proofErr w:type="spellStart"/>
      <w:r w:rsidRPr="008074FA">
        <w:lastRenderedPageBreak/>
        <w:t>Reitegger</w:t>
      </w:r>
      <w:proofErr w:type="spellEnd"/>
      <w:r w:rsidRPr="008074FA">
        <w:t>, F., Peras, I., Wright, M., &amp; Gasteiger-</w:t>
      </w:r>
      <w:proofErr w:type="spellStart"/>
      <w:r w:rsidRPr="008074FA">
        <w:t>Klicpera</w:t>
      </w:r>
      <w:proofErr w:type="spellEnd"/>
      <w:r w:rsidRPr="008074FA">
        <w:t xml:space="preserve">, B. (2024). </w:t>
      </w:r>
      <w:r w:rsidRPr="00742840">
        <w:t xml:space="preserve">Key components and content of effective evidence-based digital prevention programs for anxiety and depression in children and adolescents: A systematic umbrella review. </w:t>
      </w:r>
      <w:r w:rsidRPr="00742840">
        <w:rPr>
          <w:i/>
          <w:iCs/>
        </w:rPr>
        <w:t>Adolescent Research Review, 9</w:t>
      </w:r>
      <w:r w:rsidRPr="00742840">
        <w:t xml:space="preserve">, 367–410. </w:t>
      </w:r>
      <w:hyperlink r:id="rId36" w:history="1">
        <w:r w:rsidRPr="00742840">
          <w:rPr>
            <w:rStyle w:val="a5"/>
          </w:rPr>
          <w:t>https://doi.org/10.1007/s40894-024-00237-z</w:t>
        </w:r>
      </w:hyperlink>
    </w:p>
    <w:p w14:paraId="0DDA0703" w14:textId="4D0E88F5" w:rsidR="00874DC1" w:rsidRPr="008A0D89" w:rsidRDefault="00874DC1" w:rsidP="008A0D89">
      <w:pPr>
        <w:spacing w:after="120" w:line="360" w:lineRule="auto"/>
        <w:ind w:left="720" w:hanging="720"/>
      </w:pPr>
      <w:r w:rsidRPr="00874DC1">
        <w:t xml:space="preserve">Reynolds, W. M. (2002). </w:t>
      </w:r>
      <w:r w:rsidRPr="00874DC1">
        <w:rPr>
          <w:i/>
          <w:iCs/>
        </w:rPr>
        <w:t>Reynolds Adolescent Depression Scale–2nd Edition (RADS-2): Professional manual</w:t>
      </w:r>
      <w:r w:rsidRPr="00874DC1">
        <w:t>. Lutz, FL: PAR.</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471F8058" w14:textId="0A414C44" w:rsidR="007A02BA" w:rsidRPr="007A02BA" w:rsidRDefault="007A02BA">
      <w:pPr>
        <w:spacing w:after="120" w:line="360" w:lineRule="auto"/>
        <w:ind w:left="720" w:hanging="720"/>
      </w:pPr>
      <w:proofErr w:type="spellStart"/>
      <w:r w:rsidRPr="007A02BA">
        <w:t>Viechtbauer</w:t>
      </w:r>
      <w:proofErr w:type="spellEnd"/>
      <w:r w:rsidRPr="007A02BA">
        <w:t xml:space="preserve">, W. (2005). Bias and efficiency of meta-analytic variance estimators in the random-effects model. </w:t>
      </w:r>
      <w:r w:rsidRPr="007A02BA">
        <w:rPr>
          <w:i/>
          <w:iCs/>
        </w:rPr>
        <w:t>Journal of Educational and Behavioral Statistics, 30</w:t>
      </w:r>
      <w:r w:rsidRPr="007A02BA">
        <w:t xml:space="preserve">(3), 261–293. </w:t>
      </w:r>
      <w:hyperlink r:id="rId37" w:history="1">
        <w:r w:rsidRPr="007A02BA">
          <w:rPr>
            <w:rStyle w:val="a5"/>
          </w:rPr>
          <w:t>https://doi.org/10.3102/10769986030003261</w:t>
        </w:r>
      </w:hyperlink>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6F2E8ED3" w14:textId="2BBEC2C0" w:rsidR="007F3E55" w:rsidRPr="007F3E55" w:rsidRDefault="007F3E55">
      <w:pPr>
        <w:spacing w:after="120" w:line="360" w:lineRule="auto"/>
        <w:ind w:left="720" w:hanging="720"/>
      </w:pPr>
      <w:proofErr w:type="spellStart"/>
      <w:r w:rsidRPr="00235A2C">
        <w:t>Viechtbauer</w:t>
      </w:r>
      <w:proofErr w:type="spellEnd"/>
      <w:r w:rsidRPr="00235A2C">
        <w:t xml:space="preserve">, W., &amp; Cheung, M. W.-L. (2010). </w:t>
      </w:r>
      <w:r w:rsidRPr="007F3E55">
        <w:t xml:space="preserve">Outlier and influence diagnostics for meta-analysis. </w:t>
      </w:r>
      <w:r w:rsidRPr="007F3E55">
        <w:rPr>
          <w:i/>
          <w:iCs/>
        </w:rPr>
        <w:t>Research Synthesis Methods, 1</w:t>
      </w:r>
      <w:r w:rsidRPr="007F3E55">
        <w:t xml:space="preserve">(2), 112–125. </w:t>
      </w:r>
      <w:hyperlink r:id="rId38" w:tgtFrame="_new" w:history="1">
        <w:r w:rsidRPr="007F3E55">
          <w:rPr>
            <w:rStyle w:val="a5"/>
          </w:rPr>
          <w:t>https://doi.org/10.1002/jrsm.11</w:t>
        </w:r>
      </w:hyperlink>
    </w:p>
    <w:p w14:paraId="1131315C" w14:textId="5AC6C932" w:rsidR="00742840" w:rsidRPr="00742840" w:rsidRDefault="00742840">
      <w:pPr>
        <w:spacing w:after="120" w:line="360" w:lineRule="auto"/>
        <w:ind w:left="720" w:hanging="720"/>
      </w:pPr>
      <w:r w:rsidRPr="008074FA">
        <w:t xml:space="preserve">Wang, Q., Zhang, W., &amp; An, S. (2023). </w:t>
      </w:r>
      <w:r w:rsidRPr="00742840">
        <w:t xml:space="preserve">A systematic review and meta-analysis of internet-based self-help </w:t>
      </w:r>
      <w:r w:rsidRPr="00742840">
        <w:lastRenderedPageBreak/>
        <w:t xml:space="preserve">interventions for mental health among adolescents and college students. </w:t>
      </w:r>
      <w:r w:rsidRPr="00742840">
        <w:rPr>
          <w:i/>
          <w:iCs/>
        </w:rPr>
        <w:t>Internet Interventions, 34</w:t>
      </w:r>
      <w:r w:rsidRPr="00742840">
        <w:t xml:space="preserve">, Article 100690. </w:t>
      </w:r>
      <w:hyperlink r:id="rId39" w:history="1">
        <w:r w:rsidRPr="00742840">
          <w:rPr>
            <w:rStyle w:val="a5"/>
          </w:rPr>
          <w:t>https://doi.org/10.1016/j.invent.2023.100690</w:t>
        </w:r>
      </w:hyperlink>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bookmarkEnd w:id="99"/>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101"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101"/>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102"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102"/>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103" w:name="OLE_LINK5"/>
            <w:r w:rsidRPr="00AC639D">
              <w:t>Intervention is not CBT-based or lacks required CBT components (cognitive restructuring and at least one behavioral component)</w:t>
            </w:r>
            <w:bookmarkEnd w:id="103"/>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104" w:name="OLE_LINK6"/>
            <w:r>
              <w:rPr>
                <w:rFonts w:eastAsia="Times New Roman"/>
                <w:sz w:val="20"/>
                <w:szCs w:val="20"/>
              </w:rPr>
              <w:t>Conference abstract or protocol-only publication</w:t>
            </w:r>
            <w:bookmarkEnd w:id="104"/>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105"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105"/>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106"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106"/>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40"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 xml:space="preserve">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 xml:space="preserve">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513E3" w14:textId="77777777" w:rsidR="00784BFB" w:rsidRDefault="00784BFB">
      <w:r>
        <w:separator/>
      </w:r>
    </w:p>
  </w:endnote>
  <w:endnote w:type="continuationSeparator" w:id="0">
    <w:p w14:paraId="3B79C647" w14:textId="77777777" w:rsidR="00784BFB" w:rsidRDefault="00784B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C29E6" w14:textId="77777777" w:rsidR="00784BFB" w:rsidRDefault="00784BFB">
      <w:r>
        <w:separator/>
      </w:r>
    </w:p>
  </w:footnote>
  <w:footnote w:type="continuationSeparator" w:id="0">
    <w:p w14:paraId="2B19E531" w14:textId="77777777" w:rsidR="00784BFB" w:rsidRDefault="00784B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21BA"/>
    <w:rsid w:val="00003152"/>
    <w:rsid w:val="00003568"/>
    <w:rsid w:val="00006822"/>
    <w:rsid w:val="00010C8C"/>
    <w:rsid w:val="00010E07"/>
    <w:rsid w:val="000114B9"/>
    <w:rsid w:val="00013C4F"/>
    <w:rsid w:val="00014247"/>
    <w:rsid w:val="00016290"/>
    <w:rsid w:val="00022F86"/>
    <w:rsid w:val="00024818"/>
    <w:rsid w:val="00032587"/>
    <w:rsid w:val="000329A9"/>
    <w:rsid w:val="00032BF3"/>
    <w:rsid w:val="000332BE"/>
    <w:rsid w:val="00034D4E"/>
    <w:rsid w:val="00035A05"/>
    <w:rsid w:val="00035DA2"/>
    <w:rsid w:val="000367BB"/>
    <w:rsid w:val="00037717"/>
    <w:rsid w:val="00044937"/>
    <w:rsid w:val="00045918"/>
    <w:rsid w:val="00051379"/>
    <w:rsid w:val="00052872"/>
    <w:rsid w:val="00053D2B"/>
    <w:rsid w:val="000546D9"/>
    <w:rsid w:val="00057441"/>
    <w:rsid w:val="00060371"/>
    <w:rsid w:val="000614FA"/>
    <w:rsid w:val="00066278"/>
    <w:rsid w:val="00066B68"/>
    <w:rsid w:val="0006772F"/>
    <w:rsid w:val="00071638"/>
    <w:rsid w:val="00072915"/>
    <w:rsid w:val="00072985"/>
    <w:rsid w:val="00073A8D"/>
    <w:rsid w:val="0008002C"/>
    <w:rsid w:val="0008077C"/>
    <w:rsid w:val="000817C9"/>
    <w:rsid w:val="000833F3"/>
    <w:rsid w:val="00083CED"/>
    <w:rsid w:val="00084FF9"/>
    <w:rsid w:val="00086119"/>
    <w:rsid w:val="000916D0"/>
    <w:rsid w:val="00091E4E"/>
    <w:rsid w:val="00092C7B"/>
    <w:rsid w:val="00094538"/>
    <w:rsid w:val="00094F1D"/>
    <w:rsid w:val="00096636"/>
    <w:rsid w:val="000A0168"/>
    <w:rsid w:val="000A069E"/>
    <w:rsid w:val="000A329D"/>
    <w:rsid w:val="000A6236"/>
    <w:rsid w:val="000B0963"/>
    <w:rsid w:val="000B0BDA"/>
    <w:rsid w:val="000B16A2"/>
    <w:rsid w:val="000B22FC"/>
    <w:rsid w:val="000B2B90"/>
    <w:rsid w:val="000B40B5"/>
    <w:rsid w:val="000C0538"/>
    <w:rsid w:val="000C0F63"/>
    <w:rsid w:val="000C128F"/>
    <w:rsid w:val="000C1887"/>
    <w:rsid w:val="000C2CFF"/>
    <w:rsid w:val="000C3784"/>
    <w:rsid w:val="000C4420"/>
    <w:rsid w:val="000D3B7B"/>
    <w:rsid w:val="000D4C51"/>
    <w:rsid w:val="000D52E9"/>
    <w:rsid w:val="000E09E1"/>
    <w:rsid w:val="000E108C"/>
    <w:rsid w:val="000E1D84"/>
    <w:rsid w:val="000E2BB3"/>
    <w:rsid w:val="000E3F8B"/>
    <w:rsid w:val="000E45FC"/>
    <w:rsid w:val="000E4D7B"/>
    <w:rsid w:val="000E5C44"/>
    <w:rsid w:val="000F3597"/>
    <w:rsid w:val="000F48E3"/>
    <w:rsid w:val="000F6555"/>
    <w:rsid w:val="000F6C5A"/>
    <w:rsid w:val="000F7299"/>
    <w:rsid w:val="000F7427"/>
    <w:rsid w:val="000F7A64"/>
    <w:rsid w:val="000F7E34"/>
    <w:rsid w:val="0010008F"/>
    <w:rsid w:val="0010131B"/>
    <w:rsid w:val="001029E1"/>
    <w:rsid w:val="00102DA3"/>
    <w:rsid w:val="00102FB7"/>
    <w:rsid w:val="0010303D"/>
    <w:rsid w:val="00104B43"/>
    <w:rsid w:val="00107407"/>
    <w:rsid w:val="00107418"/>
    <w:rsid w:val="00113359"/>
    <w:rsid w:val="001156CF"/>
    <w:rsid w:val="0011724F"/>
    <w:rsid w:val="00117B7D"/>
    <w:rsid w:val="001228FD"/>
    <w:rsid w:val="00124646"/>
    <w:rsid w:val="00124802"/>
    <w:rsid w:val="00130DC3"/>
    <w:rsid w:val="0013278B"/>
    <w:rsid w:val="001328FA"/>
    <w:rsid w:val="00134A8E"/>
    <w:rsid w:val="001373F8"/>
    <w:rsid w:val="001378D1"/>
    <w:rsid w:val="00141DB8"/>
    <w:rsid w:val="00151AE7"/>
    <w:rsid w:val="0015256E"/>
    <w:rsid w:val="00152991"/>
    <w:rsid w:val="00153065"/>
    <w:rsid w:val="00153638"/>
    <w:rsid w:val="00154104"/>
    <w:rsid w:val="00160BFD"/>
    <w:rsid w:val="001619F0"/>
    <w:rsid w:val="00162915"/>
    <w:rsid w:val="00170B74"/>
    <w:rsid w:val="001728AF"/>
    <w:rsid w:val="00177280"/>
    <w:rsid w:val="001776F0"/>
    <w:rsid w:val="00180D53"/>
    <w:rsid w:val="00180DF9"/>
    <w:rsid w:val="0018574F"/>
    <w:rsid w:val="0019010B"/>
    <w:rsid w:val="00191D30"/>
    <w:rsid w:val="00192EAA"/>
    <w:rsid w:val="0019480C"/>
    <w:rsid w:val="00194998"/>
    <w:rsid w:val="00194D57"/>
    <w:rsid w:val="001A0DB2"/>
    <w:rsid w:val="001A0DD7"/>
    <w:rsid w:val="001A7758"/>
    <w:rsid w:val="001A7990"/>
    <w:rsid w:val="001B20DB"/>
    <w:rsid w:val="001B4C52"/>
    <w:rsid w:val="001C328D"/>
    <w:rsid w:val="001C4D4A"/>
    <w:rsid w:val="001D1AD6"/>
    <w:rsid w:val="001D221E"/>
    <w:rsid w:val="001D4FC3"/>
    <w:rsid w:val="001D4FDD"/>
    <w:rsid w:val="001E5049"/>
    <w:rsid w:val="001E6F8E"/>
    <w:rsid w:val="001F50C5"/>
    <w:rsid w:val="001F5182"/>
    <w:rsid w:val="001F70E3"/>
    <w:rsid w:val="00200557"/>
    <w:rsid w:val="0020172E"/>
    <w:rsid w:val="0020307E"/>
    <w:rsid w:val="002031FA"/>
    <w:rsid w:val="00204817"/>
    <w:rsid w:val="00205390"/>
    <w:rsid w:val="002060A8"/>
    <w:rsid w:val="0020718F"/>
    <w:rsid w:val="00212F14"/>
    <w:rsid w:val="00212F77"/>
    <w:rsid w:val="002135C4"/>
    <w:rsid w:val="002155F2"/>
    <w:rsid w:val="00216DB4"/>
    <w:rsid w:val="00217C82"/>
    <w:rsid w:val="0022279C"/>
    <w:rsid w:val="00223940"/>
    <w:rsid w:val="00225746"/>
    <w:rsid w:val="00225D00"/>
    <w:rsid w:val="00225D40"/>
    <w:rsid w:val="00227013"/>
    <w:rsid w:val="002307C4"/>
    <w:rsid w:val="00231B04"/>
    <w:rsid w:val="00232579"/>
    <w:rsid w:val="00233A00"/>
    <w:rsid w:val="0023435C"/>
    <w:rsid w:val="002359C5"/>
    <w:rsid w:val="00235A2C"/>
    <w:rsid w:val="00240DA3"/>
    <w:rsid w:val="00241A04"/>
    <w:rsid w:val="00241FE4"/>
    <w:rsid w:val="00242A1D"/>
    <w:rsid w:val="0024335A"/>
    <w:rsid w:val="00244084"/>
    <w:rsid w:val="00244CB5"/>
    <w:rsid w:val="00254017"/>
    <w:rsid w:val="00254346"/>
    <w:rsid w:val="002548BB"/>
    <w:rsid w:val="00254D53"/>
    <w:rsid w:val="00261750"/>
    <w:rsid w:val="0026581C"/>
    <w:rsid w:val="00267BEE"/>
    <w:rsid w:val="00270222"/>
    <w:rsid w:val="002706F0"/>
    <w:rsid w:val="00270AB1"/>
    <w:rsid w:val="00271263"/>
    <w:rsid w:val="00272C81"/>
    <w:rsid w:val="00281959"/>
    <w:rsid w:val="00283152"/>
    <w:rsid w:val="00283A20"/>
    <w:rsid w:val="00283D17"/>
    <w:rsid w:val="00284CA0"/>
    <w:rsid w:val="00285A56"/>
    <w:rsid w:val="002863D9"/>
    <w:rsid w:val="00290689"/>
    <w:rsid w:val="00290F5C"/>
    <w:rsid w:val="002918C5"/>
    <w:rsid w:val="002942AA"/>
    <w:rsid w:val="002947F1"/>
    <w:rsid w:val="002A0F8C"/>
    <w:rsid w:val="002A14F1"/>
    <w:rsid w:val="002A153B"/>
    <w:rsid w:val="002A3A02"/>
    <w:rsid w:val="002B0041"/>
    <w:rsid w:val="002B3CDC"/>
    <w:rsid w:val="002B3FAD"/>
    <w:rsid w:val="002B48EF"/>
    <w:rsid w:val="002C38AB"/>
    <w:rsid w:val="002D4AB1"/>
    <w:rsid w:val="002D791A"/>
    <w:rsid w:val="002E0D82"/>
    <w:rsid w:val="002E444E"/>
    <w:rsid w:val="002E446A"/>
    <w:rsid w:val="002E700D"/>
    <w:rsid w:val="002F44C5"/>
    <w:rsid w:val="002F7928"/>
    <w:rsid w:val="0030037E"/>
    <w:rsid w:val="00300B48"/>
    <w:rsid w:val="00303C46"/>
    <w:rsid w:val="00305721"/>
    <w:rsid w:val="00307741"/>
    <w:rsid w:val="003100EF"/>
    <w:rsid w:val="0031066D"/>
    <w:rsid w:val="00310732"/>
    <w:rsid w:val="00310A5F"/>
    <w:rsid w:val="00311F0A"/>
    <w:rsid w:val="003142FA"/>
    <w:rsid w:val="003150F6"/>
    <w:rsid w:val="00315DB5"/>
    <w:rsid w:val="00315FC0"/>
    <w:rsid w:val="00316238"/>
    <w:rsid w:val="003223DF"/>
    <w:rsid w:val="00322DF0"/>
    <w:rsid w:val="00324C91"/>
    <w:rsid w:val="0032532F"/>
    <w:rsid w:val="00325B96"/>
    <w:rsid w:val="00330755"/>
    <w:rsid w:val="00330FF4"/>
    <w:rsid w:val="003320E4"/>
    <w:rsid w:val="003327AA"/>
    <w:rsid w:val="00332E6B"/>
    <w:rsid w:val="00334149"/>
    <w:rsid w:val="00334F69"/>
    <w:rsid w:val="003375F6"/>
    <w:rsid w:val="0034080F"/>
    <w:rsid w:val="00346599"/>
    <w:rsid w:val="0035245C"/>
    <w:rsid w:val="003528C8"/>
    <w:rsid w:val="00361E37"/>
    <w:rsid w:val="00363109"/>
    <w:rsid w:val="003673F1"/>
    <w:rsid w:val="003674DF"/>
    <w:rsid w:val="00371C2A"/>
    <w:rsid w:val="00372BF6"/>
    <w:rsid w:val="00374259"/>
    <w:rsid w:val="00374DE5"/>
    <w:rsid w:val="00376AA2"/>
    <w:rsid w:val="00377E50"/>
    <w:rsid w:val="00384178"/>
    <w:rsid w:val="003849D5"/>
    <w:rsid w:val="00385DB8"/>
    <w:rsid w:val="003860E3"/>
    <w:rsid w:val="00387F0E"/>
    <w:rsid w:val="00391B4B"/>
    <w:rsid w:val="00393911"/>
    <w:rsid w:val="00396FAE"/>
    <w:rsid w:val="003A19D3"/>
    <w:rsid w:val="003A387B"/>
    <w:rsid w:val="003A4338"/>
    <w:rsid w:val="003A6395"/>
    <w:rsid w:val="003B1193"/>
    <w:rsid w:val="003B1210"/>
    <w:rsid w:val="003B32AA"/>
    <w:rsid w:val="003B395C"/>
    <w:rsid w:val="003C3A12"/>
    <w:rsid w:val="003C50DF"/>
    <w:rsid w:val="003C565F"/>
    <w:rsid w:val="003C65B9"/>
    <w:rsid w:val="003C6AD0"/>
    <w:rsid w:val="003C6B1C"/>
    <w:rsid w:val="003D33B8"/>
    <w:rsid w:val="003D4005"/>
    <w:rsid w:val="003D728B"/>
    <w:rsid w:val="003E067C"/>
    <w:rsid w:val="003E2BDB"/>
    <w:rsid w:val="003F0C00"/>
    <w:rsid w:val="003F159A"/>
    <w:rsid w:val="003F3EEB"/>
    <w:rsid w:val="003F7BD9"/>
    <w:rsid w:val="004037C8"/>
    <w:rsid w:val="0040543E"/>
    <w:rsid w:val="00416176"/>
    <w:rsid w:val="004248A9"/>
    <w:rsid w:val="004261E0"/>
    <w:rsid w:val="00432A58"/>
    <w:rsid w:val="00434E1C"/>
    <w:rsid w:val="004357BA"/>
    <w:rsid w:val="0043791D"/>
    <w:rsid w:val="00441A02"/>
    <w:rsid w:val="00446051"/>
    <w:rsid w:val="00447393"/>
    <w:rsid w:val="00447C80"/>
    <w:rsid w:val="0045397B"/>
    <w:rsid w:val="00453D8C"/>
    <w:rsid w:val="00454331"/>
    <w:rsid w:val="00455817"/>
    <w:rsid w:val="00456798"/>
    <w:rsid w:val="00460835"/>
    <w:rsid w:val="00461CF7"/>
    <w:rsid w:val="00462BC5"/>
    <w:rsid w:val="00463475"/>
    <w:rsid w:val="004646A8"/>
    <w:rsid w:val="0046486E"/>
    <w:rsid w:val="0046713A"/>
    <w:rsid w:val="00474714"/>
    <w:rsid w:val="00474F45"/>
    <w:rsid w:val="00481B02"/>
    <w:rsid w:val="004878D7"/>
    <w:rsid w:val="00487DEF"/>
    <w:rsid w:val="004946BA"/>
    <w:rsid w:val="004957A7"/>
    <w:rsid w:val="00496F0E"/>
    <w:rsid w:val="004974B7"/>
    <w:rsid w:val="004A13A9"/>
    <w:rsid w:val="004A6C38"/>
    <w:rsid w:val="004A6D36"/>
    <w:rsid w:val="004B60AB"/>
    <w:rsid w:val="004B693E"/>
    <w:rsid w:val="004B73C7"/>
    <w:rsid w:val="004B7895"/>
    <w:rsid w:val="004B7C40"/>
    <w:rsid w:val="004C18C9"/>
    <w:rsid w:val="004C5D59"/>
    <w:rsid w:val="004C617A"/>
    <w:rsid w:val="004C62D3"/>
    <w:rsid w:val="004D2DEC"/>
    <w:rsid w:val="004D3A91"/>
    <w:rsid w:val="004D506F"/>
    <w:rsid w:val="004E06C1"/>
    <w:rsid w:val="004E1362"/>
    <w:rsid w:val="004E54AE"/>
    <w:rsid w:val="004E68C9"/>
    <w:rsid w:val="004E768A"/>
    <w:rsid w:val="004E7B8E"/>
    <w:rsid w:val="004F0BDF"/>
    <w:rsid w:val="004F1570"/>
    <w:rsid w:val="004F32A4"/>
    <w:rsid w:val="004F42A6"/>
    <w:rsid w:val="004F4ABE"/>
    <w:rsid w:val="00500778"/>
    <w:rsid w:val="005046DE"/>
    <w:rsid w:val="00516FE0"/>
    <w:rsid w:val="005174C4"/>
    <w:rsid w:val="00517EAC"/>
    <w:rsid w:val="005225EF"/>
    <w:rsid w:val="00523784"/>
    <w:rsid w:val="00533CFD"/>
    <w:rsid w:val="00536FD7"/>
    <w:rsid w:val="005410F5"/>
    <w:rsid w:val="0054675C"/>
    <w:rsid w:val="005543B7"/>
    <w:rsid w:val="00560646"/>
    <w:rsid w:val="0056192E"/>
    <w:rsid w:val="005645E2"/>
    <w:rsid w:val="005650EC"/>
    <w:rsid w:val="005654D5"/>
    <w:rsid w:val="0056724A"/>
    <w:rsid w:val="00573723"/>
    <w:rsid w:val="0057674E"/>
    <w:rsid w:val="00577F80"/>
    <w:rsid w:val="00581B0B"/>
    <w:rsid w:val="005820A8"/>
    <w:rsid w:val="00583702"/>
    <w:rsid w:val="00584112"/>
    <w:rsid w:val="00585F11"/>
    <w:rsid w:val="0058727B"/>
    <w:rsid w:val="005918D0"/>
    <w:rsid w:val="0059234D"/>
    <w:rsid w:val="0059449A"/>
    <w:rsid w:val="00594F99"/>
    <w:rsid w:val="005964E8"/>
    <w:rsid w:val="005A11C3"/>
    <w:rsid w:val="005A4D5C"/>
    <w:rsid w:val="005A4EC5"/>
    <w:rsid w:val="005A6079"/>
    <w:rsid w:val="005B0457"/>
    <w:rsid w:val="005B0DB9"/>
    <w:rsid w:val="005B1742"/>
    <w:rsid w:val="005B2014"/>
    <w:rsid w:val="005B377E"/>
    <w:rsid w:val="005B467D"/>
    <w:rsid w:val="005B4DF0"/>
    <w:rsid w:val="005B656D"/>
    <w:rsid w:val="005B6701"/>
    <w:rsid w:val="005C0135"/>
    <w:rsid w:val="005C25CF"/>
    <w:rsid w:val="005C2F9C"/>
    <w:rsid w:val="005C5AEE"/>
    <w:rsid w:val="005C752D"/>
    <w:rsid w:val="005D023D"/>
    <w:rsid w:val="005D09E5"/>
    <w:rsid w:val="005D27AF"/>
    <w:rsid w:val="005D4317"/>
    <w:rsid w:val="005E0A57"/>
    <w:rsid w:val="005E4309"/>
    <w:rsid w:val="005E4B5E"/>
    <w:rsid w:val="005E6D10"/>
    <w:rsid w:val="005F08E8"/>
    <w:rsid w:val="005F2227"/>
    <w:rsid w:val="005F269D"/>
    <w:rsid w:val="005F5C4C"/>
    <w:rsid w:val="005F7796"/>
    <w:rsid w:val="00602A8E"/>
    <w:rsid w:val="00605687"/>
    <w:rsid w:val="00606C81"/>
    <w:rsid w:val="00614AF4"/>
    <w:rsid w:val="00614ECE"/>
    <w:rsid w:val="00620693"/>
    <w:rsid w:val="006266FF"/>
    <w:rsid w:val="006312E9"/>
    <w:rsid w:val="0063238F"/>
    <w:rsid w:val="00634814"/>
    <w:rsid w:val="00635E5E"/>
    <w:rsid w:val="006363AD"/>
    <w:rsid w:val="00637C8D"/>
    <w:rsid w:val="00643179"/>
    <w:rsid w:val="00643A0F"/>
    <w:rsid w:val="0064448D"/>
    <w:rsid w:val="006445F8"/>
    <w:rsid w:val="00645D7F"/>
    <w:rsid w:val="00652E05"/>
    <w:rsid w:val="00652F90"/>
    <w:rsid w:val="00657D11"/>
    <w:rsid w:val="006600E2"/>
    <w:rsid w:val="00660811"/>
    <w:rsid w:val="006632EB"/>
    <w:rsid w:val="00664F17"/>
    <w:rsid w:val="00666533"/>
    <w:rsid w:val="00671AD3"/>
    <w:rsid w:val="006726CA"/>
    <w:rsid w:val="0067298B"/>
    <w:rsid w:val="00673B5F"/>
    <w:rsid w:val="00673C3E"/>
    <w:rsid w:val="00673E2C"/>
    <w:rsid w:val="00674318"/>
    <w:rsid w:val="00674D8B"/>
    <w:rsid w:val="006750A9"/>
    <w:rsid w:val="00676F29"/>
    <w:rsid w:val="0068195D"/>
    <w:rsid w:val="00682375"/>
    <w:rsid w:val="00683203"/>
    <w:rsid w:val="00683AEE"/>
    <w:rsid w:val="00683D29"/>
    <w:rsid w:val="00684D51"/>
    <w:rsid w:val="0068669A"/>
    <w:rsid w:val="00690A0E"/>
    <w:rsid w:val="00692269"/>
    <w:rsid w:val="0069414E"/>
    <w:rsid w:val="0069481E"/>
    <w:rsid w:val="006951C9"/>
    <w:rsid w:val="006962D6"/>
    <w:rsid w:val="006968EF"/>
    <w:rsid w:val="006A3524"/>
    <w:rsid w:val="006A4BA3"/>
    <w:rsid w:val="006A5CBD"/>
    <w:rsid w:val="006A6F53"/>
    <w:rsid w:val="006A77F1"/>
    <w:rsid w:val="006B0386"/>
    <w:rsid w:val="006B2786"/>
    <w:rsid w:val="006B3FBE"/>
    <w:rsid w:val="006B64C7"/>
    <w:rsid w:val="006B6D2B"/>
    <w:rsid w:val="006C2324"/>
    <w:rsid w:val="006C4B6F"/>
    <w:rsid w:val="006D6210"/>
    <w:rsid w:val="006D7C45"/>
    <w:rsid w:val="006E03C5"/>
    <w:rsid w:val="006E4B12"/>
    <w:rsid w:val="006E4DCC"/>
    <w:rsid w:val="006E6672"/>
    <w:rsid w:val="006F1C52"/>
    <w:rsid w:val="006F24BF"/>
    <w:rsid w:val="006F456E"/>
    <w:rsid w:val="006F464F"/>
    <w:rsid w:val="006F5E6B"/>
    <w:rsid w:val="006F7363"/>
    <w:rsid w:val="007031B3"/>
    <w:rsid w:val="00704204"/>
    <w:rsid w:val="0070511E"/>
    <w:rsid w:val="00705C59"/>
    <w:rsid w:val="00706A30"/>
    <w:rsid w:val="00711976"/>
    <w:rsid w:val="00711E55"/>
    <w:rsid w:val="0071246E"/>
    <w:rsid w:val="00717388"/>
    <w:rsid w:val="0073071C"/>
    <w:rsid w:val="00731952"/>
    <w:rsid w:val="0073323F"/>
    <w:rsid w:val="00733EC9"/>
    <w:rsid w:val="00736295"/>
    <w:rsid w:val="00736B8D"/>
    <w:rsid w:val="007370A4"/>
    <w:rsid w:val="007406BB"/>
    <w:rsid w:val="00742840"/>
    <w:rsid w:val="007460F4"/>
    <w:rsid w:val="007502ED"/>
    <w:rsid w:val="007514CD"/>
    <w:rsid w:val="007529CD"/>
    <w:rsid w:val="00753333"/>
    <w:rsid w:val="00756560"/>
    <w:rsid w:val="00757D08"/>
    <w:rsid w:val="00761E78"/>
    <w:rsid w:val="00765683"/>
    <w:rsid w:val="00765C2E"/>
    <w:rsid w:val="00766470"/>
    <w:rsid w:val="00766B79"/>
    <w:rsid w:val="007700E8"/>
    <w:rsid w:val="00773BB9"/>
    <w:rsid w:val="00774703"/>
    <w:rsid w:val="00774AAF"/>
    <w:rsid w:val="007803F5"/>
    <w:rsid w:val="00780B81"/>
    <w:rsid w:val="00782497"/>
    <w:rsid w:val="00783E93"/>
    <w:rsid w:val="00784371"/>
    <w:rsid w:val="00784BFB"/>
    <w:rsid w:val="007868BA"/>
    <w:rsid w:val="0079602E"/>
    <w:rsid w:val="00797CAC"/>
    <w:rsid w:val="007A02BA"/>
    <w:rsid w:val="007A0C57"/>
    <w:rsid w:val="007A1E5C"/>
    <w:rsid w:val="007A2A3D"/>
    <w:rsid w:val="007A3422"/>
    <w:rsid w:val="007A71B9"/>
    <w:rsid w:val="007A7CCF"/>
    <w:rsid w:val="007B1EAF"/>
    <w:rsid w:val="007B2BEC"/>
    <w:rsid w:val="007B5730"/>
    <w:rsid w:val="007B79E9"/>
    <w:rsid w:val="007C0E99"/>
    <w:rsid w:val="007C2244"/>
    <w:rsid w:val="007C3AA9"/>
    <w:rsid w:val="007C41E0"/>
    <w:rsid w:val="007C4875"/>
    <w:rsid w:val="007C5190"/>
    <w:rsid w:val="007C6A0A"/>
    <w:rsid w:val="007C77E2"/>
    <w:rsid w:val="007D1E2E"/>
    <w:rsid w:val="007D2A3C"/>
    <w:rsid w:val="007D37F0"/>
    <w:rsid w:val="007D6CC9"/>
    <w:rsid w:val="007F1C01"/>
    <w:rsid w:val="007F3E55"/>
    <w:rsid w:val="007F48EB"/>
    <w:rsid w:val="00806594"/>
    <w:rsid w:val="008074FA"/>
    <w:rsid w:val="00807F62"/>
    <w:rsid w:val="008134E2"/>
    <w:rsid w:val="00813E19"/>
    <w:rsid w:val="008148C7"/>
    <w:rsid w:val="00815475"/>
    <w:rsid w:val="0081610B"/>
    <w:rsid w:val="00816E8E"/>
    <w:rsid w:val="00821548"/>
    <w:rsid w:val="00824877"/>
    <w:rsid w:val="008250B8"/>
    <w:rsid w:val="00827227"/>
    <w:rsid w:val="00830F7C"/>
    <w:rsid w:val="00832FE4"/>
    <w:rsid w:val="008335D9"/>
    <w:rsid w:val="00835B35"/>
    <w:rsid w:val="00840E40"/>
    <w:rsid w:val="00843DEE"/>
    <w:rsid w:val="00843F05"/>
    <w:rsid w:val="0084720D"/>
    <w:rsid w:val="00847799"/>
    <w:rsid w:val="00850064"/>
    <w:rsid w:val="00851D4F"/>
    <w:rsid w:val="00851F28"/>
    <w:rsid w:val="0085372F"/>
    <w:rsid w:val="00853E17"/>
    <w:rsid w:val="00854C7A"/>
    <w:rsid w:val="00855297"/>
    <w:rsid w:val="00857140"/>
    <w:rsid w:val="00857C58"/>
    <w:rsid w:val="00860DF8"/>
    <w:rsid w:val="0086238C"/>
    <w:rsid w:val="00865B87"/>
    <w:rsid w:val="00871D9C"/>
    <w:rsid w:val="008739E3"/>
    <w:rsid w:val="00874C70"/>
    <w:rsid w:val="00874DC1"/>
    <w:rsid w:val="00875F40"/>
    <w:rsid w:val="008864EE"/>
    <w:rsid w:val="0089197B"/>
    <w:rsid w:val="00892008"/>
    <w:rsid w:val="0089294E"/>
    <w:rsid w:val="00892BE0"/>
    <w:rsid w:val="00893010"/>
    <w:rsid w:val="00893A0D"/>
    <w:rsid w:val="00893C1D"/>
    <w:rsid w:val="00894383"/>
    <w:rsid w:val="00894D18"/>
    <w:rsid w:val="008961AC"/>
    <w:rsid w:val="008A0D89"/>
    <w:rsid w:val="008A181F"/>
    <w:rsid w:val="008A2082"/>
    <w:rsid w:val="008A3660"/>
    <w:rsid w:val="008A37BE"/>
    <w:rsid w:val="008A6EC9"/>
    <w:rsid w:val="008A73FC"/>
    <w:rsid w:val="008A7F13"/>
    <w:rsid w:val="008B0A4F"/>
    <w:rsid w:val="008B0DDD"/>
    <w:rsid w:val="008B15D8"/>
    <w:rsid w:val="008B1833"/>
    <w:rsid w:val="008B19CD"/>
    <w:rsid w:val="008B374B"/>
    <w:rsid w:val="008B3D19"/>
    <w:rsid w:val="008C05FC"/>
    <w:rsid w:val="008C1068"/>
    <w:rsid w:val="008C148B"/>
    <w:rsid w:val="008C1AC4"/>
    <w:rsid w:val="008C2454"/>
    <w:rsid w:val="008C2A71"/>
    <w:rsid w:val="008C33C1"/>
    <w:rsid w:val="008C375C"/>
    <w:rsid w:val="008C38EF"/>
    <w:rsid w:val="008C5C4E"/>
    <w:rsid w:val="008C6117"/>
    <w:rsid w:val="008D4EBD"/>
    <w:rsid w:val="008D5616"/>
    <w:rsid w:val="008E0C60"/>
    <w:rsid w:val="008E220F"/>
    <w:rsid w:val="008E3603"/>
    <w:rsid w:val="008E39C8"/>
    <w:rsid w:val="008E4DD0"/>
    <w:rsid w:val="008F11F0"/>
    <w:rsid w:val="008F4577"/>
    <w:rsid w:val="008F7CE7"/>
    <w:rsid w:val="00901B43"/>
    <w:rsid w:val="00905454"/>
    <w:rsid w:val="009114F9"/>
    <w:rsid w:val="009137F1"/>
    <w:rsid w:val="00913A58"/>
    <w:rsid w:val="00913DE5"/>
    <w:rsid w:val="00914F5E"/>
    <w:rsid w:val="0091591B"/>
    <w:rsid w:val="00915C37"/>
    <w:rsid w:val="00916C45"/>
    <w:rsid w:val="0091777B"/>
    <w:rsid w:val="00921B1E"/>
    <w:rsid w:val="0092244F"/>
    <w:rsid w:val="009258D8"/>
    <w:rsid w:val="00926386"/>
    <w:rsid w:val="00926DD2"/>
    <w:rsid w:val="00931D62"/>
    <w:rsid w:val="00932A79"/>
    <w:rsid w:val="00932FA3"/>
    <w:rsid w:val="00933AFA"/>
    <w:rsid w:val="009340D9"/>
    <w:rsid w:val="0094308D"/>
    <w:rsid w:val="0094340D"/>
    <w:rsid w:val="00950BF3"/>
    <w:rsid w:val="00952B59"/>
    <w:rsid w:val="009555E2"/>
    <w:rsid w:val="009607CD"/>
    <w:rsid w:val="00963B97"/>
    <w:rsid w:val="0096433D"/>
    <w:rsid w:val="00967876"/>
    <w:rsid w:val="00967ABB"/>
    <w:rsid w:val="00971672"/>
    <w:rsid w:val="0097307E"/>
    <w:rsid w:val="009741C3"/>
    <w:rsid w:val="0097777F"/>
    <w:rsid w:val="00981E36"/>
    <w:rsid w:val="009823E2"/>
    <w:rsid w:val="00984EEF"/>
    <w:rsid w:val="00987166"/>
    <w:rsid w:val="009875A7"/>
    <w:rsid w:val="00991A4E"/>
    <w:rsid w:val="009934F0"/>
    <w:rsid w:val="00996ED6"/>
    <w:rsid w:val="009A0AC1"/>
    <w:rsid w:val="009A18BE"/>
    <w:rsid w:val="009A6242"/>
    <w:rsid w:val="009A6668"/>
    <w:rsid w:val="009A6FC4"/>
    <w:rsid w:val="009B22C2"/>
    <w:rsid w:val="009B23F1"/>
    <w:rsid w:val="009B295D"/>
    <w:rsid w:val="009B4D1F"/>
    <w:rsid w:val="009B7CFF"/>
    <w:rsid w:val="009C21C0"/>
    <w:rsid w:val="009C31E1"/>
    <w:rsid w:val="009C37E9"/>
    <w:rsid w:val="009C57E4"/>
    <w:rsid w:val="009C6810"/>
    <w:rsid w:val="009C7002"/>
    <w:rsid w:val="009D0B1F"/>
    <w:rsid w:val="009D22BE"/>
    <w:rsid w:val="009D291F"/>
    <w:rsid w:val="009D3D1C"/>
    <w:rsid w:val="009D4DAB"/>
    <w:rsid w:val="009D604D"/>
    <w:rsid w:val="009D708F"/>
    <w:rsid w:val="009E10A8"/>
    <w:rsid w:val="009E5E6F"/>
    <w:rsid w:val="009E6CC9"/>
    <w:rsid w:val="009F1AD2"/>
    <w:rsid w:val="009F2CBF"/>
    <w:rsid w:val="009F3529"/>
    <w:rsid w:val="00A11A0F"/>
    <w:rsid w:val="00A13C38"/>
    <w:rsid w:val="00A2266A"/>
    <w:rsid w:val="00A255EA"/>
    <w:rsid w:val="00A2615C"/>
    <w:rsid w:val="00A34638"/>
    <w:rsid w:val="00A35027"/>
    <w:rsid w:val="00A40860"/>
    <w:rsid w:val="00A41A09"/>
    <w:rsid w:val="00A42618"/>
    <w:rsid w:val="00A433D9"/>
    <w:rsid w:val="00A45E1D"/>
    <w:rsid w:val="00A46D96"/>
    <w:rsid w:val="00A51C16"/>
    <w:rsid w:val="00A55E6F"/>
    <w:rsid w:val="00A56615"/>
    <w:rsid w:val="00A5684A"/>
    <w:rsid w:val="00A6057D"/>
    <w:rsid w:val="00A60663"/>
    <w:rsid w:val="00A629B4"/>
    <w:rsid w:val="00A65746"/>
    <w:rsid w:val="00A73037"/>
    <w:rsid w:val="00A73289"/>
    <w:rsid w:val="00A7402E"/>
    <w:rsid w:val="00A76A90"/>
    <w:rsid w:val="00A82808"/>
    <w:rsid w:val="00A84446"/>
    <w:rsid w:val="00A85CA3"/>
    <w:rsid w:val="00A870EB"/>
    <w:rsid w:val="00A87283"/>
    <w:rsid w:val="00A9023C"/>
    <w:rsid w:val="00A9197F"/>
    <w:rsid w:val="00AA1F38"/>
    <w:rsid w:val="00AA3E09"/>
    <w:rsid w:val="00AA6E3B"/>
    <w:rsid w:val="00AB0335"/>
    <w:rsid w:val="00AB4E79"/>
    <w:rsid w:val="00AB70E4"/>
    <w:rsid w:val="00AB7F1D"/>
    <w:rsid w:val="00AC46ED"/>
    <w:rsid w:val="00AC639D"/>
    <w:rsid w:val="00AC72E9"/>
    <w:rsid w:val="00AC741C"/>
    <w:rsid w:val="00AD0671"/>
    <w:rsid w:val="00AD15F5"/>
    <w:rsid w:val="00AD21B0"/>
    <w:rsid w:val="00AD3EA4"/>
    <w:rsid w:val="00AD6287"/>
    <w:rsid w:val="00AD6DC9"/>
    <w:rsid w:val="00AE1CB6"/>
    <w:rsid w:val="00AE1CE8"/>
    <w:rsid w:val="00AE423D"/>
    <w:rsid w:val="00AF166E"/>
    <w:rsid w:val="00AF2254"/>
    <w:rsid w:val="00AF32DD"/>
    <w:rsid w:val="00AF3E31"/>
    <w:rsid w:val="00AF4E64"/>
    <w:rsid w:val="00B00CF5"/>
    <w:rsid w:val="00B0153C"/>
    <w:rsid w:val="00B03DCC"/>
    <w:rsid w:val="00B03DF0"/>
    <w:rsid w:val="00B10292"/>
    <w:rsid w:val="00B104A9"/>
    <w:rsid w:val="00B10996"/>
    <w:rsid w:val="00B13DC9"/>
    <w:rsid w:val="00B17069"/>
    <w:rsid w:val="00B17FDF"/>
    <w:rsid w:val="00B203C7"/>
    <w:rsid w:val="00B214D1"/>
    <w:rsid w:val="00B21A13"/>
    <w:rsid w:val="00B23178"/>
    <w:rsid w:val="00B2365D"/>
    <w:rsid w:val="00B2388E"/>
    <w:rsid w:val="00B238A1"/>
    <w:rsid w:val="00B23B0F"/>
    <w:rsid w:val="00B24CCA"/>
    <w:rsid w:val="00B30C6E"/>
    <w:rsid w:val="00B31A47"/>
    <w:rsid w:val="00B32913"/>
    <w:rsid w:val="00B375B0"/>
    <w:rsid w:val="00B40132"/>
    <w:rsid w:val="00B423C5"/>
    <w:rsid w:val="00B432D0"/>
    <w:rsid w:val="00B53092"/>
    <w:rsid w:val="00B553F7"/>
    <w:rsid w:val="00B563A5"/>
    <w:rsid w:val="00B60841"/>
    <w:rsid w:val="00B61FEB"/>
    <w:rsid w:val="00B672F6"/>
    <w:rsid w:val="00B707DF"/>
    <w:rsid w:val="00B715E8"/>
    <w:rsid w:val="00B71BE8"/>
    <w:rsid w:val="00B72CF8"/>
    <w:rsid w:val="00B7476E"/>
    <w:rsid w:val="00B74865"/>
    <w:rsid w:val="00B74B5A"/>
    <w:rsid w:val="00B7783D"/>
    <w:rsid w:val="00B77DB5"/>
    <w:rsid w:val="00B8460A"/>
    <w:rsid w:val="00B8502E"/>
    <w:rsid w:val="00B87D49"/>
    <w:rsid w:val="00B90BA9"/>
    <w:rsid w:val="00B911B5"/>
    <w:rsid w:val="00B96947"/>
    <w:rsid w:val="00B96CC2"/>
    <w:rsid w:val="00BA0CF6"/>
    <w:rsid w:val="00BA362C"/>
    <w:rsid w:val="00BA511C"/>
    <w:rsid w:val="00BA57B8"/>
    <w:rsid w:val="00BA62EF"/>
    <w:rsid w:val="00BA6731"/>
    <w:rsid w:val="00BA7E47"/>
    <w:rsid w:val="00BB1264"/>
    <w:rsid w:val="00BB501D"/>
    <w:rsid w:val="00BC1E98"/>
    <w:rsid w:val="00BC338F"/>
    <w:rsid w:val="00BC3524"/>
    <w:rsid w:val="00BC39C2"/>
    <w:rsid w:val="00BC6731"/>
    <w:rsid w:val="00BC673A"/>
    <w:rsid w:val="00BD07E5"/>
    <w:rsid w:val="00BD2EF0"/>
    <w:rsid w:val="00BD41D3"/>
    <w:rsid w:val="00BD4658"/>
    <w:rsid w:val="00BD6385"/>
    <w:rsid w:val="00BD7461"/>
    <w:rsid w:val="00BE0225"/>
    <w:rsid w:val="00BE1056"/>
    <w:rsid w:val="00BE1B95"/>
    <w:rsid w:val="00BE216A"/>
    <w:rsid w:val="00BE2734"/>
    <w:rsid w:val="00BE2F96"/>
    <w:rsid w:val="00BE4AFB"/>
    <w:rsid w:val="00BE4EDC"/>
    <w:rsid w:val="00BE576F"/>
    <w:rsid w:val="00BE59D2"/>
    <w:rsid w:val="00BE6D28"/>
    <w:rsid w:val="00BE7E73"/>
    <w:rsid w:val="00BF07C4"/>
    <w:rsid w:val="00BF3F26"/>
    <w:rsid w:val="00BF4029"/>
    <w:rsid w:val="00BF6D66"/>
    <w:rsid w:val="00BF70C0"/>
    <w:rsid w:val="00C11E26"/>
    <w:rsid w:val="00C127A3"/>
    <w:rsid w:val="00C13949"/>
    <w:rsid w:val="00C13CBB"/>
    <w:rsid w:val="00C16B32"/>
    <w:rsid w:val="00C207CF"/>
    <w:rsid w:val="00C2503A"/>
    <w:rsid w:val="00C272DE"/>
    <w:rsid w:val="00C30B5D"/>
    <w:rsid w:val="00C30FB0"/>
    <w:rsid w:val="00C31385"/>
    <w:rsid w:val="00C3148A"/>
    <w:rsid w:val="00C323C9"/>
    <w:rsid w:val="00C35D16"/>
    <w:rsid w:val="00C37FC3"/>
    <w:rsid w:val="00C40EA7"/>
    <w:rsid w:val="00C41DC3"/>
    <w:rsid w:val="00C43BB7"/>
    <w:rsid w:val="00C45645"/>
    <w:rsid w:val="00C46AE8"/>
    <w:rsid w:val="00C46AEA"/>
    <w:rsid w:val="00C478A1"/>
    <w:rsid w:val="00C5095B"/>
    <w:rsid w:val="00C50B72"/>
    <w:rsid w:val="00C51A70"/>
    <w:rsid w:val="00C51F14"/>
    <w:rsid w:val="00C51FD7"/>
    <w:rsid w:val="00C52AB6"/>
    <w:rsid w:val="00C53D00"/>
    <w:rsid w:val="00C57BB1"/>
    <w:rsid w:val="00C57CE9"/>
    <w:rsid w:val="00C57F8B"/>
    <w:rsid w:val="00C61F6E"/>
    <w:rsid w:val="00C63515"/>
    <w:rsid w:val="00C64360"/>
    <w:rsid w:val="00C67EAC"/>
    <w:rsid w:val="00C720D1"/>
    <w:rsid w:val="00C724A2"/>
    <w:rsid w:val="00C72DE0"/>
    <w:rsid w:val="00C73958"/>
    <w:rsid w:val="00C80059"/>
    <w:rsid w:val="00C80684"/>
    <w:rsid w:val="00C81777"/>
    <w:rsid w:val="00C8187A"/>
    <w:rsid w:val="00C8475D"/>
    <w:rsid w:val="00C8753D"/>
    <w:rsid w:val="00C87740"/>
    <w:rsid w:val="00C9294D"/>
    <w:rsid w:val="00C95639"/>
    <w:rsid w:val="00C9726E"/>
    <w:rsid w:val="00C97CC8"/>
    <w:rsid w:val="00CA1296"/>
    <w:rsid w:val="00CA78BA"/>
    <w:rsid w:val="00CB0E6D"/>
    <w:rsid w:val="00CB4E77"/>
    <w:rsid w:val="00CB5677"/>
    <w:rsid w:val="00CB5895"/>
    <w:rsid w:val="00CB70FF"/>
    <w:rsid w:val="00CC3453"/>
    <w:rsid w:val="00CC60BD"/>
    <w:rsid w:val="00CC7AC0"/>
    <w:rsid w:val="00CD0331"/>
    <w:rsid w:val="00CE200D"/>
    <w:rsid w:val="00CE205F"/>
    <w:rsid w:val="00CE33CB"/>
    <w:rsid w:val="00CE79CE"/>
    <w:rsid w:val="00CF2B8E"/>
    <w:rsid w:val="00CF54A4"/>
    <w:rsid w:val="00CF5535"/>
    <w:rsid w:val="00CF6D71"/>
    <w:rsid w:val="00D013A0"/>
    <w:rsid w:val="00D01F5C"/>
    <w:rsid w:val="00D069DA"/>
    <w:rsid w:val="00D12127"/>
    <w:rsid w:val="00D2102F"/>
    <w:rsid w:val="00D21FF1"/>
    <w:rsid w:val="00D2288C"/>
    <w:rsid w:val="00D25CA1"/>
    <w:rsid w:val="00D27AF0"/>
    <w:rsid w:val="00D32BCA"/>
    <w:rsid w:val="00D33058"/>
    <w:rsid w:val="00D335F2"/>
    <w:rsid w:val="00D37035"/>
    <w:rsid w:val="00D373BB"/>
    <w:rsid w:val="00D4058C"/>
    <w:rsid w:val="00D40967"/>
    <w:rsid w:val="00D42252"/>
    <w:rsid w:val="00D4385A"/>
    <w:rsid w:val="00D44E2D"/>
    <w:rsid w:val="00D450DC"/>
    <w:rsid w:val="00D458F4"/>
    <w:rsid w:val="00D50755"/>
    <w:rsid w:val="00D5140D"/>
    <w:rsid w:val="00D518A4"/>
    <w:rsid w:val="00D522B3"/>
    <w:rsid w:val="00D52C3D"/>
    <w:rsid w:val="00D533A5"/>
    <w:rsid w:val="00D56307"/>
    <w:rsid w:val="00D56604"/>
    <w:rsid w:val="00D6331B"/>
    <w:rsid w:val="00D673FC"/>
    <w:rsid w:val="00D704EF"/>
    <w:rsid w:val="00D71CDE"/>
    <w:rsid w:val="00D74777"/>
    <w:rsid w:val="00D75227"/>
    <w:rsid w:val="00D753E1"/>
    <w:rsid w:val="00D75AEA"/>
    <w:rsid w:val="00D80A95"/>
    <w:rsid w:val="00D8153E"/>
    <w:rsid w:val="00D83CD5"/>
    <w:rsid w:val="00DA1815"/>
    <w:rsid w:val="00DA4BC6"/>
    <w:rsid w:val="00DB0C1E"/>
    <w:rsid w:val="00DB1337"/>
    <w:rsid w:val="00DB320F"/>
    <w:rsid w:val="00DB3638"/>
    <w:rsid w:val="00DB4664"/>
    <w:rsid w:val="00DB6FE5"/>
    <w:rsid w:val="00DC2A38"/>
    <w:rsid w:val="00DC68A9"/>
    <w:rsid w:val="00DC6BDF"/>
    <w:rsid w:val="00DD028D"/>
    <w:rsid w:val="00DD1225"/>
    <w:rsid w:val="00DD28C8"/>
    <w:rsid w:val="00DD2E35"/>
    <w:rsid w:val="00DE47E0"/>
    <w:rsid w:val="00DE4B88"/>
    <w:rsid w:val="00DE4D8D"/>
    <w:rsid w:val="00DE5BAE"/>
    <w:rsid w:val="00DE7D97"/>
    <w:rsid w:val="00DE7EDA"/>
    <w:rsid w:val="00DF066C"/>
    <w:rsid w:val="00DF0C0B"/>
    <w:rsid w:val="00DF0EBA"/>
    <w:rsid w:val="00DF243B"/>
    <w:rsid w:val="00DF38B7"/>
    <w:rsid w:val="00DF4A32"/>
    <w:rsid w:val="00DF6837"/>
    <w:rsid w:val="00DF75CD"/>
    <w:rsid w:val="00DF7CEB"/>
    <w:rsid w:val="00E12D72"/>
    <w:rsid w:val="00E13B07"/>
    <w:rsid w:val="00E14780"/>
    <w:rsid w:val="00E22328"/>
    <w:rsid w:val="00E23259"/>
    <w:rsid w:val="00E23B26"/>
    <w:rsid w:val="00E24890"/>
    <w:rsid w:val="00E26AE9"/>
    <w:rsid w:val="00E26C4B"/>
    <w:rsid w:val="00E276CE"/>
    <w:rsid w:val="00E305EF"/>
    <w:rsid w:val="00E30B40"/>
    <w:rsid w:val="00E316B7"/>
    <w:rsid w:val="00E33353"/>
    <w:rsid w:val="00E33EF0"/>
    <w:rsid w:val="00E35841"/>
    <w:rsid w:val="00E36508"/>
    <w:rsid w:val="00E366B0"/>
    <w:rsid w:val="00E367A3"/>
    <w:rsid w:val="00E36A53"/>
    <w:rsid w:val="00E404B3"/>
    <w:rsid w:val="00E40CC6"/>
    <w:rsid w:val="00E414C7"/>
    <w:rsid w:val="00E42B59"/>
    <w:rsid w:val="00E431FF"/>
    <w:rsid w:val="00E438AA"/>
    <w:rsid w:val="00E445B7"/>
    <w:rsid w:val="00E47340"/>
    <w:rsid w:val="00E47D9D"/>
    <w:rsid w:val="00E5102A"/>
    <w:rsid w:val="00E54200"/>
    <w:rsid w:val="00E550E4"/>
    <w:rsid w:val="00E55FA6"/>
    <w:rsid w:val="00E56A17"/>
    <w:rsid w:val="00E57CDF"/>
    <w:rsid w:val="00E612BC"/>
    <w:rsid w:val="00E61DE1"/>
    <w:rsid w:val="00E63444"/>
    <w:rsid w:val="00E64748"/>
    <w:rsid w:val="00E65B5E"/>
    <w:rsid w:val="00E67E87"/>
    <w:rsid w:val="00E701EB"/>
    <w:rsid w:val="00E7390F"/>
    <w:rsid w:val="00E74DAD"/>
    <w:rsid w:val="00E8341B"/>
    <w:rsid w:val="00E83793"/>
    <w:rsid w:val="00E83A81"/>
    <w:rsid w:val="00E83BBF"/>
    <w:rsid w:val="00E84435"/>
    <w:rsid w:val="00E917C3"/>
    <w:rsid w:val="00E933EA"/>
    <w:rsid w:val="00E9512F"/>
    <w:rsid w:val="00E95321"/>
    <w:rsid w:val="00E96157"/>
    <w:rsid w:val="00EA066C"/>
    <w:rsid w:val="00EA120F"/>
    <w:rsid w:val="00EA2F02"/>
    <w:rsid w:val="00EA32E7"/>
    <w:rsid w:val="00EA3D77"/>
    <w:rsid w:val="00EA42EE"/>
    <w:rsid w:val="00EA4FD3"/>
    <w:rsid w:val="00EA6021"/>
    <w:rsid w:val="00EA6116"/>
    <w:rsid w:val="00EB063D"/>
    <w:rsid w:val="00EB3EA3"/>
    <w:rsid w:val="00EB5665"/>
    <w:rsid w:val="00EC04D2"/>
    <w:rsid w:val="00EC13FF"/>
    <w:rsid w:val="00EC2B1B"/>
    <w:rsid w:val="00EC2E0A"/>
    <w:rsid w:val="00EC5FDE"/>
    <w:rsid w:val="00EC6694"/>
    <w:rsid w:val="00EC76E3"/>
    <w:rsid w:val="00EC7DEA"/>
    <w:rsid w:val="00ED1DE6"/>
    <w:rsid w:val="00ED55C3"/>
    <w:rsid w:val="00EE1AD5"/>
    <w:rsid w:val="00EE20F4"/>
    <w:rsid w:val="00EE4C9D"/>
    <w:rsid w:val="00EE5991"/>
    <w:rsid w:val="00EE73F5"/>
    <w:rsid w:val="00EF6359"/>
    <w:rsid w:val="00EF68BD"/>
    <w:rsid w:val="00EF6A53"/>
    <w:rsid w:val="00F00D39"/>
    <w:rsid w:val="00F048E8"/>
    <w:rsid w:val="00F04D97"/>
    <w:rsid w:val="00F12818"/>
    <w:rsid w:val="00F12B07"/>
    <w:rsid w:val="00F133B2"/>
    <w:rsid w:val="00F1345D"/>
    <w:rsid w:val="00F13FD5"/>
    <w:rsid w:val="00F1618C"/>
    <w:rsid w:val="00F16F92"/>
    <w:rsid w:val="00F207B2"/>
    <w:rsid w:val="00F22CAA"/>
    <w:rsid w:val="00F315C0"/>
    <w:rsid w:val="00F351EB"/>
    <w:rsid w:val="00F35295"/>
    <w:rsid w:val="00F36968"/>
    <w:rsid w:val="00F37C88"/>
    <w:rsid w:val="00F424E4"/>
    <w:rsid w:val="00F435D5"/>
    <w:rsid w:val="00F46B99"/>
    <w:rsid w:val="00F50362"/>
    <w:rsid w:val="00F509E8"/>
    <w:rsid w:val="00F50BC6"/>
    <w:rsid w:val="00F54822"/>
    <w:rsid w:val="00F571D3"/>
    <w:rsid w:val="00F5732B"/>
    <w:rsid w:val="00F6302F"/>
    <w:rsid w:val="00F67318"/>
    <w:rsid w:val="00F71755"/>
    <w:rsid w:val="00F75454"/>
    <w:rsid w:val="00F757DC"/>
    <w:rsid w:val="00F77056"/>
    <w:rsid w:val="00F77A5E"/>
    <w:rsid w:val="00F81E04"/>
    <w:rsid w:val="00F83C64"/>
    <w:rsid w:val="00F85F14"/>
    <w:rsid w:val="00F930B1"/>
    <w:rsid w:val="00F94CA4"/>
    <w:rsid w:val="00F95387"/>
    <w:rsid w:val="00FA2E98"/>
    <w:rsid w:val="00FA414F"/>
    <w:rsid w:val="00FA6149"/>
    <w:rsid w:val="00FA670F"/>
    <w:rsid w:val="00FB04A4"/>
    <w:rsid w:val="00FB06ED"/>
    <w:rsid w:val="00FB2B42"/>
    <w:rsid w:val="00FB3BC0"/>
    <w:rsid w:val="00FB3CAC"/>
    <w:rsid w:val="00FB7773"/>
    <w:rsid w:val="00FB777F"/>
    <w:rsid w:val="00FC2024"/>
    <w:rsid w:val="00FC372A"/>
    <w:rsid w:val="00FC3EC5"/>
    <w:rsid w:val="00FD0115"/>
    <w:rsid w:val="00FD0D01"/>
    <w:rsid w:val="00FD4E54"/>
    <w:rsid w:val="00FD7F17"/>
    <w:rsid w:val="00FE277A"/>
    <w:rsid w:val="00FE5AF8"/>
    <w:rsid w:val="00FE5B8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 w:type="character" w:styleId="af4">
    <w:name w:val="Placeholder Text"/>
    <w:basedOn w:val="a0"/>
    <w:uiPriority w:val="99"/>
    <w:semiHidden/>
    <w:rsid w:val="00BA6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36323780">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56515934">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0099829">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37770404">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49714628">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0819760">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3659441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65699399">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1064333">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39894742">
      <w:bodyDiv w:val="1"/>
      <w:marLeft w:val="0"/>
      <w:marRight w:val="0"/>
      <w:marTop w:val="0"/>
      <w:marBottom w:val="0"/>
      <w:divBdr>
        <w:top w:val="none" w:sz="0" w:space="0" w:color="auto"/>
        <w:left w:val="none" w:sz="0" w:space="0" w:color="auto"/>
        <w:bottom w:val="none" w:sz="0" w:space="0" w:color="auto"/>
        <w:right w:val="none" w:sz="0" w:space="0" w:color="auto"/>
      </w:divBdr>
      <w:divsChild>
        <w:div w:id="1485662680">
          <w:marLeft w:val="0"/>
          <w:marRight w:val="0"/>
          <w:marTop w:val="0"/>
          <w:marBottom w:val="0"/>
          <w:divBdr>
            <w:top w:val="none" w:sz="0" w:space="0" w:color="auto"/>
            <w:left w:val="none" w:sz="0" w:space="0" w:color="auto"/>
            <w:bottom w:val="none" w:sz="0" w:space="0" w:color="auto"/>
            <w:right w:val="none" w:sz="0" w:space="0" w:color="auto"/>
          </w:divBdr>
          <w:divsChild>
            <w:div w:id="781727847">
              <w:marLeft w:val="0"/>
              <w:marRight w:val="0"/>
              <w:marTop w:val="0"/>
              <w:marBottom w:val="0"/>
              <w:divBdr>
                <w:top w:val="none" w:sz="0" w:space="0" w:color="auto"/>
                <w:left w:val="none" w:sz="0" w:space="0" w:color="auto"/>
                <w:bottom w:val="none" w:sz="0" w:space="0" w:color="auto"/>
                <w:right w:val="none" w:sz="0" w:space="0" w:color="auto"/>
              </w:divBdr>
              <w:divsChild>
                <w:div w:id="31081571">
                  <w:marLeft w:val="0"/>
                  <w:marRight w:val="0"/>
                  <w:marTop w:val="0"/>
                  <w:marBottom w:val="0"/>
                  <w:divBdr>
                    <w:top w:val="none" w:sz="0" w:space="0" w:color="auto"/>
                    <w:left w:val="none" w:sz="0" w:space="0" w:color="auto"/>
                    <w:bottom w:val="none" w:sz="0" w:space="0" w:color="auto"/>
                    <w:right w:val="none" w:sz="0" w:space="0" w:color="auto"/>
                  </w:divBdr>
                  <w:divsChild>
                    <w:div w:id="1664969962">
                      <w:marLeft w:val="0"/>
                      <w:marRight w:val="0"/>
                      <w:marTop w:val="0"/>
                      <w:marBottom w:val="0"/>
                      <w:divBdr>
                        <w:top w:val="none" w:sz="0" w:space="0" w:color="auto"/>
                        <w:left w:val="none" w:sz="0" w:space="0" w:color="auto"/>
                        <w:bottom w:val="none" w:sz="0" w:space="0" w:color="auto"/>
                        <w:right w:val="none" w:sz="0" w:space="0" w:color="auto"/>
                      </w:divBdr>
                      <w:divsChild>
                        <w:div w:id="870262062">
                          <w:marLeft w:val="0"/>
                          <w:marRight w:val="0"/>
                          <w:marTop w:val="0"/>
                          <w:marBottom w:val="0"/>
                          <w:divBdr>
                            <w:top w:val="none" w:sz="0" w:space="0" w:color="auto"/>
                            <w:left w:val="none" w:sz="0" w:space="0" w:color="auto"/>
                            <w:bottom w:val="none" w:sz="0" w:space="0" w:color="auto"/>
                            <w:right w:val="none" w:sz="0" w:space="0" w:color="auto"/>
                          </w:divBdr>
                          <w:divsChild>
                            <w:div w:id="1093820401">
                              <w:marLeft w:val="0"/>
                              <w:marRight w:val="0"/>
                              <w:marTop w:val="0"/>
                              <w:marBottom w:val="0"/>
                              <w:divBdr>
                                <w:top w:val="none" w:sz="0" w:space="0" w:color="auto"/>
                                <w:left w:val="none" w:sz="0" w:space="0" w:color="auto"/>
                                <w:bottom w:val="none" w:sz="0" w:space="0" w:color="auto"/>
                                <w:right w:val="none" w:sz="0" w:space="0" w:color="auto"/>
                              </w:divBdr>
                              <w:divsChild>
                                <w:div w:id="913391318">
                                  <w:marLeft w:val="0"/>
                                  <w:marRight w:val="0"/>
                                  <w:marTop w:val="0"/>
                                  <w:marBottom w:val="0"/>
                                  <w:divBdr>
                                    <w:top w:val="none" w:sz="0" w:space="0" w:color="auto"/>
                                    <w:left w:val="none" w:sz="0" w:space="0" w:color="auto"/>
                                    <w:bottom w:val="none" w:sz="0" w:space="0" w:color="auto"/>
                                    <w:right w:val="none" w:sz="0" w:space="0" w:color="auto"/>
                                  </w:divBdr>
                                  <w:divsChild>
                                    <w:div w:id="1111318516">
                                      <w:marLeft w:val="0"/>
                                      <w:marRight w:val="0"/>
                                      <w:marTop w:val="0"/>
                                      <w:marBottom w:val="0"/>
                                      <w:divBdr>
                                        <w:top w:val="none" w:sz="0" w:space="0" w:color="auto"/>
                                        <w:left w:val="none" w:sz="0" w:space="0" w:color="auto"/>
                                        <w:bottom w:val="none" w:sz="0" w:space="0" w:color="auto"/>
                                        <w:right w:val="none" w:sz="0" w:space="0" w:color="auto"/>
                                      </w:divBdr>
                                      <w:divsChild>
                                        <w:div w:id="2120908050">
                                          <w:marLeft w:val="0"/>
                                          <w:marRight w:val="0"/>
                                          <w:marTop w:val="0"/>
                                          <w:marBottom w:val="0"/>
                                          <w:divBdr>
                                            <w:top w:val="none" w:sz="0" w:space="0" w:color="auto"/>
                                            <w:left w:val="none" w:sz="0" w:space="0" w:color="auto"/>
                                            <w:bottom w:val="none" w:sz="0" w:space="0" w:color="auto"/>
                                            <w:right w:val="none" w:sz="0" w:space="0" w:color="auto"/>
                                          </w:divBdr>
                                          <w:divsChild>
                                            <w:div w:id="1496650369">
                                              <w:marLeft w:val="0"/>
                                              <w:marRight w:val="0"/>
                                              <w:marTop w:val="0"/>
                                              <w:marBottom w:val="0"/>
                                              <w:divBdr>
                                                <w:top w:val="none" w:sz="0" w:space="0" w:color="auto"/>
                                                <w:left w:val="none" w:sz="0" w:space="0" w:color="auto"/>
                                                <w:bottom w:val="none" w:sz="0" w:space="0" w:color="auto"/>
                                                <w:right w:val="none" w:sz="0" w:space="0" w:color="auto"/>
                                              </w:divBdr>
                                              <w:divsChild>
                                                <w:div w:id="828912225">
                                                  <w:marLeft w:val="0"/>
                                                  <w:marRight w:val="0"/>
                                                  <w:marTop w:val="0"/>
                                                  <w:marBottom w:val="0"/>
                                                  <w:divBdr>
                                                    <w:top w:val="none" w:sz="0" w:space="0" w:color="auto"/>
                                                    <w:left w:val="none" w:sz="0" w:space="0" w:color="auto"/>
                                                    <w:bottom w:val="none" w:sz="0" w:space="0" w:color="auto"/>
                                                    <w:right w:val="none" w:sz="0" w:space="0" w:color="auto"/>
                                                  </w:divBdr>
                                                  <w:divsChild>
                                                    <w:div w:id="1798600924">
                                                      <w:marLeft w:val="0"/>
                                                      <w:marRight w:val="0"/>
                                                      <w:marTop w:val="0"/>
                                                      <w:marBottom w:val="0"/>
                                                      <w:divBdr>
                                                        <w:top w:val="none" w:sz="0" w:space="0" w:color="auto"/>
                                                        <w:left w:val="none" w:sz="0" w:space="0" w:color="auto"/>
                                                        <w:bottom w:val="none" w:sz="0" w:space="0" w:color="auto"/>
                                                        <w:right w:val="none" w:sz="0" w:space="0" w:color="auto"/>
                                                      </w:divBdr>
                                                      <w:divsChild>
                                                        <w:div w:id="1468473991">
                                                          <w:marLeft w:val="0"/>
                                                          <w:marRight w:val="0"/>
                                                          <w:marTop w:val="0"/>
                                                          <w:marBottom w:val="0"/>
                                                          <w:divBdr>
                                                            <w:top w:val="none" w:sz="0" w:space="0" w:color="auto"/>
                                                            <w:left w:val="none" w:sz="0" w:space="0" w:color="auto"/>
                                                            <w:bottom w:val="none" w:sz="0" w:space="0" w:color="auto"/>
                                                            <w:right w:val="none" w:sz="0" w:space="0" w:color="auto"/>
                                                          </w:divBdr>
                                                        </w:div>
                                                        <w:div w:id="37115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2729150">
                                  <w:marLeft w:val="0"/>
                                  <w:marRight w:val="0"/>
                                  <w:marTop w:val="0"/>
                                  <w:marBottom w:val="0"/>
                                  <w:divBdr>
                                    <w:top w:val="none" w:sz="0" w:space="0" w:color="auto"/>
                                    <w:left w:val="none" w:sz="0" w:space="0" w:color="auto"/>
                                    <w:bottom w:val="none" w:sz="0" w:space="0" w:color="auto"/>
                                    <w:right w:val="none" w:sz="0" w:space="0" w:color="auto"/>
                                  </w:divBdr>
                                  <w:divsChild>
                                    <w:div w:id="58853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8313822">
          <w:marLeft w:val="0"/>
          <w:marRight w:val="0"/>
          <w:marTop w:val="0"/>
          <w:marBottom w:val="0"/>
          <w:divBdr>
            <w:top w:val="none" w:sz="0" w:space="0" w:color="auto"/>
            <w:left w:val="none" w:sz="0" w:space="0" w:color="auto"/>
            <w:bottom w:val="none" w:sz="0" w:space="0" w:color="auto"/>
            <w:right w:val="none" w:sz="0" w:space="0" w:color="auto"/>
          </w:divBdr>
          <w:divsChild>
            <w:div w:id="1365331026">
              <w:marLeft w:val="0"/>
              <w:marRight w:val="0"/>
              <w:marTop w:val="0"/>
              <w:marBottom w:val="0"/>
              <w:divBdr>
                <w:top w:val="none" w:sz="0" w:space="0" w:color="auto"/>
                <w:left w:val="none" w:sz="0" w:space="0" w:color="auto"/>
                <w:bottom w:val="none" w:sz="0" w:space="0" w:color="auto"/>
                <w:right w:val="none" w:sz="0" w:space="0" w:color="auto"/>
              </w:divBdr>
              <w:divsChild>
                <w:div w:id="1845901778">
                  <w:marLeft w:val="0"/>
                  <w:marRight w:val="0"/>
                  <w:marTop w:val="0"/>
                  <w:marBottom w:val="0"/>
                  <w:divBdr>
                    <w:top w:val="none" w:sz="0" w:space="0" w:color="auto"/>
                    <w:left w:val="none" w:sz="0" w:space="0" w:color="auto"/>
                    <w:bottom w:val="none" w:sz="0" w:space="0" w:color="auto"/>
                    <w:right w:val="none" w:sz="0" w:space="0" w:color="auto"/>
                  </w:divBdr>
                  <w:divsChild>
                    <w:div w:id="2144536062">
                      <w:marLeft w:val="0"/>
                      <w:marRight w:val="0"/>
                      <w:marTop w:val="0"/>
                      <w:marBottom w:val="0"/>
                      <w:divBdr>
                        <w:top w:val="none" w:sz="0" w:space="0" w:color="auto"/>
                        <w:left w:val="none" w:sz="0" w:space="0" w:color="auto"/>
                        <w:bottom w:val="none" w:sz="0" w:space="0" w:color="auto"/>
                        <w:right w:val="none" w:sz="0" w:space="0" w:color="auto"/>
                      </w:divBdr>
                      <w:divsChild>
                        <w:div w:id="515115758">
                          <w:marLeft w:val="0"/>
                          <w:marRight w:val="0"/>
                          <w:marTop w:val="0"/>
                          <w:marBottom w:val="0"/>
                          <w:divBdr>
                            <w:top w:val="none" w:sz="0" w:space="0" w:color="auto"/>
                            <w:left w:val="none" w:sz="0" w:space="0" w:color="auto"/>
                            <w:bottom w:val="none" w:sz="0" w:space="0" w:color="auto"/>
                            <w:right w:val="none" w:sz="0" w:space="0" w:color="auto"/>
                          </w:divBdr>
                        </w:div>
                        <w:div w:id="578641526">
                          <w:marLeft w:val="0"/>
                          <w:marRight w:val="0"/>
                          <w:marTop w:val="0"/>
                          <w:marBottom w:val="0"/>
                          <w:divBdr>
                            <w:top w:val="none" w:sz="0" w:space="0" w:color="auto"/>
                            <w:left w:val="none" w:sz="0" w:space="0" w:color="auto"/>
                            <w:bottom w:val="none" w:sz="0" w:space="0" w:color="auto"/>
                            <w:right w:val="none" w:sz="0" w:space="0" w:color="auto"/>
                          </w:divBdr>
                          <w:divsChild>
                            <w:div w:id="78408449">
                              <w:marLeft w:val="0"/>
                              <w:marRight w:val="0"/>
                              <w:marTop w:val="0"/>
                              <w:marBottom w:val="0"/>
                              <w:divBdr>
                                <w:top w:val="none" w:sz="0" w:space="0" w:color="auto"/>
                                <w:left w:val="none" w:sz="0" w:space="0" w:color="auto"/>
                                <w:bottom w:val="none" w:sz="0" w:space="0" w:color="auto"/>
                                <w:right w:val="none" w:sz="0" w:space="0" w:color="auto"/>
                              </w:divBdr>
                              <w:divsChild>
                                <w:div w:id="1233202136">
                                  <w:marLeft w:val="0"/>
                                  <w:marRight w:val="0"/>
                                  <w:marTop w:val="0"/>
                                  <w:marBottom w:val="0"/>
                                  <w:divBdr>
                                    <w:top w:val="none" w:sz="0" w:space="0" w:color="auto"/>
                                    <w:left w:val="none" w:sz="0" w:space="0" w:color="auto"/>
                                    <w:bottom w:val="none" w:sz="0" w:space="0" w:color="auto"/>
                                    <w:right w:val="none" w:sz="0" w:space="0" w:color="auto"/>
                                  </w:divBdr>
                                  <w:divsChild>
                                    <w:div w:id="963538322">
                                      <w:blockQuote w:val="1"/>
                                      <w:marLeft w:val="720"/>
                                      <w:marRight w:val="720"/>
                                      <w:marTop w:val="100"/>
                                      <w:marBottom w:val="100"/>
                                      <w:divBdr>
                                        <w:top w:val="none" w:sz="0" w:space="0" w:color="auto"/>
                                        <w:left w:val="none" w:sz="0" w:space="0" w:color="auto"/>
                                        <w:bottom w:val="none" w:sz="0" w:space="0" w:color="auto"/>
                                        <w:right w:val="none" w:sz="0" w:space="0" w:color="auto"/>
                                      </w:divBdr>
                                    </w:div>
                                    <w:div w:id="389840699">
                                      <w:blockQuote w:val="1"/>
                                      <w:marLeft w:val="720"/>
                                      <w:marRight w:val="720"/>
                                      <w:marTop w:val="100"/>
                                      <w:marBottom w:val="100"/>
                                      <w:divBdr>
                                        <w:top w:val="none" w:sz="0" w:space="0" w:color="auto"/>
                                        <w:left w:val="none" w:sz="0" w:space="0" w:color="auto"/>
                                        <w:bottom w:val="none" w:sz="0" w:space="0" w:color="auto"/>
                                        <w:right w:val="none" w:sz="0" w:space="0" w:color="auto"/>
                                      </w:divBdr>
                                    </w:div>
                                    <w:div w:id="9423449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304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92239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239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117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614922">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13238">
                                      <w:blockQuote w:val="1"/>
                                      <w:marLeft w:val="720"/>
                                      <w:marRight w:val="720"/>
                                      <w:marTop w:val="100"/>
                                      <w:marBottom w:val="100"/>
                                      <w:divBdr>
                                        <w:top w:val="none" w:sz="0" w:space="0" w:color="auto"/>
                                        <w:left w:val="none" w:sz="0" w:space="0" w:color="auto"/>
                                        <w:bottom w:val="none" w:sz="0" w:space="0" w:color="auto"/>
                                        <w:right w:val="none" w:sz="0" w:space="0" w:color="auto"/>
                                      </w:divBdr>
                                    </w:div>
                                    <w:div w:id="471871737">
                                      <w:blockQuote w:val="1"/>
                                      <w:marLeft w:val="720"/>
                                      <w:marRight w:val="720"/>
                                      <w:marTop w:val="100"/>
                                      <w:marBottom w:val="100"/>
                                      <w:divBdr>
                                        <w:top w:val="none" w:sz="0" w:space="0" w:color="auto"/>
                                        <w:left w:val="none" w:sz="0" w:space="0" w:color="auto"/>
                                        <w:bottom w:val="none" w:sz="0" w:space="0" w:color="auto"/>
                                        <w:right w:val="none" w:sz="0" w:space="0" w:color="auto"/>
                                      </w:divBdr>
                                    </w:div>
                                    <w:div w:id="1138307009">
                                      <w:blockQuote w:val="1"/>
                                      <w:marLeft w:val="720"/>
                                      <w:marRight w:val="720"/>
                                      <w:marTop w:val="100"/>
                                      <w:marBottom w:val="100"/>
                                      <w:divBdr>
                                        <w:top w:val="none" w:sz="0" w:space="0" w:color="auto"/>
                                        <w:left w:val="none" w:sz="0" w:space="0" w:color="auto"/>
                                        <w:bottom w:val="none" w:sz="0" w:space="0" w:color="auto"/>
                                        <w:right w:val="none" w:sz="0" w:space="0" w:color="auto"/>
                                      </w:divBdr>
                                    </w:div>
                                    <w:div w:id="294289282">
                                      <w:marLeft w:val="0"/>
                                      <w:marRight w:val="0"/>
                                      <w:marTop w:val="0"/>
                                      <w:marBottom w:val="0"/>
                                      <w:divBdr>
                                        <w:top w:val="none" w:sz="0" w:space="0" w:color="auto"/>
                                        <w:left w:val="none" w:sz="0" w:space="0" w:color="auto"/>
                                        <w:bottom w:val="none" w:sz="0" w:space="0" w:color="auto"/>
                                        <w:right w:val="none" w:sz="0" w:space="0" w:color="auto"/>
                                      </w:divBdr>
                                      <w:divsChild>
                                        <w:div w:id="80897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3901054">
          <w:marLeft w:val="0"/>
          <w:marRight w:val="0"/>
          <w:marTop w:val="0"/>
          <w:marBottom w:val="0"/>
          <w:divBdr>
            <w:top w:val="none" w:sz="0" w:space="0" w:color="auto"/>
            <w:left w:val="none" w:sz="0" w:space="0" w:color="auto"/>
            <w:bottom w:val="none" w:sz="0" w:space="0" w:color="auto"/>
            <w:right w:val="none" w:sz="0" w:space="0" w:color="auto"/>
          </w:divBdr>
          <w:divsChild>
            <w:div w:id="1677073247">
              <w:marLeft w:val="0"/>
              <w:marRight w:val="0"/>
              <w:marTop w:val="0"/>
              <w:marBottom w:val="0"/>
              <w:divBdr>
                <w:top w:val="none" w:sz="0" w:space="0" w:color="auto"/>
                <w:left w:val="none" w:sz="0" w:space="0" w:color="auto"/>
                <w:bottom w:val="none" w:sz="0" w:space="0" w:color="auto"/>
                <w:right w:val="none" w:sz="0" w:space="0" w:color="auto"/>
              </w:divBdr>
              <w:divsChild>
                <w:div w:id="29688408">
                  <w:marLeft w:val="0"/>
                  <w:marRight w:val="0"/>
                  <w:marTop w:val="0"/>
                  <w:marBottom w:val="0"/>
                  <w:divBdr>
                    <w:top w:val="none" w:sz="0" w:space="0" w:color="auto"/>
                    <w:left w:val="none" w:sz="0" w:space="0" w:color="auto"/>
                    <w:bottom w:val="none" w:sz="0" w:space="0" w:color="auto"/>
                    <w:right w:val="none" w:sz="0" w:space="0" w:color="auto"/>
                  </w:divBdr>
                  <w:divsChild>
                    <w:div w:id="1441530977">
                      <w:marLeft w:val="0"/>
                      <w:marRight w:val="0"/>
                      <w:marTop w:val="0"/>
                      <w:marBottom w:val="0"/>
                      <w:divBdr>
                        <w:top w:val="none" w:sz="0" w:space="0" w:color="auto"/>
                        <w:left w:val="none" w:sz="0" w:space="0" w:color="auto"/>
                        <w:bottom w:val="none" w:sz="0" w:space="0" w:color="auto"/>
                        <w:right w:val="none" w:sz="0" w:space="0" w:color="auto"/>
                      </w:divBdr>
                      <w:divsChild>
                        <w:div w:id="1486971406">
                          <w:marLeft w:val="0"/>
                          <w:marRight w:val="0"/>
                          <w:marTop w:val="0"/>
                          <w:marBottom w:val="0"/>
                          <w:divBdr>
                            <w:top w:val="none" w:sz="0" w:space="0" w:color="auto"/>
                            <w:left w:val="none" w:sz="0" w:space="0" w:color="auto"/>
                            <w:bottom w:val="none" w:sz="0" w:space="0" w:color="auto"/>
                            <w:right w:val="none" w:sz="0" w:space="0" w:color="auto"/>
                          </w:divBdr>
                          <w:divsChild>
                            <w:div w:id="1722747914">
                              <w:marLeft w:val="0"/>
                              <w:marRight w:val="0"/>
                              <w:marTop w:val="0"/>
                              <w:marBottom w:val="0"/>
                              <w:divBdr>
                                <w:top w:val="none" w:sz="0" w:space="0" w:color="auto"/>
                                <w:left w:val="none" w:sz="0" w:space="0" w:color="auto"/>
                                <w:bottom w:val="none" w:sz="0" w:space="0" w:color="auto"/>
                                <w:right w:val="none" w:sz="0" w:space="0" w:color="auto"/>
                              </w:divBdr>
                              <w:divsChild>
                                <w:div w:id="718631416">
                                  <w:marLeft w:val="0"/>
                                  <w:marRight w:val="0"/>
                                  <w:marTop w:val="0"/>
                                  <w:marBottom w:val="0"/>
                                  <w:divBdr>
                                    <w:top w:val="none" w:sz="0" w:space="0" w:color="auto"/>
                                    <w:left w:val="none" w:sz="0" w:space="0" w:color="auto"/>
                                    <w:bottom w:val="none" w:sz="0" w:space="0" w:color="auto"/>
                                    <w:right w:val="none" w:sz="0" w:space="0" w:color="auto"/>
                                  </w:divBdr>
                                  <w:divsChild>
                                    <w:div w:id="634330295">
                                      <w:marLeft w:val="0"/>
                                      <w:marRight w:val="0"/>
                                      <w:marTop w:val="0"/>
                                      <w:marBottom w:val="0"/>
                                      <w:divBdr>
                                        <w:top w:val="none" w:sz="0" w:space="0" w:color="auto"/>
                                        <w:left w:val="none" w:sz="0" w:space="0" w:color="auto"/>
                                        <w:bottom w:val="none" w:sz="0" w:space="0" w:color="auto"/>
                                        <w:right w:val="none" w:sz="0" w:space="0" w:color="auto"/>
                                      </w:divBdr>
                                      <w:divsChild>
                                        <w:div w:id="1464688648">
                                          <w:marLeft w:val="0"/>
                                          <w:marRight w:val="0"/>
                                          <w:marTop w:val="0"/>
                                          <w:marBottom w:val="0"/>
                                          <w:divBdr>
                                            <w:top w:val="none" w:sz="0" w:space="0" w:color="auto"/>
                                            <w:left w:val="none" w:sz="0" w:space="0" w:color="auto"/>
                                            <w:bottom w:val="none" w:sz="0" w:space="0" w:color="auto"/>
                                            <w:right w:val="none" w:sz="0" w:space="0" w:color="auto"/>
                                          </w:divBdr>
                                          <w:divsChild>
                                            <w:div w:id="1937712550">
                                              <w:marLeft w:val="0"/>
                                              <w:marRight w:val="0"/>
                                              <w:marTop w:val="0"/>
                                              <w:marBottom w:val="0"/>
                                              <w:divBdr>
                                                <w:top w:val="none" w:sz="0" w:space="0" w:color="auto"/>
                                                <w:left w:val="none" w:sz="0" w:space="0" w:color="auto"/>
                                                <w:bottom w:val="none" w:sz="0" w:space="0" w:color="auto"/>
                                                <w:right w:val="none" w:sz="0" w:space="0" w:color="auto"/>
                                              </w:divBdr>
                                              <w:divsChild>
                                                <w:div w:id="90599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193915">
          <w:marLeft w:val="0"/>
          <w:marRight w:val="0"/>
          <w:marTop w:val="0"/>
          <w:marBottom w:val="0"/>
          <w:divBdr>
            <w:top w:val="none" w:sz="0" w:space="0" w:color="auto"/>
            <w:left w:val="none" w:sz="0" w:space="0" w:color="auto"/>
            <w:bottom w:val="none" w:sz="0" w:space="0" w:color="auto"/>
            <w:right w:val="none" w:sz="0" w:space="0" w:color="auto"/>
          </w:divBdr>
          <w:divsChild>
            <w:div w:id="946304408">
              <w:marLeft w:val="0"/>
              <w:marRight w:val="0"/>
              <w:marTop w:val="0"/>
              <w:marBottom w:val="0"/>
              <w:divBdr>
                <w:top w:val="none" w:sz="0" w:space="0" w:color="auto"/>
                <w:left w:val="none" w:sz="0" w:space="0" w:color="auto"/>
                <w:bottom w:val="none" w:sz="0" w:space="0" w:color="auto"/>
                <w:right w:val="none" w:sz="0" w:space="0" w:color="auto"/>
              </w:divBdr>
              <w:divsChild>
                <w:div w:id="804930626">
                  <w:marLeft w:val="0"/>
                  <w:marRight w:val="0"/>
                  <w:marTop w:val="0"/>
                  <w:marBottom w:val="0"/>
                  <w:divBdr>
                    <w:top w:val="none" w:sz="0" w:space="0" w:color="auto"/>
                    <w:left w:val="none" w:sz="0" w:space="0" w:color="auto"/>
                    <w:bottom w:val="none" w:sz="0" w:space="0" w:color="auto"/>
                    <w:right w:val="none" w:sz="0" w:space="0" w:color="auto"/>
                  </w:divBdr>
                  <w:divsChild>
                    <w:div w:id="808132661">
                      <w:marLeft w:val="0"/>
                      <w:marRight w:val="0"/>
                      <w:marTop w:val="0"/>
                      <w:marBottom w:val="0"/>
                      <w:divBdr>
                        <w:top w:val="none" w:sz="0" w:space="0" w:color="auto"/>
                        <w:left w:val="none" w:sz="0" w:space="0" w:color="auto"/>
                        <w:bottom w:val="none" w:sz="0" w:space="0" w:color="auto"/>
                        <w:right w:val="none" w:sz="0" w:space="0" w:color="auto"/>
                      </w:divBdr>
                      <w:divsChild>
                        <w:div w:id="1247812425">
                          <w:marLeft w:val="0"/>
                          <w:marRight w:val="0"/>
                          <w:marTop w:val="0"/>
                          <w:marBottom w:val="0"/>
                          <w:divBdr>
                            <w:top w:val="none" w:sz="0" w:space="0" w:color="auto"/>
                            <w:left w:val="none" w:sz="0" w:space="0" w:color="auto"/>
                            <w:bottom w:val="none" w:sz="0" w:space="0" w:color="auto"/>
                            <w:right w:val="none" w:sz="0" w:space="0" w:color="auto"/>
                          </w:divBdr>
                        </w:div>
                        <w:div w:id="238828629">
                          <w:marLeft w:val="0"/>
                          <w:marRight w:val="0"/>
                          <w:marTop w:val="0"/>
                          <w:marBottom w:val="0"/>
                          <w:divBdr>
                            <w:top w:val="none" w:sz="0" w:space="0" w:color="auto"/>
                            <w:left w:val="none" w:sz="0" w:space="0" w:color="auto"/>
                            <w:bottom w:val="none" w:sz="0" w:space="0" w:color="auto"/>
                            <w:right w:val="none" w:sz="0" w:space="0" w:color="auto"/>
                          </w:divBdr>
                          <w:divsChild>
                            <w:div w:id="1709838044">
                              <w:marLeft w:val="0"/>
                              <w:marRight w:val="0"/>
                              <w:marTop w:val="0"/>
                              <w:marBottom w:val="0"/>
                              <w:divBdr>
                                <w:top w:val="none" w:sz="0" w:space="0" w:color="auto"/>
                                <w:left w:val="none" w:sz="0" w:space="0" w:color="auto"/>
                                <w:bottom w:val="none" w:sz="0" w:space="0" w:color="auto"/>
                                <w:right w:val="none" w:sz="0" w:space="0" w:color="auto"/>
                              </w:divBdr>
                              <w:divsChild>
                                <w:div w:id="1731729492">
                                  <w:marLeft w:val="0"/>
                                  <w:marRight w:val="0"/>
                                  <w:marTop w:val="0"/>
                                  <w:marBottom w:val="0"/>
                                  <w:divBdr>
                                    <w:top w:val="none" w:sz="0" w:space="0" w:color="auto"/>
                                    <w:left w:val="none" w:sz="0" w:space="0" w:color="auto"/>
                                    <w:bottom w:val="none" w:sz="0" w:space="0" w:color="auto"/>
                                    <w:right w:val="none" w:sz="0" w:space="0" w:color="auto"/>
                                  </w:divBdr>
                                  <w:divsChild>
                                    <w:div w:id="1345936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005433">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56914">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48473">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0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5418199">
          <w:marLeft w:val="0"/>
          <w:marRight w:val="0"/>
          <w:marTop w:val="0"/>
          <w:marBottom w:val="0"/>
          <w:divBdr>
            <w:top w:val="none" w:sz="0" w:space="0" w:color="auto"/>
            <w:left w:val="none" w:sz="0" w:space="0" w:color="auto"/>
            <w:bottom w:val="none" w:sz="0" w:space="0" w:color="auto"/>
            <w:right w:val="none" w:sz="0" w:space="0" w:color="auto"/>
          </w:divBdr>
          <w:divsChild>
            <w:div w:id="292374798">
              <w:marLeft w:val="0"/>
              <w:marRight w:val="0"/>
              <w:marTop w:val="0"/>
              <w:marBottom w:val="0"/>
              <w:divBdr>
                <w:top w:val="none" w:sz="0" w:space="0" w:color="auto"/>
                <w:left w:val="none" w:sz="0" w:space="0" w:color="auto"/>
                <w:bottom w:val="none" w:sz="0" w:space="0" w:color="auto"/>
                <w:right w:val="none" w:sz="0" w:space="0" w:color="auto"/>
              </w:divBdr>
              <w:divsChild>
                <w:div w:id="2122527027">
                  <w:marLeft w:val="0"/>
                  <w:marRight w:val="0"/>
                  <w:marTop w:val="0"/>
                  <w:marBottom w:val="0"/>
                  <w:divBdr>
                    <w:top w:val="none" w:sz="0" w:space="0" w:color="auto"/>
                    <w:left w:val="none" w:sz="0" w:space="0" w:color="auto"/>
                    <w:bottom w:val="none" w:sz="0" w:space="0" w:color="auto"/>
                    <w:right w:val="none" w:sz="0" w:space="0" w:color="auto"/>
                  </w:divBdr>
                  <w:divsChild>
                    <w:div w:id="801850553">
                      <w:marLeft w:val="0"/>
                      <w:marRight w:val="0"/>
                      <w:marTop w:val="0"/>
                      <w:marBottom w:val="0"/>
                      <w:divBdr>
                        <w:top w:val="none" w:sz="0" w:space="0" w:color="auto"/>
                        <w:left w:val="none" w:sz="0" w:space="0" w:color="auto"/>
                        <w:bottom w:val="none" w:sz="0" w:space="0" w:color="auto"/>
                        <w:right w:val="none" w:sz="0" w:space="0" w:color="auto"/>
                      </w:divBdr>
                      <w:divsChild>
                        <w:div w:id="2144351157">
                          <w:marLeft w:val="0"/>
                          <w:marRight w:val="0"/>
                          <w:marTop w:val="0"/>
                          <w:marBottom w:val="0"/>
                          <w:divBdr>
                            <w:top w:val="none" w:sz="0" w:space="0" w:color="auto"/>
                            <w:left w:val="none" w:sz="0" w:space="0" w:color="auto"/>
                            <w:bottom w:val="none" w:sz="0" w:space="0" w:color="auto"/>
                            <w:right w:val="none" w:sz="0" w:space="0" w:color="auto"/>
                          </w:divBdr>
                          <w:divsChild>
                            <w:div w:id="346948701">
                              <w:marLeft w:val="0"/>
                              <w:marRight w:val="0"/>
                              <w:marTop w:val="0"/>
                              <w:marBottom w:val="0"/>
                              <w:divBdr>
                                <w:top w:val="none" w:sz="0" w:space="0" w:color="auto"/>
                                <w:left w:val="none" w:sz="0" w:space="0" w:color="auto"/>
                                <w:bottom w:val="none" w:sz="0" w:space="0" w:color="auto"/>
                                <w:right w:val="none" w:sz="0" w:space="0" w:color="auto"/>
                              </w:divBdr>
                              <w:divsChild>
                                <w:div w:id="509106643">
                                  <w:marLeft w:val="0"/>
                                  <w:marRight w:val="0"/>
                                  <w:marTop w:val="0"/>
                                  <w:marBottom w:val="0"/>
                                  <w:divBdr>
                                    <w:top w:val="none" w:sz="0" w:space="0" w:color="auto"/>
                                    <w:left w:val="none" w:sz="0" w:space="0" w:color="auto"/>
                                    <w:bottom w:val="none" w:sz="0" w:space="0" w:color="auto"/>
                                    <w:right w:val="none" w:sz="0" w:space="0" w:color="auto"/>
                                  </w:divBdr>
                                  <w:divsChild>
                                    <w:div w:id="213301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1497577">
          <w:marLeft w:val="0"/>
          <w:marRight w:val="0"/>
          <w:marTop w:val="0"/>
          <w:marBottom w:val="0"/>
          <w:divBdr>
            <w:top w:val="none" w:sz="0" w:space="0" w:color="auto"/>
            <w:left w:val="none" w:sz="0" w:space="0" w:color="auto"/>
            <w:bottom w:val="none" w:sz="0" w:space="0" w:color="auto"/>
            <w:right w:val="none" w:sz="0" w:space="0" w:color="auto"/>
          </w:divBdr>
          <w:divsChild>
            <w:div w:id="346450473">
              <w:marLeft w:val="0"/>
              <w:marRight w:val="0"/>
              <w:marTop w:val="0"/>
              <w:marBottom w:val="0"/>
              <w:divBdr>
                <w:top w:val="none" w:sz="0" w:space="0" w:color="auto"/>
                <w:left w:val="none" w:sz="0" w:space="0" w:color="auto"/>
                <w:bottom w:val="none" w:sz="0" w:space="0" w:color="auto"/>
                <w:right w:val="none" w:sz="0" w:space="0" w:color="auto"/>
              </w:divBdr>
              <w:divsChild>
                <w:div w:id="131102439">
                  <w:marLeft w:val="0"/>
                  <w:marRight w:val="0"/>
                  <w:marTop w:val="0"/>
                  <w:marBottom w:val="0"/>
                  <w:divBdr>
                    <w:top w:val="none" w:sz="0" w:space="0" w:color="auto"/>
                    <w:left w:val="none" w:sz="0" w:space="0" w:color="auto"/>
                    <w:bottom w:val="none" w:sz="0" w:space="0" w:color="auto"/>
                    <w:right w:val="none" w:sz="0" w:space="0" w:color="auto"/>
                  </w:divBdr>
                  <w:divsChild>
                    <w:div w:id="374433489">
                      <w:marLeft w:val="0"/>
                      <w:marRight w:val="0"/>
                      <w:marTop w:val="0"/>
                      <w:marBottom w:val="0"/>
                      <w:divBdr>
                        <w:top w:val="none" w:sz="0" w:space="0" w:color="auto"/>
                        <w:left w:val="none" w:sz="0" w:space="0" w:color="auto"/>
                        <w:bottom w:val="none" w:sz="0" w:space="0" w:color="auto"/>
                        <w:right w:val="none" w:sz="0" w:space="0" w:color="auto"/>
                      </w:divBdr>
                      <w:divsChild>
                        <w:div w:id="2067290378">
                          <w:marLeft w:val="0"/>
                          <w:marRight w:val="0"/>
                          <w:marTop w:val="0"/>
                          <w:marBottom w:val="0"/>
                          <w:divBdr>
                            <w:top w:val="none" w:sz="0" w:space="0" w:color="auto"/>
                            <w:left w:val="none" w:sz="0" w:space="0" w:color="auto"/>
                            <w:bottom w:val="none" w:sz="0" w:space="0" w:color="auto"/>
                            <w:right w:val="none" w:sz="0" w:space="0" w:color="auto"/>
                          </w:divBdr>
                        </w:div>
                        <w:div w:id="595018200">
                          <w:marLeft w:val="0"/>
                          <w:marRight w:val="0"/>
                          <w:marTop w:val="0"/>
                          <w:marBottom w:val="0"/>
                          <w:divBdr>
                            <w:top w:val="none" w:sz="0" w:space="0" w:color="auto"/>
                            <w:left w:val="none" w:sz="0" w:space="0" w:color="auto"/>
                            <w:bottom w:val="none" w:sz="0" w:space="0" w:color="auto"/>
                            <w:right w:val="none" w:sz="0" w:space="0" w:color="auto"/>
                          </w:divBdr>
                          <w:divsChild>
                            <w:div w:id="1289816212">
                              <w:marLeft w:val="0"/>
                              <w:marRight w:val="0"/>
                              <w:marTop w:val="0"/>
                              <w:marBottom w:val="0"/>
                              <w:divBdr>
                                <w:top w:val="none" w:sz="0" w:space="0" w:color="auto"/>
                                <w:left w:val="none" w:sz="0" w:space="0" w:color="auto"/>
                                <w:bottom w:val="none" w:sz="0" w:space="0" w:color="auto"/>
                                <w:right w:val="none" w:sz="0" w:space="0" w:color="auto"/>
                              </w:divBdr>
                              <w:divsChild>
                                <w:div w:id="383873164">
                                  <w:marLeft w:val="0"/>
                                  <w:marRight w:val="0"/>
                                  <w:marTop w:val="0"/>
                                  <w:marBottom w:val="0"/>
                                  <w:divBdr>
                                    <w:top w:val="none" w:sz="0" w:space="0" w:color="auto"/>
                                    <w:left w:val="none" w:sz="0" w:space="0" w:color="auto"/>
                                    <w:bottom w:val="none" w:sz="0" w:space="0" w:color="auto"/>
                                    <w:right w:val="none" w:sz="0" w:space="0" w:color="auto"/>
                                  </w:divBdr>
                                  <w:divsChild>
                                    <w:div w:id="19549455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00861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7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5662779">
          <w:marLeft w:val="0"/>
          <w:marRight w:val="0"/>
          <w:marTop w:val="0"/>
          <w:marBottom w:val="0"/>
          <w:divBdr>
            <w:top w:val="none" w:sz="0" w:space="0" w:color="auto"/>
            <w:left w:val="none" w:sz="0" w:space="0" w:color="auto"/>
            <w:bottom w:val="none" w:sz="0" w:space="0" w:color="auto"/>
            <w:right w:val="none" w:sz="0" w:space="0" w:color="auto"/>
          </w:divBdr>
          <w:divsChild>
            <w:div w:id="962886325">
              <w:marLeft w:val="0"/>
              <w:marRight w:val="0"/>
              <w:marTop w:val="0"/>
              <w:marBottom w:val="0"/>
              <w:divBdr>
                <w:top w:val="none" w:sz="0" w:space="0" w:color="auto"/>
                <w:left w:val="none" w:sz="0" w:space="0" w:color="auto"/>
                <w:bottom w:val="none" w:sz="0" w:space="0" w:color="auto"/>
                <w:right w:val="none" w:sz="0" w:space="0" w:color="auto"/>
              </w:divBdr>
              <w:divsChild>
                <w:div w:id="1311515608">
                  <w:marLeft w:val="0"/>
                  <w:marRight w:val="0"/>
                  <w:marTop w:val="0"/>
                  <w:marBottom w:val="0"/>
                  <w:divBdr>
                    <w:top w:val="none" w:sz="0" w:space="0" w:color="auto"/>
                    <w:left w:val="none" w:sz="0" w:space="0" w:color="auto"/>
                    <w:bottom w:val="none" w:sz="0" w:space="0" w:color="auto"/>
                    <w:right w:val="none" w:sz="0" w:space="0" w:color="auto"/>
                  </w:divBdr>
                  <w:divsChild>
                    <w:div w:id="451678078">
                      <w:marLeft w:val="0"/>
                      <w:marRight w:val="0"/>
                      <w:marTop w:val="0"/>
                      <w:marBottom w:val="0"/>
                      <w:divBdr>
                        <w:top w:val="none" w:sz="0" w:space="0" w:color="auto"/>
                        <w:left w:val="none" w:sz="0" w:space="0" w:color="auto"/>
                        <w:bottom w:val="none" w:sz="0" w:space="0" w:color="auto"/>
                        <w:right w:val="none" w:sz="0" w:space="0" w:color="auto"/>
                      </w:divBdr>
                      <w:divsChild>
                        <w:div w:id="574972058">
                          <w:marLeft w:val="0"/>
                          <w:marRight w:val="0"/>
                          <w:marTop w:val="0"/>
                          <w:marBottom w:val="0"/>
                          <w:divBdr>
                            <w:top w:val="none" w:sz="0" w:space="0" w:color="auto"/>
                            <w:left w:val="none" w:sz="0" w:space="0" w:color="auto"/>
                            <w:bottom w:val="none" w:sz="0" w:space="0" w:color="auto"/>
                            <w:right w:val="none" w:sz="0" w:space="0" w:color="auto"/>
                          </w:divBdr>
                          <w:divsChild>
                            <w:div w:id="1461847261">
                              <w:marLeft w:val="0"/>
                              <w:marRight w:val="0"/>
                              <w:marTop w:val="0"/>
                              <w:marBottom w:val="0"/>
                              <w:divBdr>
                                <w:top w:val="none" w:sz="0" w:space="0" w:color="auto"/>
                                <w:left w:val="none" w:sz="0" w:space="0" w:color="auto"/>
                                <w:bottom w:val="none" w:sz="0" w:space="0" w:color="auto"/>
                                <w:right w:val="none" w:sz="0" w:space="0" w:color="auto"/>
                              </w:divBdr>
                              <w:divsChild>
                                <w:div w:id="317734395">
                                  <w:marLeft w:val="0"/>
                                  <w:marRight w:val="0"/>
                                  <w:marTop w:val="0"/>
                                  <w:marBottom w:val="0"/>
                                  <w:divBdr>
                                    <w:top w:val="none" w:sz="0" w:space="0" w:color="auto"/>
                                    <w:left w:val="none" w:sz="0" w:space="0" w:color="auto"/>
                                    <w:bottom w:val="none" w:sz="0" w:space="0" w:color="auto"/>
                                    <w:right w:val="none" w:sz="0" w:space="0" w:color="auto"/>
                                  </w:divBdr>
                                  <w:divsChild>
                                    <w:div w:id="1118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673606">
          <w:marLeft w:val="0"/>
          <w:marRight w:val="0"/>
          <w:marTop w:val="0"/>
          <w:marBottom w:val="0"/>
          <w:divBdr>
            <w:top w:val="none" w:sz="0" w:space="0" w:color="auto"/>
            <w:left w:val="none" w:sz="0" w:space="0" w:color="auto"/>
            <w:bottom w:val="none" w:sz="0" w:space="0" w:color="auto"/>
            <w:right w:val="none" w:sz="0" w:space="0" w:color="auto"/>
          </w:divBdr>
          <w:divsChild>
            <w:div w:id="889224418">
              <w:marLeft w:val="0"/>
              <w:marRight w:val="0"/>
              <w:marTop w:val="0"/>
              <w:marBottom w:val="0"/>
              <w:divBdr>
                <w:top w:val="none" w:sz="0" w:space="0" w:color="auto"/>
                <w:left w:val="none" w:sz="0" w:space="0" w:color="auto"/>
                <w:bottom w:val="none" w:sz="0" w:space="0" w:color="auto"/>
                <w:right w:val="none" w:sz="0" w:space="0" w:color="auto"/>
              </w:divBdr>
              <w:divsChild>
                <w:div w:id="1184710668">
                  <w:marLeft w:val="0"/>
                  <w:marRight w:val="0"/>
                  <w:marTop w:val="0"/>
                  <w:marBottom w:val="0"/>
                  <w:divBdr>
                    <w:top w:val="none" w:sz="0" w:space="0" w:color="auto"/>
                    <w:left w:val="none" w:sz="0" w:space="0" w:color="auto"/>
                    <w:bottom w:val="none" w:sz="0" w:space="0" w:color="auto"/>
                    <w:right w:val="none" w:sz="0" w:space="0" w:color="auto"/>
                  </w:divBdr>
                  <w:divsChild>
                    <w:div w:id="1825196950">
                      <w:marLeft w:val="0"/>
                      <w:marRight w:val="0"/>
                      <w:marTop w:val="0"/>
                      <w:marBottom w:val="0"/>
                      <w:divBdr>
                        <w:top w:val="none" w:sz="0" w:space="0" w:color="auto"/>
                        <w:left w:val="none" w:sz="0" w:space="0" w:color="auto"/>
                        <w:bottom w:val="none" w:sz="0" w:space="0" w:color="auto"/>
                        <w:right w:val="none" w:sz="0" w:space="0" w:color="auto"/>
                      </w:divBdr>
                      <w:divsChild>
                        <w:div w:id="552231093">
                          <w:marLeft w:val="0"/>
                          <w:marRight w:val="0"/>
                          <w:marTop w:val="0"/>
                          <w:marBottom w:val="0"/>
                          <w:divBdr>
                            <w:top w:val="none" w:sz="0" w:space="0" w:color="auto"/>
                            <w:left w:val="none" w:sz="0" w:space="0" w:color="auto"/>
                            <w:bottom w:val="none" w:sz="0" w:space="0" w:color="auto"/>
                            <w:right w:val="none" w:sz="0" w:space="0" w:color="auto"/>
                          </w:divBdr>
                        </w:div>
                        <w:div w:id="1645312712">
                          <w:marLeft w:val="0"/>
                          <w:marRight w:val="0"/>
                          <w:marTop w:val="0"/>
                          <w:marBottom w:val="0"/>
                          <w:divBdr>
                            <w:top w:val="none" w:sz="0" w:space="0" w:color="auto"/>
                            <w:left w:val="none" w:sz="0" w:space="0" w:color="auto"/>
                            <w:bottom w:val="none" w:sz="0" w:space="0" w:color="auto"/>
                            <w:right w:val="none" w:sz="0" w:space="0" w:color="auto"/>
                          </w:divBdr>
                          <w:divsChild>
                            <w:div w:id="537595641">
                              <w:marLeft w:val="0"/>
                              <w:marRight w:val="0"/>
                              <w:marTop w:val="0"/>
                              <w:marBottom w:val="0"/>
                              <w:divBdr>
                                <w:top w:val="none" w:sz="0" w:space="0" w:color="auto"/>
                                <w:left w:val="none" w:sz="0" w:space="0" w:color="auto"/>
                                <w:bottom w:val="none" w:sz="0" w:space="0" w:color="auto"/>
                                <w:right w:val="none" w:sz="0" w:space="0" w:color="auto"/>
                              </w:divBdr>
                              <w:divsChild>
                                <w:div w:id="55235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0786070">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1174444">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76150203">
      <w:bodyDiv w:val="1"/>
      <w:marLeft w:val="0"/>
      <w:marRight w:val="0"/>
      <w:marTop w:val="0"/>
      <w:marBottom w:val="0"/>
      <w:divBdr>
        <w:top w:val="none" w:sz="0" w:space="0" w:color="auto"/>
        <w:left w:val="none" w:sz="0" w:space="0" w:color="auto"/>
        <w:bottom w:val="none" w:sz="0" w:space="0" w:color="auto"/>
        <w:right w:val="none" w:sz="0" w:space="0" w:color="auto"/>
      </w:divBdr>
    </w:div>
    <w:div w:id="478376541">
      <w:bodyDiv w:val="1"/>
      <w:marLeft w:val="0"/>
      <w:marRight w:val="0"/>
      <w:marTop w:val="0"/>
      <w:marBottom w:val="0"/>
      <w:divBdr>
        <w:top w:val="none" w:sz="0" w:space="0" w:color="auto"/>
        <w:left w:val="none" w:sz="0" w:space="0" w:color="auto"/>
        <w:bottom w:val="none" w:sz="0" w:space="0" w:color="auto"/>
        <w:right w:val="none" w:sz="0" w:space="0" w:color="auto"/>
      </w:divBdr>
    </w:div>
    <w:div w:id="481890293">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19439092">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39047876">
      <w:bodyDiv w:val="1"/>
      <w:marLeft w:val="0"/>
      <w:marRight w:val="0"/>
      <w:marTop w:val="0"/>
      <w:marBottom w:val="0"/>
      <w:divBdr>
        <w:top w:val="none" w:sz="0" w:space="0" w:color="auto"/>
        <w:left w:val="none" w:sz="0" w:space="0" w:color="auto"/>
        <w:bottom w:val="none" w:sz="0" w:space="0" w:color="auto"/>
        <w:right w:val="none" w:sz="0" w:space="0" w:color="auto"/>
      </w:divBdr>
    </w:div>
    <w:div w:id="54402392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54391539">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6253827">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6684497">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04793942">
      <w:bodyDiv w:val="1"/>
      <w:marLeft w:val="0"/>
      <w:marRight w:val="0"/>
      <w:marTop w:val="0"/>
      <w:marBottom w:val="0"/>
      <w:divBdr>
        <w:top w:val="none" w:sz="0" w:space="0" w:color="auto"/>
        <w:left w:val="none" w:sz="0" w:space="0" w:color="auto"/>
        <w:bottom w:val="none" w:sz="0" w:space="0" w:color="auto"/>
        <w:right w:val="none" w:sz="0" w:space="0" w:color="auto"/>
      </w:divBdr>
    </w:div>
    <w:div w:id="7137011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76489321">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08132897">
      <w:bodyDiv w:val="1"/>
      <w:marLeft w:val="0"/>
      <w:marRight w:val="0"/>
      <w:marTop w:val="0"/>
      <w:marBottom w:val="0"/>
      <w:divBdr>
        <w:top w:val="none" w:sz="0" w:space="0" w:color="auto"/>
        <w:left w:val="none" w:sz="0" w:space="0" w:color="auto"/>
        <w:bottom w:val="none" w:sz="0" w:space="0" w:color="auto"/>
        <w:right w:val="none" w:sz="0" w:space="0" w:color="auto"/>
      </w:divBdr>
    </w:div>
    <w:div w:id="812988011">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29712892">
      <w:bodyDiv w:val="1"/>
      <w:marLeft w:val="0"/>
      <w:marRight w:val="0"/>
      <w:marTop w:val="0"/>
      <w:marBottom w:val="0"/>
      <w:divBdr>
        <w:top w:val="none" w:sz="0" w:space="0" w:color="auto"/>
        <w:left w:val="none" w:sz="0" w:space="0" w:color="auto"/>
        <w:bottom w:val="none" w:sz="0" w:space="0" w:color="auto"/>
        <w:right w:val="none" w:sz="0" w:space="0" w:color="auto"/>
      </w:divBdr>
    </w:div>
    <w:div w:id="831528575">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6969536">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0461780">
      <w:bodyDiv w:val="1"/>
      <w:marLeft w:val="0"/>
      <w:marRight w:val="0"/>
      <w:marTop w:val="0"/>
      <w:marBottom w:val="0"/>
      <w:divBdr>
        <w:top w:val="none" w:sz="0" w:space="0" w:color="auto"/>
        <w:left w:val="none" w:sz="0" w:space="0" w:color="auto"/>
        <w:bottom w:val="none" w:sz="0" w:space="0" w:color="auto"/>
        <w:right w:val="none" w:sz="0" w:space="0" w:color="auto"/>
      </w:divBdr>
    </w:div>
    <w:div w:id="893733276">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49630794">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5702487">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3449014">
      <w:bodyDiv w:val="1"/>
      <w:marLeft w:val="0"/>
      <w:marRight w:val="0"/>
      <w:marTop w:val="0"/>
      <w:marBottom w:val="0"/>
      <w:divBdr>
        <w:top w:val="none" w:sz="0" w:space="0" w:color="auto"/>
        <w:left w:val="none" w:sz="0" w:space="0" w:color="auto"/>
        <w:bottom w:val="none" w:sz="0" w:space="0" w:color="auto"/>
        <w:right w:val="none" w:sz="0" w:space="0" w:color="auto"/>
      </w:divBdr>
    </w:div>
    <w:div w:id="1084033275">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8084018">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27090348">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59485114">
      <w:bodyDiv w:val="1"/>
      <w:marLeft w:val="0"/>
      <w:marRight w:val="0"/>
      <w:marTop w:val="0"/>
      <w:marBottom w:val="0"/>
      <w:divBdr>
        <w:top w:val="none" w:sz="0" w:space="0" w:color="auto"/>
        <w:left w:val="none" w:sz="0" w:space="0" w:color="auto"/>
        <w:bottom w:val="none" w:sz="0" w:space="0" w:color="auto"/>
        <w:right w:val="none" w:sz="0" w:space="0" w:color="auto"/>
      </w:divBdr>
    </w:div>
    <w:div w:id="1281913297">
      <w:bodyDiv w:val="1"/>
      <w:marLeft w:val="0"/>
      <w:marRight w:val="0"/>
      <w:marTop w:val="0"/>
      <w:marBottom w:val="0"/>
      <w:divBdr>
        <w:top w:val="none" w:sz="0" w:space="0" w:color="auto"/>
        <w:left w:val="none" w:sz="0" w:space="0" w:color="auto"/>
        <w:bottom w:val="none" w:sz="0" w:space="0" w:color="auto"/>
        <w:right w:val="none" w:sz="0" w:space="0" w:color="auto"/>
      </w:divBdr>
    </w:div>
    <w:div w:id="1287077503">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24046874">
      <w:bodyDiv w:val="1"/>
      <w:marLeft w:val="0"/>
      <w:marRight w:val="0"/>
      <w:marTop w:val="0"/>
      <w:marBottom w:val="0"/>
      <w:divBdr>
        <w:top w:val="none" w:sz="0" w:space="0" w:color="auto"/>
        <w:left w:val="none" w:sz="0" w:space="0" w:color="auto"/>
        <w:bottom w:val="none" w:sz="0" w:space="0" w:color="auto"/>
        <w:right w:val="none" w:sz="0" w:space="0" w:color="auto"/>
      </w:divBdr>
    </w:div>
    <w:div w:id="1329207435">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41784677">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59812317">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396976207">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30586790">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76331460">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806222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1290113">
      <w:bodyDiv w:val="1"/>
      <w:marLeft w:val="0"/>
      <w:marRight w:val="0"/>
      <w:marTop w:val="0"/>
      <w:marBottom w:val="0"/>
      <w:divBdr>
        <w:top w:val="none" w:sz="0" w:space="0" w:color="auto"/>
        <w:left w:val="none" w:sz="0" w:space="0" w:color="auto"/>
        <w:bottom w:val="none" w:sz="0" w:space="0" w:color="auto"/>
        <w:right w:val="none" w:sz="0" w:space="0" w:color="auto"/>
      </w:divBdr>
      <w:divsChild>
        <w:div w:id="309939451">
          <w:marLeft w:val="0"/>
          <w:marRight w:val="0"/>
          <w:marTop w:val="0"/>
          <w:marBottom w:val="0"/>
          <w:divBdr>
            <w:top w:val="none" w:sz="0" w:space="0" w:color="auto"/>
            <w:left w:val="none" w:sz="0" w:space="0" w:color="auto"/>
            <w:bottom w:val="none" w:sz="0" w:space="0" w:color="auto"/>
            <w:right w:val="none" w:sz="0" w:space="0" w:color="auto"/>
          </w:divBdr>
          <w:divsChild>
            <w:div w:id="907499717">
              <w:marLeft w:val="0"/>
              <w:marRight w:val="0"/>
              <w:marTop w:val="0"/>
              <w:marBottom w:val="0"/>
              <w:divBdr>
                <w:top w:val="none" w:sz="0" w:space="0" w:color="auto"/>
                <w:left w:val="none" w:sz="0" w:space="0" w:color="auto"/>
                <w:bottom w:val="none" w:sz="0" w:space="0" w:color="auto"/>
                <w:right w:val="none" w:sz="0" w:space="0" w:color="auto"/>
              </w:divBdr>
              <w:divsChild>
                <w:div w:id="29649615">
                  <w:marLeft w:val="0"/>
                  <w:marRight w:val="0"/>
                  <w:marTop w:val="0"/>
                  <w:marBottom w:val="0"/>
                  <w:divBdr>
                    <w:top w:val="none" w:sz="0" w:space="0" w:color="auto"/>
                    <w:left w:val="none" w:sz="0" w:space="0" w:color="auto"/>
                    <w:bottom w:val="none" w:sz="0" w:space="0" w:color="auto"/>
                    <w:right w:val="none" w:sz="0" w:space="0" w:color="auto"/>
                  </w:divBdr>
                  <w:divsChild>
                    <w:div w:id="408813891">
                      <w:marLeft w:val="0"/>
                      <w:marRight w:val="0"/>
                      <w:marTop w:val="0"/>
                      <w:marBottom w:val="0"/>
                      <w:divBdr>
                        <w:top w:val="none" w:sz="0" w:space="0" w:color="auto"/>
                        <w:left w:val="none" w:sz="0" w:space="0" w:color="auto"/>
                        <w:bottom w:val="none" w:sz="0" w:space="0" w:color="auto"/>
                        <w:right w:val="none" w:sz="0" w:space="0" w:color="auto"/>
                      </w:divBdr>
                      <w:divsChild>
                        <w:div w:id="437876171">
                          <w:marLeft w:val="0"/>
                          <w:marRight w:val="0"/>
                          <w:marTop w:val="0"/>
                          <w:marBottom w:val="0"/>
                          <w:divBdr>
                            <w:top w:val="none" w:sz="0" w:space="0" w:color="auto"/>
                            <w:left w:val="none" w:sz="0" w:space="0" w:color="auto"/>
                            <w:bottom w:val="none" w:sz="0" w:space="0" w:color="auto"/>
                            <w:right w:val="none" w:sz="0" w:space="0" w:color="auto"/>
                          </w:divBdr>
                          <w:divsChild>
                            <w:div w:id="523830817">
                              <w:marLeft w:val="0"/>
                              <w:marRight w:val="0"/>
                              <w:marTop w:val="0"/>
                              <w:marBottom w:val="0"/>
                              <w:divBdr>
                                <w:top w:val="none" w:sz="0" w:space="0" w:color="auto"/>
                                <w:left w:val="none" w:sz="0" w:space="0" w:color="auto"/>
                                <w:bottom w:val="none" w:sz="0" w:space="0" w:color="auto"/>
                                <w:right w:val="none" w:sz="0" w:space="0" w:color="auto"/>
                              </w:divBdr>
                              <w:divsChild>
                                <w:div w:id="940650138">
                                  <w:marLeft w:val="0"/>
                                  <w:marRight w:val="0"/>
                                  <w:marTop w:val="0"/>
                                  <w:marBottom w:val="0"/>
                                  <w:divBdr>
                                    <w:top w:val="none" w:sz="0" w:space="0" w:color="auto"/>
                                    <w:left w:val="none" w:sz="0" w:space="0" w:color="auto"/>
                                    <w:bottom w:val="none" w:sz="0" w:space="0" w:color="auto"/>
                                    <w:right w:val="none" w:sz="0" w:space="0" w:color="auto"/>
                                  </w:divBdr>
                                  <w:divsChild>
                                    <w:div w:id="1997026049">
                                      <w:marLeft w:val="0"/>
                                      <w:marRight w:val="0"/>
                                      <w:marTop w:val="0"/>
                                      <w:marBottom w:val="0"/>
                                      <w:divBdr>
                                        <w:top w:val="none" w:sz="0" w:space="0" w:color="auto"/>
                                        <w:left w:val="none" w:sz="0" w:space="0" w:color="auto"/>
                                        <w:bottom w:val="none" w:sz="0" w:space="0" w:color="auto"/>
                                        <w:right w:val="none" w:sz="0" w:space="0" w:color="auto"/>
                                      </w:divBdr>
                                      <w:divsChild>
                                        <w:div w:id="996692197">
                                          <w:marLeft w:val="0"/>
                                          <w:marRight w:val="0"/>
                                          <w:marTop w:val="0"/>
                                          <w:marBottom w:val="0"/>
                                          <w:divBdr>
                                            <w:top w:val="none" w:sz="0" w:space="0" w:color="auto"/>
                                            <w:left w:val="none" w:sz="0" w:space="0" w:color="auto"/>
                                            <w:bottom w:val="none" w:sz="0" w:space="0" w:color="auto"/>
                                            <w:right w:val="none" w:sz="0" w:space="0" w:color="auto"/>
                                          </w:divBdr>
                                          <w:divsChild>
                                            <w:div w:id="1489790261">
                                              <w:marLeft w:val="0"/>
                                              <w:marRight w:val="0"/>
                                              <w:marTop w:val="0"/>
                                              <w:marBottom w:val="0"/>
                                              <w:divBdr>
                                                <w:top w:val="none" w:sz="0" w:space="0" w:color="auto"/>
                                                <w:left w:val="none" w:sz="0" w:space="0" w:color="auto"/>
                                                <w:bottom w:val="none" w:sz="0" w:space="0" w:color="auto"/>
                                                <w:right w:val="none" w:sz="0" w:space="0" w:color="auto"/>
                                              </w:divBdr>
                                              <w:divsChild>
                                                <w:div w:id="1077485386">
                                                  <w:marLeft w:val="0"/>
                                                  <w:marRight w:val="0"/>
                                                  <w:marTop w:val="0"/>
                                                  <w:marBottom w:val="0"/>
                                                  <w:divBdr>
                                                    <w:top w:val="none" w:sz="0" w:space="0" w:color="auto"/>
                                                    <w:left w:val="none" w:sz="0" w:space="0" w:color="auto"/>
                                                    <w:bottom w:val="none" w:sz="0" w:space="0" w:color="auto"/>
                                                    <w:right w:val="none" w:sz="0" w:space="0" w:color="auto"/>
                                                  </w:divBdr>
                                                  <w:divsChild>
                                                    <w:div w:id="554660797">
                                                      <w:marLeft w:val="0"/>
                                                      <w:marRight w:val="0"/>
                                                      <w:marTop w:val="0"/>
                                                      <w:marBottom w:val="0"/>
                                                      <w:divBdr>
                                                        <w:top w:val="none" w:sz="0" w:space="0" w:color="auto"/>
                                                        <w:left w:val="none" w:sz="0" w:space="0" w:color="auto"/>
                                                        <w:bottom w:val="none" w:sz="0" w:space="0" w:color="auto"/>
                                                        <w:right w:val="none" w:sz="0" w:space="0" w:color="auto"/>
                                                      </w:divBdr>
                                                      <w:divsChild>
                                                        <w:div w:id="1307930271">
                                                          <w:marLeft w:val="0"/>
                                                          <w:marRight w:val="0"/>
                                                          <w:marTop w:val="0"/>
                                                          <w:marBottom w:val="0"/>
                                                          <w:divBdr>
                                                            <w:top w:val="none" w:sz="0" w:space="0" w:color="auto"/>
                                                            <w:left w:val="none" w:sz="0" w:space="0" w:color="auto"/>
                                                            <w:bottom w:val="none" w:sz="0" w:space="0" w:color="auto"/>
                                                            <w:right w:val="none" w:sz="0" w:space="0" w:color="auto"/>
                                                          </w:divBdr>
                                                        </w:div>
                                                        <w:div w:id="198222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385586">
                                  <w:marLeft w:val="0"/>
                                  <w:marRight w:val="0"/>
                                  <w:marTop w:val="0"/>
                                  <w:marBottom w:val="0"/>
                                  <w:divBdr>
                                    <w:top w:val="none" w:sz="0" w:space="0" w:color="auto"/>
                                    <w:left w:val="none" w:sz="0" w:space="0" w:color="auto"/>
                                    <w:bottom w:val="none" w:sz="0" w:space="0" w:color="auto"/>
                                    <w:right w:val="none" w:sz="0" w:space="0" w:color="auto"/>
                                  </w:divBdr>
                                  <w:divsChild>
                                    <w:div w:id="154759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27294">
          <w:marLeft w:val="0"/>
          <w:marRight w:val="0"/>
          <w:marTop w:val="0"/>
          <w:marBottom w:val="0"/>
          <w:divBdr>
            <w:top w:val="none" w:sz="0" w:space="0" w:color="auto"/>
            <w:left w:val="none" w:sz="0" w:space="0" w:color="auto"/>
            <w:bottom w:val="none" w:sz="0" w:space="0" w:color="auto"/>
            <w:right w:val="none" w:sz="0" w:space="0" w:color="auto"/>
          </w:divBdr>
          <w:divsChild>
            <w:div w:id="1997489514">
              <w:marLeft w:val="0"/>
              <w:marRight w:val="0"/>
              <w:marTop w:val="0"/>
              <w:marBottom w:val="0"/>
              <w:divBdr>
                <w:top w:val="none" w:sz="0" w:space="0" w:color="auto"/>
                <w:left w:val="none" w:sz="0" w:space="0" w:color="auto"/>
                <w:bottom w:val="none" w:sz="0" w:space="0" w:color="auto"/>
                <w:right w:val="none" w:sz="0" w:space="0" w:color="auto"/>
              </w:divBdr>
              <w:divsChild>
                <w:div w:id="1886524550">
                  <w:marLeft w:val="0"/>
                  <w:marRight w:val="0"/>
                  <w:marTop w:val="0"/>
                  <w:marBottom w:val="0"/>
                  <w:divBdr>
                    <w:top w:val="none" w:sz="0" w:space="0" w:color="auto"/>
                    <w:left w:val="none" w:sz="0" w:space="0" w:color="auto"/>
                    <w:bottom w:val="none" w:sz="0" w:space="0" w:color="auto"/>
                    <w:right w:val="none" w:sz="0" w:space="0" w:color="auto"/>
                  </w:divBdr>
                  <w:divsChild>
                    <w:div w:id="935673353">
                      <w:marLeft w:val="0"/>
                      <w:marRight w:val="0"/>
                      <w:marTop w:val="0"/>
                      <w:marBottom w:val="0"/>
                      <w:divBdr>
                        <w:top w:val="none" w:sz="0" w:space="0" w:color="auto"/>
                        <w:left w:val="none" w:sz="0" w:space="0" w:color="auto"/>
                        <w:bottom w:val="none" w:sz="0" w:space="0" w:color="auto"/>
                        <w:right w:val="none" w:sz="0" w:space="0" w:color="auto"/>
                      </w:divBdr>
                      <w:divsChild>
                        <w:div w:id="1548179720">
                          <w:marLeft w:val="0"/>
                          <w:marRight w:val="0"/>
                          <w:marTop w:val="0"/>
                          <w:marBottom w:val="0"/>
                          <w:divBdr>
                            <w:top w:val="none" w:sz="0" w:space="0" w:color="auto"/>
                            <w:left w:val="none" w:sz="0" w:space="0" w:color="auto"/>
                            <w:bottom w:val="none" w:sz="0" w:space="0" w:color="auto"/>
                            <w:right w:val="none" w:sz="0" w:space="0" w:color="auto"/>
                          </w:divBdr>
                        </w:div>
                        <w:div w:id="1113522287">
                          <w:marLeft w:val="0"/>
                          <w:marRight w:val="0"/>
                          <w:marTop w:val="0"/>
                          <w:marBottom w:val="0"/>
                          <w:divBdr>
                            <w:top w:val="none" w:sz="0" w:space="0" w:color="auto"/>
                            <w:left w:val="none" w:sz="0" w:space="0" w:color="auto"/>
                            <w:bottom w:val="none" w:sz="0" w:space="0" w:color="auto"/>
                            <w:right w:val="none" w:sz="0" w:space="0" w:color="auto"/>
                          </w:divBdr>
                          <w:divsChild>
                            <w:div w:id="331955399">
                              <w:marLeft w:val="0"/>
                              <w:marRight w:val="0"/>
                              <w:marTop w:val="0"/>
                              <w:marBottom w:val="0"/>
                              <w:divBdr>
                                <w:top w:val="none" w:sz="0" w:space="0" w:color="auto"/>
                                <w:left w:val="none" w:sz="0" w:space="0" w:color="auto"/>
                                <w:bottom w:val="none" w:sz="0" w:space="0" w:color="auto"/>
                                <w:right w:val="none" w:sz="0" w:space="0" w:color="auto"/>
                              </w:divBdr>
                              <w:divsChild>
                                <w:div w:id="2060088699">
                                  <w:marLeft w:val="0"/>
                                  <w:marRight w:val="0"/>
                                  <w:marTop w:val="0"/>
                                  <w:marBottom w:val="0"/>
                                  <w:divBdr>
                                    <w:top w:val="none" w:sz="0" w:space="0" w:color="auto"/>
                                    <w:left w:val="none" w:sz="0" w:space="0" w:color="auto"/>
                                    <w:bottom w:val="none" w:sz="0" w:space="0" w:color="auto"/>
                                    <w:right w:val="none" w:sz="0" w:space="0" w:color="auto"/>
                                  </w:divBdr>
                                  <w:divsChild>
                                    <w:div w:id="417793723">
                                      <w:blockQuote w:val="1"/>
                                      <w:marLeft w:val="720"/>
                                      <w:marRight w:val="720"/>
                                      <w:marTop w:val="100"/>
                                      <w:marBottom w:val="100"/>
                                      <w:divBdr>
                                        <w:top w:val="none" w:sz="0" w:space="0" w:color="auto"/>
                                        <w:left w:val="none" w:sz="0" w:space="0" w:color="auto"/>
                                        <w:bottom w:val="none" w:sz="0" w:space="0" w:color="auto"/>
                                        <w:right w:val="none" w:sz="0" w:space="0" w:color="auto"/>
                                      </w:divBdr>
                                    </w:div>
                                    <w:div w:id="874120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76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953025156">
                                      <w:blockQuote w:val="1"/>
                                      <w:marLeft w:val="720"/>
                                      <w:marRight w:val="720"/>
                                      <w:marTop w:val="100"/>
                                      <w:marBottom w:val="100"/>
                                      <w:divBdr>
                                        <w:top w:val="none" w:sz="0" w:space="0" w:color="auto"/>
                                        <w:left w:val="none" w:sz="0" w:space="0" w:color="auto"/>
                                        <w:bottom w:val="none" w:sz="0" w:space="0" w:color="auto"/>
                                        <w:right w:val="none" w:sz="0" w:space="0" w:color="auto"/>
                                      </w:divBdr>
                                    </w:div>
                                    <w:div w:id="877750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41782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39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4541724">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1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21521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237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847319">
                                      <w:marLeft w:val="0"/>
                                      <w:marRight w:val="0"/>
                                      <w:marTop w:val="0"/>
                                      <w:marBottom w:val="0"/>
                                      <w:divBdr>
                                        <w:top w:val="none" w:sz="0" w:space="0" w:color="auto"/>
                                        <w:left w:val="none" w:sz="0" w:space="0" w:color="auto"/>
                                        <w:bottom w:val="none" w:sz="0" w:space="0" w:color="auto"/>
                                        <w:right w:val="none" w:sz="0" w:space="0" w:color="auto"/>
                                      </w:divBdr>
                                      <w:divsChild>
                                        <w:div w:id="188968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949620">
          <w:marLeft w:val="0"/>
          <w:marRight w:val="0"/>
          <w:marTop w:val="0"/>
          <w:marBottom w:val="0"/>
          <w:divBdr>
            <w:top w:val="none" w:sz="0" w:space="0" w:color="auto"/>
            <w:left w:val="none" w:sz="0" w:space="0" w:color="auto"/>
            <w:bottom w:val="none" w:sz="0" w:space="0" w:color="auto"/>
            <w:right w:val="none" w:sz="0" w:space="0" w:color="auto"/>
          </w:divBdr>
          <w:divsChild>
            <w:div w:id="985860480">
              <w:marLeft w:val="0"/>
              <w:marRight w:val="0"/>
              <w:marTop w:val="0"/>
              <w:marBottom w:val="0"/>
              <w:divBdr>
                <w:top w:val="none" w:sz="0" w:space="0" w:color="auto"/>
                <w:left w:val="none" w:sz="0" w:space="0" w:color="auto"/>
                <w:bottom w:val="none" w:sz="0" w:space="0" w:color="auto"/>
                <w:right w:val="none" w:sz="0" w:space="0" w:color="auto"/>
              </w:divBdr>
              <w:divsChild>
                <w:div w:id="1523474363">
                  <w:marLeft w:val="0"/>
                  <w:marRight w:val="0"/>
                  <w:marTop w:val="0"/>
                  <w:marBottom w:val="0"/>
                  <w:divBdr>
                    <w:top w:val="none" w:sz="0" w:space="0" w:color="auto"/>
                    <w:left w:val="none" w:sz="0" w:space="0" w:color="auto"/>
                    <w:bottom w:val="none" w:sz="0" w:space="0" w:color="auto"/>
                    <w:right w:val="none" w:sz="0" w:space="0" w:color="auto"/>
                  </w:divBdr>
                  <w:divsChild>
                    <w:div w:id="130178704">
                      <w:marLeft w:val="0"/>
                      <w:marRight w:val="0"/>
                      <w:marTop w:val="0"/>
                      <w:marBottom w:val="0"/>
                      <w:divBdr>
                        <w:top w:val="none" w:sz="0" w:space="0" w:color="auto"/>
                        <w:left w:val="none" w:sz="0" w:space="0" w:color="auto"/>
                        <w:bottom w:val="none" w:sz="0" w:space="0" w:color="auto"/>
                        <w:right w:val="none" w:sz="0" w:space="0" w:color="auto"/>
                      </w:divBdr>
                      <w:divsChild>
                        <w:div w:id="1316257544">
                          <w:marLeft w:val="0"/>
                          <w:marRight w:val="0"/>
                          <w:marTop w:val="0"/>
                          <w:marBottom w:val="0"/>
                          <w:divBdr>
                            <w:top w:val="none" w:sz="0" w:space="0" w:color="auto"/>
                            <w:left w:val="none" w:sz="0" w:space="0" w:color="auto"/>
                            <w:bottom w:val="none" w:sz="0" w:space="0" w:color="auto"/>
                            <w:right w:val="none" w:sz="0" w:space="0" w:color="auto"/>
                          </w:divBdr>
                          <w:divsChild>
                            <w:div w:id="238566897">
                              <w:marLeft w:val="0"/>
                              <w:marRight w:val="0"/>
                              <w:marTop w:val="0"/>
                              <w:marBottom w:val="0"/>
                              <w:divBdr>
                                <w:top w:val="none" w:sz="0" w:space="0" w:color="auto"/>
                                <w:left w:val="none" w:sz="0" w:space="0" w:color="auto"/>
                                <w:bottom w:val="none" w:sz="0" w:space="0" w:color="auto"/>
                                <w:right w:val="none" w:sz="0" w:space="0" w:color="auto"/>
                              </w:divBdr>
                              <w:divsChild>
                                <w:div w:id="452790466">
                                  <w:marLeft w:val="0"/>
                                  <w:marRight w:val="0"/>
                                  <w:marTop w:val="0"/>
                                  <w:marBottom w:val="0"/>
                                  <w:divBdr>
                                    <w:top w:val="none" w:sz="0" w:space="0" w:color="auto"/>
                                    <w:left w:val="none" w:sz="0" w:space="0" w:color="auto"/>
                                    <w:bottom w:val="none" w:sz="0" w:space="0" w:color="auto"/>
                                    <w:right w:val="none" w:sz="0" w:space="0" w:color="auto"/>
                                  </w:divBdr>
                                  <w:divsChild>
                                    <w:div w:id="1691831796">
                                      <w:marLeft w:val="0"/>
                                      <w:marRight w:val="0"/>
                                      <w:marTop w:val="0"/>
                                      <w:marBottom w:val="0"/>
                                      <w:divBdr>
                                        <w:top w:val="none" w:sz="0" w:space="0" w:color="auto"/>
                                        <w:left w:val="none" w:sz="0" w:space="0" w:color="auto"/>
                                        <w:bottom w:val="none" w:sz="0" w:space="0" w:color="auto"/>
                                        <w:right w:val="none" w:sz="0" w:space="0" w:color="auto"/>
                                      </w:divBdr>
                                      <w:divsChild>
                                        <w:div w:id="1765302134">
                                          <w:marLeft w:val="0"/>
                                          <w:marRight w:val="0"/>
                                          <w:marTop w:val="0"/>
                                          <w:marBottom w:val="0"/>
                                          <w:divBdr>
                                            <w:top w:val="none" w:sz="0" w:space="0" w:color="auto"/>
                                            <w:left w:val="none" w:sz="0" w:space="0" w:color="auto"/>
                                            <w:bottom w:val="none" w:sz="0" w:space="0" w:color="auto"/>
                                            <w:right w:val="none" w:sz="0" w:space="0" w:color="auto"/>
                                          </w:divBdr>
                                          <w:divsChild>
                                            <w:div w:id="1672223602">
                                              <w:marLeft w:val="0"/>
                                              <w:marRight w:val="0"/>
                                              <w:marTop w:val="0"/>
                                              <w:marBottom w:val="0"/>
                                              <w:divBdr>
                                                <w:top w:val="none" w:sz="0" w:space="0" w:color="auto"/>
                                                <w:left w:val="none" w:sz="0" w:space="0" w:color="auto"/>
                                                <w:bottom w:val="none" w:sz="0" w:space="0" w:color="auto"/>
                                                <w:right w:val="none" w:sz="0" w:space="0" w:color="auto"/>
                                              </w:divBdr>
                                              <w:divsChild>
                                                <w:div w:id="12230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1278739">
          <w:marLeft w:val="0"/>
          <w:marRight w:val="0"/>
          <w:marTop w:val="0"/>
          <w:marBottom w:val="0"/>
          <w:divBdr>
            <w:top w:val="none" w:sz="0" w:space="0" w:color="auto"/>
            <w:left w:val="none" w:sz="0" w:space="0" w:color="auto"/>
            <w:bottom w:val="none" w:sz="0" w:space="0" w:color="auto"/>
            <w:right w:val="none" w:sz="0" w:space="0" w:color="auto"/>
          </w:divBdr>
          <w:divsChild>
            <w:div w:id="2066561599">
              <w:marLeft w:val="0"/>
              <w:marRight w:val="0"/>
              <w:marTop w:val="0"/>
              <w:marBottom w:val="0"/>
              <w:divBdr>
                <w:top w:val="none" w:sz="0" w:space="0" w:color="auto"/>
                <w:left w:val="none" w:sz="0" w:space="0" w:color="auto"/>
                <w:bottom w:val="none" w:sz="0" w:space="0" w:color="auto"/>
                <w:right w:val="none" w:sz="0" w:space="0" w:color="auto"/>
              </w:divBdr>
              <w:divsChild>
                <w:div w:id="223567872">
                  <w:marLeft w:val="0"/>
                  <w:marRight w:val="0"/>
                  <w:marTop w:val="0"/>
                  <w:marBottom w:val="0"/>
                  <w:divBdr>
                    <w:top w:val="none" w:sz="0" w:space="0" w:color="auto"/>
                    <w:left w:val="none" w:sz="0" w:space="0" w:color="auto"/>
                    <w:bottom w:val="none" w:sz="0" w:space="0" w:color="auto"/>
                    <w:right w:val="none" w:sz="0" w:space="0" w:color="auto"/>
                  </w:divBdr>
                  <w:divsChild>
                    <w:div w:id="1123158807">
                      <w:marLeft w:val="0"/>
                      <w:marRight w:val="0"/>
                      <w:marTop w:val="0"/>
                      <w:marBottom w:val="0"/>
                      <w:divBdr>
                        <w:top w:val="none" w:sz="0" w:space="0" w:color="auto"/>
                        <w:left w:val="none" w:sz="0" w:space="0" w:color="auto"/>
                        <w:bottom w:val="none" w:sz="0" w:space="0" w:color="auto"/>
                        <w:right w:val="none" w:sz="0" w:space="0" w:color="auto"/>
                      </w:divBdr>
                      <w:divsChild>
                        <w:div w:id="1424373711">
                          <w:marLeft w:val="0"/>
                          <w:marRight w:val="0"/>
                          <w:marTop w:val="0"/>
                          <w:marBottom w:val="0"/>
                          <w:divBdr>
                            <w:top w:val="none" w:sz="0" w:space="0" w:color="auto"/>
                            <w:left w:val="none" w:sz="0" w:space="0" w:color="auto"/>
                            <w:bottom w:val="none" w:sz="0" w:space="0" w:color="auto"/>
                            <w:right w:val="none" w:sz="0" w:space="0" w:color="auto"/>
                          </w:divBdr>
                        </w:div>
                        <w:div w:id="2007974611">
                          <w:marLeft w:val="0"/>
                          <w:marRight w:val="0"/>
                          <w:marTop w:val="0"/>
                          <w:marBottom w:val="0"/>
                          <w:divBdr>
                            <w:top w:val="none" w:sz="0" w:space="0" w:color="auto"/>
                            <w:left w:val="none" w:sz="0" w:space="0" w:color="auto"/>
                            <w:bottom w:val="none" w:sz="0" w:space="0" w:color="auto"/>
                            <w:right w:val="none" w:sz="0" w:space="0" w:color="auto"/>
                          </w:divBdr>
                          <w:divsChild>
                            <w:div w:id="546642979">
                              <w:marLeft w:val="0"/>
                              <w:marRight w:val="0"/>
                              <w:marTop w:val="0"/>
                              <w:marBottom w:val="0"/>
                              <w:divBdr>
                                <w:top w:val="none" w:sz="0" w:space="0" w:color="auto"/>
                                <w:left w:val="none" w:sz="0" w:space="0" w:color="auto"/>
                                <w:bottom w:val="none" w:sz="0" w:space="0" w:color="auto"/>
                                <w:right w:val="none" w:sz="0" w:space="0" w:color="auto"/>
                              </w:divBdr>
                              <w:divsChild>
                                <w:div w:id="1347289522">
                                  <w:marLeft w:val="0"/>
                                  <w:marRight w:val="0"/>
                                  <w:marTop w:val="0"/>
                                  <w:marBottom w:val="0"/>
                                  <w:divBdr>
                                    <w:top w:val="none" w:sz="0" w:space="0" w:color="auto"/>
                                    <w:left w:val="none" w:sz="0" w:space="0" w:color="auto"/>
                                    <w:bottom w:val="none" w:sz="0" w:space="0" w:color="auto"/>
                                    <w:right w:val="none" w:sz="0" w:space="0" w:color="auto"/>
                                  </w:divBdr>
                                  <w:divsChild>
                                    <w:div w:id="320349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612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139335">
                                      <w:blockQuote w:val="1"/>
                                      <w:marLeft w:val="720"/>
                                      <w:marRight w:val="720"/>
                                      <w:marTop w:val="100"/>
                                      <w:marBottom w:val="100"/>
                                      <w:divBdr>
                                        <w:top w:val="none" w:sz="0" w:space="0" w:color="auto"/>
                                        <w:left w:val="none" w:sz="0" w:space="0" w:color="auto"/>
                                        <w:bottom w:val="none" w:sz="0" w:space="0" w:color="auto"/>
                                        <w:right w:val="none" w:sz="0" w:space="0" w:color="auto"/>
                                      </w:divBdr>
                                    </w:div>
                                    <w:div w:id="73782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563419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9266881">
          <w:marLeft w:val="0"/>
          <w:marRight w:val="0"/>
          <w:marTop w:val="0"/>
          <w:marBottom w:val="0"/>
          <w:divBdr>
            <w:top w:val="none" w:sz="0" w:space="0" w:color="auto"/>
            <w:left w:val="none" w:sz="0" w:space="0" w:color="auto"/>
            <w:bottom w:val="none" w:sz="0" w:space="0" w:color="auto"/>
            <w:right w:val="none" w:sz="0" w:space="0" w:color="auto"/>
          </w:divBdr>
          <w:divsChild>
            <w:div w:id="1049649182">
              <w:marLeft w:val="0"/>
              <w:marRight w:val="0"/>
              <w:marTop w:val="0"/>
              <w:marBottom w:val="0"/>
              <w:divBdr>
                <w:top w:val="none" w:sz="0" w:space="0" w:color="auto"/>
                <w:left w:val="none" w:sz="0" w:space="0" w:color="auto"/>
                <w:bottom w:val="none" w:sz="0" w:space="0" w:color="auto"/>
                <w:right w:val="none" w:sz="0" w:space="0" w:color="auto"/>
              </w:divBdr>
              <w:divsChild>
                <w:div w:id="1937402842">
                  <w:marLeft w:val="0"/>
                  <w:marRight w:val="0"/>
                  <w:marTop w:val="0"/>
                  <w:marBottom w:val="0"/>
                  <w:divBdr>
                    <w:top w:val="none" w:sz="0" w:space="0" w:color="auto"/>
                    <w:left w:val="none" w:sz="0" w:space="0" w:color="auto"/>
                    <w:bottom w:val="none" w:sz="0" w:space="0" w:color="auto"/>
                    <w:right w:val="none" w:sz="0" w:space="0" w:color="auto"/>
                  </w:divBdr>
                  <w:divsChild>
                    <w:div w:id="1295602517">
                      <w:marLeft w:val="0"/>
                      <w:marRight w:val="0"/>
                      <w:marTop w:val="0"/>
                      <w:marBottom w:val="0"/>
                      <w:divBdr>
                        <w:top w:val="none" w:sz="0" w:space="0" w:color="auto"/>
                        <w:left w:val="none" w:sz="0" w:space="0" w:color="auto"/>
                        <w:bottom w:val="none" w:sz="0" w:space="0" w:color="auto"/>
                        <w:right w:val="none" w:sz="0" w:space="0" w:color="auto"/>
                      </w:divBdr>
                      <w:divsChild>
                        <w:div w:id="642391017">
                          <w:marLeft w:val="0"/>
                          <w:marRight w:val="0"/>
                          <w:marTop w:val="0"/>
                          <w:marBottom w:val="0"/>
                          <w:divBdr>
                            <w:top w:val="none" w:sz="0" w:space="0" w:color="auto"/>
                            <w:left w:val="none" w:sz="0" w:space="0" w:color="auto"/>
                            <w:bottom w:val="none" w:sz="0" w:space="0" w:color="auto"/>
                            <w:right w:val="none" w:sz="0" w:space="0" w:color="auto"/>
                          </w:divBdr>
                          <w:divsChild>
                            <w:div w:id="569312551">
                              <w:marLeft w:val="0"/>
                              <w:marRight w:val="0"/>
                              <w:marTop w:val="0"/>
                              <w:marBottom w:val="0"/>
                              <w:divBdr>
                                <w:top w:val="none" w:sz="0" w:space="0" w:color="auto"/>
                                <w:left w:val="none" w:sz="0" w:space="0" w:color="auto"/>
                                <w:bottom w:val="none" w:sz="0" w:space="0" w:color="auto"/>
                                <w:right w:val="none" w:sz="0" w:space="0" w:color="auto"/>
                              </w:divBdr>
                              <w:divsChild>
                                <w:div w:id="1446584870">
                                  <w:marLeft w:val="0"/>
                                  <w:marRight w:val="0"/>
                                  <w:marTop w:val="0"/>
                                  <w:marBottom w:val="0"/>
                                  <w:divBdr>
                                    <w:top w:val="none" w:sz="0" w:space="0" w:color="auto"/>
                                    <w:left w:val="none" w:sz="0" w:space="0" w:color="auto"/>
                                    <w:bottom w:val="none" w:sz="0" w:space="0" w:color="auto"/>
                                    <w:right w:val="none" w:sz="0" w:space="0" w:color="auto"/>
                                  </w:divBdr>
                                  <w:divsChild>
                                    <w:div w:id="142511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6937559">
          <w:marLeft w:val="0"/>
          <w:marRight w:val="0"/>
          <w:marTop w:val="0"/>
          <w:marBottom w:val="0"/>
          <w:divBdr>
            <w:top w:val="none" w:sz="0" w:space="0" w:color="auto"/>
            <w:left w:val="none" w:sz="0" w:space="0" w:color="auto"/>
            <w:bottom w:val="none" w:sz="0" w:space="0" w:color="auto"/>
            <w:right w:val="none" w:sz="0" w:space="0" w:color="auto"/>
          </w:divBdr>
          <w:divsChild>
            <w:div w:id="344526158">
              <w:marLeft w:val="0"/>
              <w:marRight w:val="0"/>
              <w:marTop w:val="0"/>
              <w:marBottom w:val="0"/>
              <w:divBdr>
                <w:top w:val="none" w:sz="0" w:space="0" w:color="auto"/>
                <w:left w:val="none" w:sz="0" w:space="0" w:color="auto"/>
                <w:bottom w:val="none" w:sz="0" w:space="0" w:color="auto"/>
                <w:right w:val="none" w:sz="0" w:space="0" w:color="auto"/>
              </w:divBdr>
              <w:divsChild>
                <w:div w:id="1310095089">
                  <w:marLeft w:val="0"/>
                  <w:marRight w:val="0"/>
                  <w:marTop w:val="0"/>
                  <w:marBottom w:val="0"/>
                  <w:divBdr>
                    <w:top w:val="none" w:sz="0" w:space="0" w:color="auto"/>
                    <w:left w:val="none" w:sz="0" w:space="0" w:color="auto"/>
                    <w:bottom w:val="none" w:sz="0" w:space="0" w:color="auto"/>
                    <w:right w:val="none" w:sz="0" w:space="0" w:color="auto"/>
                  </w:divBdr>
                  <w:divsChild>
                    <w:div w:id="619606266">
                      <w:marLeft w:val="0"/>
                      <w:marRight w:val="0"/>
                      <w:marTop w:val="0"/>
                      <w:marBottom w:val="0"/>
                      <w:divBdr>
                        <w:top w:val="none" w:sz="0" w:space="0" w:color="auto"/>
                        <w:left w:val="none" w:sz="0" w:space="0" w:color="auto"/>
                        <w:bottom w:val="none" w:sz="0" w:space="0" w:color="auto"/>
                        <w:right w:val="none" w:sz="0" w:space="0" w:color="auto"/>
                      </w:divBdr>
                      <w:divsChild>
                        <w:div w:id="1929002279">
                          <w:marLeft w:val="0"/>
                          <w:marRight w:val="0"/>
                          <w:marTop w:val="0"/>
                          <w:marBottom w:val="0"/>
                          <w:divBdr>
                            <w:top w:val="none" w:sz="0" w:space="0" w:color="auto"/>
                            <w:left w:val="none" w:sz="0" w:space="0" w:color="auto"/>
                            <w:bottom w:val="none" w:sz="0" w:space="0" w:color="auto"/>
                            <w:right w:val="none" w:sz="0" w:space="0" w:color="auto"/>
                          </w:divBdr>
                        </w:div>
                        <w:div w:id="102387585">
                          <w:marLeft w:val="0"/>
                          <w:marRight w:val="0"/>
                          <w:marTop w:val="0"/>
                          <w:marBottom w:val="0"/>
                          <w:divBdr>
                            <w:top w:val="none" w:sz="0" w:space="0" w:color="auto"/>
                            <w:left w:val="none" w:sz="0" w:space="0" w:color="auto"/>
                            <w:bottom w:val="none" w:sz="0" w:space="0" w:color="auto"/>
                            <w:right w:val="none" w:sz="0" w:space="0" w:color="auto"/>
                          </w:divBdr>
                          <w:divsChild>
                            <w:div w:id="1507329611">
                              <w:marLeft w:val="0"/>
                              <w:marRight w:val="0"/>
                              <w:marTop w:val="0"/>
                              <w:marBottom w:val="0"/>
                              <w:divBdr>
                                <w:top w:val="none" w:sz="0" w:space="0" w:color="auto"/>
                                <w:left w:val="none" w:sz="0" w:space="0" w:color="auto"/>
                                <w:bottom w:val="none" w:sz="0" w:space="0" w:color="auto"/>
                                <w:right w:val="none" w:sz="0" w:space="0" w:color="auto"/>
                              </w:divBdr>
                              <w:divsChild>
                                <w:div w:id="569849081">
                                  <w:marLeft w:val="0"/>
                                  <w:marRight w:val="0"/>
                                  <w:marTop w:val="0"/>
                                  <w:marBottom w:val="0"/>
                                  <w:divBdr>
                                    <w:top w:val="none" w:sz="0" w:space="0" w:color="auto"/>
                                    <w:left w:val="none" w:sz="0" w:space="0" w:color="auto"/>
                                    <w:bottom w:val="none" w:sz="0" w:space="0" w:color="auto"/>
                                    <w:right w:val="none" w:sz="0" w:space="0" w:color="auto"/>
                                  </w:divBdr>
                                  <w:divsChild>
                                    <w:div w:id="47071188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9723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858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7563464">
          <w:marLeft w:val="0"/>
          <w:marRight w:val="0"/>
          <w:marTop w:val="0"/>
          <w:marBottom w:val="0"/>
          <w:divBdr>
            <w:top w:val="none" w:sz="0" w:space="0" w:color="auto"/>
            <w:left w:val="none" w:sz="0" w:space="0" w:color="auto"/>
            <w:bottom w:val="none" w:sz="0" w:space="0" w:color="auto"/>
            <w:right w:val="none" w:sz="0" w:space="0" w:color="auto"/>
          </w:divBdr>
          <w:divsChild>
            <w:div w:id="2123067174">
              <w:marLeft w:val="0"/>
              <w:marRight w:val="0"/>
              <w:marTop w:val="0"/>
              <w:marBottom w:val="0"/>
              <w:divBdr>
                <w:top w:val="none" w:sz="0" w:space="0" w:color="auto"/>
                <w:left w:val="none" w:sz="0" w:space="0" w:color="auto"/>
                <w:bottom w:val="none" w:sz="0" w:space="0" w:color="auto"/>
                <w:right w:val="none" w:sz="0" w:space="0" w:color="auto"/>
              </w:divBdr>
              <w:divsChild>
                <w:div w:id="987243559">
                  <w:marLeft w:val="0"/>
                  <w:marRight w:val="0"/>
                  <w:marTop w:val="0"/>
                  <w:marBottom w:val="0"/>
                  <w:divBdr>
                    <w:top w:val="none" w:sz="0" w:space="0" w:color="auto"/>
                    <w:left w:val="none" w:sz="0" w:space="0" w:color="auto"/>
                    <w:bottom w:val="none" w:sz="0" w:space="0" w:color="auto"/>
                    <w:right w:val="none" w:sz="0" w:space="0" w:color="auto"/>
                  </w:divBdr>
                  <w:divsChild>
                    <w:div w:id="1991664652">
                      <w:marLeft w:val="0"/>
                      <w:marRight w:val="0"/>
                      <w:marTop w:val="0"/>
                      <w:marBottom w:val="0"/>
                      <w:divBdr>
                        <w:top w:val="none" w:sz="0" w:space="0" w:color="auto"/>
                        <w:left w:val="none" w:sz="0" w:space="0" w:color="auto"/>
                        <w:bottom w:val="none" w:sz="0" w:space="0" w:color="auto"/>
                        <w:right w:val="none" w:sz="0" w:space="0" w:color="auto"/>
                      </w:divBdr>
                      <w:divsChild>
                        <w:div w:id="1253050802">
                          <w:marLeft w:val="0"/>
                          <w:marRight w:val="0"/>
                          <w:marTop w:val="0"/>
                          <w:marBottom w:val="0"/>
                          <w:divBdr>
                            <w:top w:val="none" w:sz="0" w:space="0" w:color="auto"/>
                            <w:left w:val="none" w:sz="0" w:space="0" w:color="auto"/>
                            <w:bottom w:val="none" w:sz="0" w:space="0" w:color="auto"/>
                            <w:right w:val="none" w:sz="0" w:space="0" w:color="auto"/>
                          </w:divBdr>
                          <w:divsChild>
                            <w:div w:id="2036492094">
                              <w:marLeft w:val="0"/>
                              <w:marRight w:val="0"/>
                              <w:marTop w:val="0"/>
                              <w:marBottom w:val="0"/>
                              <w:divBdr>
                                <w:top w:val="none" w:sz="0" w:space="0" w:color="auto"/>
                                <w:left w:val="none" w:sz="0" w:space="0" w:color="auto"/>
                                <w:bottom w:val="none" w:sz="0" w:space="0" w:color="auto"/>
                                <w:right w:val="none" w:sz="0" w:space="0" w:color="auto"/>
                              </w:divBdr>
                              <w:divsChild>
                                <w:div w:id="1689329299">
                                  <w:marLeft w:val="0"/>
                                  <w:marRight w:val="0"/>
                                  <w:marTop w:val="0"/>
                                  <w:marBottom w:val="0"/>
                                  <w:divBdr>
                                    <w:top w:val="none" w:sz="0" w:space="0" w:color="auto"/>
                                    <w:left w:val="none" w:sz="0" w:space="0" w:color="auto"/>
                                    <w:bottom w:val="none" w:sz="0" w:space="0" w:color="auto"/>
                                    <w:right w:val="none" w:sz="0" w:space="0" w:color="auto"/>
                                  </w:divBdr>
                                  <w:divsChild>
                                    <w:div w:id="20436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41854">
          <w:marLeft w:val="0"/>
          <w:marRight w:val="0"/>
          <w:marTop w:val="0"/>
          <w:marBottom w:val="0"/>
          <w:divBdr>
            <w:top w:val="none" w:sz="0" w:space="0" w:color="auto"/>
            <w:left w:val="none" w:sz="0" w:space="0" w:color="auto"/>
            <w:bottom w:val="none" w:sz="0" w:space="0" w:color="auto"/>
            <w:right w:val="none" w:sz="0" w:space="0" w:color="auto"/>
          </w:divBdr>
          <w:divsChild>
            <w:div w:id="1014499012">
              <w:marLeft w:val="0"/>
              <w:marRight w:val="0"/>
              <w:marTop w:val="0"/>
              <w:marBottom w:val="0"/>
              <w:divBdr>
                <w:top w:val="none" w:sz="0" w:space="0" w:color="auto"/>
                <w:left w:val="none" w:sz="0" w:space="0" w:color="auto"/>
                <w:bottom w:val="none" w:sz="0" w:space="0" w:color="auto"/>
                <w:right w:val="none" w:sz="0" w:space="0" w:color="auto"/>
              </w:divBdr>
              <w:divsChild>
                <w:div w:id="114569681">
                  <w:marLeft w:val="0"/>
                  <w:marRight w:val="0"/>
                  <w:marTop w:val="0"/>
                  <w:marBottom w:val="0"/>
                  <w:divBdr>
                    <w:top w:val="none" w:sz="0" w:space="0" w:color="auto"/>
                    <w:left w:val="none" w:sz="0" w:space="0" w:color="auto"/>
                    <w:bottom w:val="none" w:sz="0" w:space="0" w:color="auto"/>
                    <w:right w:val="none" w:sz="0" w:space="0" w:color="auto"/>
                  </w:divBdr>
                  <w:divsChild>
                    <w:div w:id="2136899323">
                      <w:marLeft w:val="0"/>
                      <w:marRight w:val="0"/>
                      <w:marTop w:val="0"/>
                      <w:marBottom w:val="0"/>
                      <w:divBdr>
                        <w:top w:val="none" w:sz="0" w:space="0" w:color="auto"/>
                        <w:left w:val="none" w:sz="0" w:space="0" w:color="auto"/>
                        <w:bottom w:val="none" w:sz="0" w:space="0" w:color="auto"/>
                        <w:right w:val="none" w:sz="0" w:space="0" w:color="auto"/>
                      </w:divBdr>
                      <w:divsChild>
                        <w:div w:id="1235428382">
                          <w:marLeft w:val="0"/>
                          <w:marRight w:val="0"/>
                          <w:marTop w:val="0"/>
                          <w:marBottom w:val="0"/>
                          <w:divBdr>
                            <w:top w:val="none" w:sz="0" w:space="0" w:color="auto"/>
                            <w:left w:val="none" w:sz="0" w:space="0" w:color="auto"/>
                            <w:bottom w:val="none" w:sz="0" w:space="0" w:color="auto"/>
                            <w:right w:val="none" w:sz="0" w:space="0" w:color="auto"/>
                          </w:divBdr>
                        </w:div>
                        <w:div w:id="1540161586">
                          <w:marLeft w:val="0"/>
                          <w:marRight w:val="0"/>
                          <w:marTop w:val="0"/>
                          <w:marBottom w:val="0"/>
                          <w:divBdr>
                            <w:top w:val="none" w:sz="0" w:space="0" w:color="auto"/>
                            <w:left w:val="none" w:sz="0" w:space="0" w:color="auto"/>
                            <w:bottom w:val="none" w:sz="0" w:space="0" w:color="auto"/>
                            <w:right w:val="none" w:sz="0" w:space="0" w:color="auto"/>
                          </w:divBdr>
                          <w:divsChild>
                            <w:div w:id="695347746">
                              <w:marLeft w:val="0"/>
                              <w:marRight w:val="0"/>
                              <w:marTop w:val="0"/>
                              <w:marBottom w:val="0"/>
                              <w:divBdr>
                                <w:top w:val="none" w:sz="0" w:space="0" w:color="auto"/>
                                <w:left w:val="none" w:sz="0" w:space="0" w:color="auto"/>
                                <w:bottom w:val="none" w:sz="0" w:space="0" w:color="auto"/>
                                <w:right w:val="none" w:sz="0" w:space="0" w:color="auto"/>
                              </w:divBdr>
                              <w:divsChild>
                                <w:div w:id="56526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4371368">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4172365">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31869823">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2680814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70593262">
      <w:bodyDiv w:val="1"/>
      <w:marLeft w:val="0"/>
      <w:marRight w:val="0"/>
      <w:marTop w:val="0"/>
      <w:marBottom w:val="0"/>
      <w:divBdr>
        <w:top w:val="none" w:sz="0" w:space="0" w:color="auto"/>
        <w:left w:val="none" w:sz="0" w:space="0" w:color="auto"/>
        <w:bottom w:val="none" w:sz="0" w:space="0" w:color="auto"/>
        <w:right w:val="none" w:sz="0" w:space="0" w:color="auto"/>
      </w:divBdr>
    </w:div>
    <w:div w:id="1671443532">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84815522">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69538243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32264387">
      <w:bodyDiv w:val="1"/>
      <w:marLeft w:val="0"/>
      <w:marRight w:val="0"/>
      <w:marTop w:val="0"/>
      <w:marBottom w:val="0"/>
      <w:divBdr>
        <w:top w:val="none" w:sz="0" w:space="0" w:color="auto"/>
        <w:left w:val="none" w:sz="0" w:space="0" w:color="auto"/>
        <w:bottom w:val="none" w:sz="0" w:space="0" w:color="auto"/>
        <w:right w:val="none" w:sz="0" w:space="0" w:color="auto"/>
      </w:divBdr>
    </w:div>
    <w:div w:id="1754929526">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69499586">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8765683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4228293">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29786354">
      <w:bodyDiv w:val="1"/>
      <w:marLeft w:val="0"/>
      <w:marRight w:val="0"/>
      <w:marTop w:val="0"/>
      <w:marBottom w:val="0"/>
      <w:divBdr>
        <w:top w:val="none" w:sz="0" w:space="0" w:color="auto"/>
        <w:left w:val="none" w:sz="0" w:space="0" w:color="auto"/>
        <w:bottom w:val="none" w:sz="0" w:space="0" w:color="auto"/>
        <w:right w:val="none" w:sz="0" w:space="0" w:color="auto"/>
      </w:divBdr>
    </w:div>
    <w:div w:id="1844003314">
      <w:bodyDiv w:val="1"/>
      <w:marLeft w:val="0"/>
      <w:marRight w:val="0"/>
      <w:marTop w:val="0"/>
      <w:marBottom w:val="0"/>
      <w:divBdr>
        <w:top w:val="none" w:sz="0" w:space="0" w:color="auto"/>
        <w:left w:val="none" w:sz="0" w:space="0" w:color="auto"/>
        <w:bottom w:val="none" w:sz="0" w:space="0" w:color="auto"/>
        <w:right w:val="none" w:sz="0" w:space="0" w:color="auto"/>
      </w:divBdr>
    </w:div>
    <w:div w:id="1845901087">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888184045">
      <w:bodyDiv w:val="1"/>
      <w:marLeft w:val="0"/>
      <w:marRight w:val="0"/>
      <w:marTop w:val="0"/>
      <w:marBottom w:val="0"/>
      <w:divBdr>
        <w:top w:val="none" w:sz="0" w:space="0" w:color="auto"/>
        <w:left w:val="none" w:sz="0" w:space="0" w:color="auto"/>
        <w:bottom w:val="none" w:sz="0" w:space="0" w:color="auto"/>
        <w:right w:val="none" w:sz="0" w:space="0" w:color="auto"/>
      </w:divBdr>
    </w:div>
    <w:div w:id="190028217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089039">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4840662">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34307111">
      <w:bodyDiv w:val="1"/>
      <w:marLeft w:val="0"/>
      <w:marRight w:val="0"/>
      <w:marTop w:val="0"/>
      <w:marBottom w:val="0"/>
      <w:divBdr>
        <w:top w:val="none" w:sz="0" w:space="0" w:color="auto"/>
        <w:left w:val="none" w:sz="0" w:space="0" w:color="auto"/>
        <w:bottom w:val="none" w:sz="0" w:space="0" w:color="auto"/>
        <w:right w:val="none" w:sz="0" w:space="0" w:color="auto"/>
      </w:divBdr>
    </w:div>
    <w:div w:id="2055348081">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88452792">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86/1471-244X-10-113" TargetMode="External"/><Relationship Id="rId39" Type="http://schemas.openxmlformats.org/officeDocument/2006/relationships/hyperlink" Target="https://doi.org/10.1016/j.invent.2023.100690" TargetMode="External"/><Relationship Id="rId21" Type="http://schemas.openxmlformats.org/officeDocument/2006/relationships/hyperlink" Target="https://doi.org/10.1037/0022-006X.66.4.685" TargetMode="External"/><Relationship Id="rId34" Type="http://schemas.openxmlformats.org/officeDocument/2006/relationships/hyperlink" Target="https://doi.org/10.1016/j.jclinepi.2007.11.01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136/bmjopen-2015-010247" TargetMode="Externa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111/acps.12275" TargetMode="External"/><Relationship Id="rId32" Type="http://schemas.openxmlformats.org/officeDocument/2006/relationships/hyperlink" Target="https://doi.org/10.1101/2025.06.26.25330349" TargetMode="External"/><Relationship Id="rId37" Type="http://schemas.openxmlformats.org/officeDocument/2006/relationships/hyperlink" Target="https://doi.org/10.3102/10769986030003261%EF%BC%88REML%EF%BC%8C%E5%8A%A0%E4%B8%8D%E5%8A%A0%E7%9C%8B%E4%BD%A0%EF%BC%89" TargetMode="External"/><Relationship Id="rId40" Type="http://schemas.openxmlformats.org/officeDocument/2006/relationships/hyperlink" Target="https://doi.org/10.1515/ijamh-2013-002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2/jrsm.1230" TargetMode="External"/><Relationship Id="rId28" Type="http://schemas.openxmlformats.org/officeDocument/2006/relationships/hyperlink" Target="https://doi.org/10.1186/1471-2288-14-25" TargetMode="External"/><Relationship Id="rId36" Type="http://schemas.openxmlformats.org/officeDocument/2006/relationships/hyperlink" Target="https://doi.org/10.1007/s40894-024-00237-z"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doi.org/10.1186/s12888-024-06046-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1002/sim.1221" TargetMode="External"/><Relationship Id="rId27" Type="http://schemas.openxmlformats.org/officeDocument/2006/relationships/hyperlink" Target="https://doi.org/10.1371/journal.pmen.0000347" TargetMode="External"/><Relationship Id="rId30" Type="http://schemas.openxmlformats.org/officeDocument/2006/relationships/hyperlink" Target="https://doi.org/10.1002/jrsm.1316" TargetMode="External"/><Relationship Id="rId35" Type="http://schemas.openxmlformats.org/officeDocument/2006/relationships/hyperlink" Target="https://doi.org/10.55489/njcm.160320254839"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07/s10567-018-0271-8" TargetMode="External"/><Relationship Id="rId33" Type="http://schemas.openxmlformats.org/officeDocument/2006/relationships/hyperlink" Target="https://doi.org/10.1016/j.brat.2015.01.009" TargetMode="External"/><Relationship Id="rId38" Type="http://schemas.openxmlformats.org/officeDocument/2006/relationships/hyperlink" Target="https://doi.org/10.1002/jrsm.1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5EA47-AEB6-4A31-9B7F-C9A9653F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16299</TotalTime>
  <Pages>85</Pages>
  <Words>27561</Words>
  <Characters>157103</Characters>
  <Application>Microsoft Office Word</Application>
  <DocSecurity>0</DocSecurity>
  <Lines>1309</Lines>
  <Paragraphs>368</Paragraphs>
  <ScaleCrop>false</ScaleCrop>
  <Company/>
  <LinksUpToDate>false</LinksUpToDate>
  <CharactersWithSpaces>184296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508</cp:revision>
  <dcterms:created xsi:type="dcterms:W3CDTF">2026-04-24T10:43:00Z</dcterms:created>
  <dcterms:modified xsi:type="dcterms:W3CDTF">2026-06-12T11:48:00Z</dcterms:modified>
</cp:coreProperties>
</file>