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w:t>
      </w:r>
      <w:proofErr w:type="gramStart"/>
      <w:r w:rsidRPr="00E96157">
        <w:t>For the purpose of</w:t>
      </w:r>
      <w:proofErr w:type="gramEnd"/>
      <w:r w:rsidRPr="00E96157">
        <w:t xml:space="preserve">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proofErr w:type="gramStart"/>
      <w:r w:rsidRPr="00855297">
        <w:rPr>
          <w:rFonts w:eastAsia="Times New Roman"/>
        </w:rPr>
        <w:t>MeSH</w:t>
      </w:r>
      <w:proofErr w:type="spellEnd"/>
      <w:proofErr w:type="gram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 xml:space="preserve">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w:t>
      </w:r>
      <w:proofErr w:type="gramStart"/>
      <w:r w:rsidR="00774AAF" w:rsidRPr="0081610B">
        <w:rPr>
          <w:rFonts w:eastAsia="Times New Roman"/>
        </w:rPr>
        <w:t>artificial-intelligence</w:t>
      </w:r>
      <w:proofErr w:type="gramEnd"/>
      <w:r w:rsidR="00774AAF" w:rsidRPr="0081610B">
        <w:rPr>
          <w:rFonts w:eastAsia="Times New Roman"/>
        </w:rPr>
        <w:t xml:space="preserv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 xml:space="preserve">Data were extracted into a standardized workbook of three linked sheets. </w:t>
      </w:r>
      <w:proofErr w:type="spellStart"/>
      <w:r w:rsidRPr="0024335A">
        <w:t>Study_Info</w:t>
      </w:r>
      <w:proofErr w:type="spellEnd"/>
      <w:r w:rsidRPr="0024335A">
        <w:t xml:space="preserve"> held study-level characteristics, </w:t>
      </w:r>
      <w:proofErr w:type="spellStart"/>
      <w:r w:rsidRPr="0024335A">
        <w:t>Outcome_Data</w:t>
      </w:r>
      <w:proofErr w:type="spellEnd"/>
      <w:r w:rsidRPr="0024335A">
        <w:t xml:space="preserve"> held effect-size inputs at each timepoint, and </w:t>
      </w:r>
      <w:proofErr w:type="gramStart"/>
      <w:r w:rsidRPr="0024335A">
        <w:t>RoB</w:t>
      </w:r>
      <w:proofErr w:type="gramEnd"/>
      <w:r w:rsidRPr="0024335A">
        <w:t>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 xml:space="preserve">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w:t>
      </w:r>
      <w:proofErr w:type="spellStart"/>
      <w:r w:rsidRPr="00F77A5E">
        <w:t>Ostinelli</w:t>
      </w:r>
      <w:proofErr w:type="spellEnd"/>
      <w:r w:rsidRPr="00F77A5E">
        <w:t xml:space="preserve">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4E65B59C" w14:textId="33F0B44D" w:rsidR="00F77A5E" w:rsidRPr="00F77A5E" w:rsidRDefault="00F77A5E" w:rsidP="008E4DD0">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A7B43EC" w14:textId="77777777" w:rsidR="008E4DD0" w:rsidRPr="008E4DD0" w:rsidRDefault="00F50362" w:rsidP="003B32AA">
      <w:pPr>
        <w:spacing w:after="120" w:line="360" w:lineRule="auto"/>
        <w:ind w:firstLine="360"/>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r>
            <w:rPr>
              <w:rFonts w:ascii="Cambria Math" w:hAnsi="Cambria Math"/>
            </w:rPr>
            <m:t xml:space="preserve">  </m:t>
          </m:r>
        </m:oMath>
      </m:oMathPara>
    </w:p>
    <w:p w14:paraId="7193E465" w14:textId="77777777" w:rsidR="008E4DD0" w:rsidRPr="008E4DD0" w:rsidRDefault="00F50362" w:rsidP="003B32AA">
      <w:pPr>
        <w:spacing w:after="120" w:line="360" w:lineRule="auto"/>
        <w:ind w:firstLine="360"/>
        <w:jc w:val="both"/>
      </w:pPr>
      <m:oMathPara>
        <m:oMath>
          <m:r>
            <w:rPr>
              <w:rFonts w:ascii="Cambria Math" w:hAnsi="Cambria Math"/>
            </w:rPr>
            <m:t xml:space="preserve">df=n-2  </m:t>
          </m:r>
        </m:oMath>
      </m:oMathPara>
    </w:p>
    <w:p w14:paraId="38793131" w14:textId="266B6812" w:rsidR="009A6242" w:rsidRPr="00C8187A" w:rsidRDefault="00F50362" w:rsidP="00C8187A">
      <w:pPr>
        <w:spacing w:after="120" w:line="360" w:lineRule="auto"/>
        <w:ind w:firstLine="360"/>
        <w:jc w:val="both"/>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4B610D86" w14:textId="77777777" w:rsidR="00C8187A" w:rsidRDefault="00C8187A" w:rsidP="00C8187A">
      <w:pPr>
        <w:spacing w:after="120" w:line="360" w:lineRule="auto"/>
        <w:ind w:firstLine="360"/>
        <w:jc w:val="both"/>
      </w:pPr>
    </w:p>
    <w:p w14:paraId="07E94A9F" w14:textId="7E97C129" w:rsidR="008074FA" w:rsidRPr="008A37BE" w:rsidRDefault="009A6242" w:rsidP="00BA62EF">
      <w:pPr>
        <w:spacing w:after="120" w:line="360" w:lineRule="auto"/>
        <w:jc w:val="both"/>
        <w:rPr>
          <w:b/>
          <w:bCs/>
        </w:rPr>
      </w:pPr>
      <w:r w:rsidRPr="008A37BE">
        <w:rPr>
          <w:rFonts w:hint="eastAsia"/>
          <w:b/>
          <w:bCs/>
        </w:rPr>
        <w:lastRenderedPageBreak/>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7088276E" w14:textId="3441C69D" w:rsidR="00E12D72" w:rsidRDefault="00D01F5C" w:rsidP="008E4DD0">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21D5CE1F" w14:textId="5A6D4A4D" w:rsidR="008074FA" w:rsidRPr="008074FA" w:rsidRDefault="00000000" w:rsidP="008E4DD0">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proofErr w:type="spellStart"/>
      <w:r w:rsidR="00DE5BAE" w:rsidRPr="00DE5BAE">
        <w:rPr>
          <w:i/>
          <w:iCs/>
          <w:sz w:val="20"/>
          <w:szCs w:val="20"/>
        </w:rPr>
        <w:t>df</w:t>
      </w:r>
      <w:proofErr w:type="spellEnd"/>
      <w:r w:rsidR="00DE5BAE" w:rsidRPr="00DE5BAE">
        <w:rPr>
          <w:sz w:val="20"/>
          <w:szCs w:val="20"/>
        </w:rPr>
        <w:t xml:space="preserve">) = small-sample correction factor. </w:t>
      </w:r>
      <w:proofErr w:type="spellStart"/>
      <w:r w:rsidR="00DE5BAE" w:rsidRPr="00DE5BAE">
        <w:rPr>
          <w:i/>
          <w:iCs/>
          <w:sz w:val="20"/>
          <w:szCs w:val="20"/>
        </w:rPr>
        <w:t>df</w:t>
      </w:r>
      <w:proofErr w:type="spellEnd"/>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6CBAEAB4" w14:textId="3A2A9D45" w:rsidR="000F48E3" w:rsidRDefault="009A6242" w:rsidP="00E13B07">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298FFA24" w14:textId="77777777" w:rsidR="00E13B07" w:rsidRPr="00E13B07" w:rsidRDefault="00E13B07" w:rsidP="00E13B07">
      <w:pPr>
        <w:spacing w:after="120" w:line="360" w:lineRule="auto"/>
        <w:rPr>
          <w:b/>
          <w:bCs/>
        </w:rPr>
      </w:pPr>
    </w:p>
    <w:p w14:paraId="529A36B4" w14:textId="2DC860F0" w:rsidR="00706A30" w:rsidRPr="00706A30"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4109F72E" w14:textId="7B3B9F6A" w:rsidR="006962D6" w:rsidRPr="008E4DD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3C4E010" w14:textId="77777777" w:rsidR="00C8187A" w:rsidRPr="00C8187A" w:rsidRDefault="00C8187A"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 xml:space="preserve"> </m:t>
              </m:r>
            </m:e>
          </m:rad>
        </m:oMath>
      </m:oMathPara>
    </w:p>
    <w:p w14:paraId="7613B770" w14:textId="27813B18" w:rsidR="008074FA" w:rsidRPr="00C8187A" w:rsidRDefault="001619F0" w:rsidP="009A6242">
      <w:pPr>
        <w:spacing w:after="120" w:line="360" w:lineRule="auto"/>
      </w:pPr>
      <m:oMathPara>
        <m:oMath>
          <m:r>
            <w:rPr>
              <w:rFonts w:ascii="Cambria Math" w:hAnsi="Cambria Math"/>
            </w:rPr>
            <m:t xml:space="preserve"> </m:t>
          </m:r>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6938675B" w14:textId="77777777" w:rsidR="00C8187A" w:rsidRPr="00C8187A" w:rsidRDefault="00C8187A"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r>
            <w:rPr>
              <w:rFonts w:ascii="Cambria Math" w:hAnsi="Cambria Math"/>
            </w:rPr>
            <m:t xml:space="preserve"> </m:t>
          </m:r>
        </m:oMath>
      </m:oMathPara>
    </w:p>
    <w:p w14:paraId="329DF962" w14:textId="2793B94C"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 xml:space="preserve">Symbols are as defined for Type A, with the following additions. </w:t>
      </w:r>
      <w:proofErr w:type="spellStart"/>
      <w:r w:rsidRPr="0024335A">
        <w:rPr>
          <w:sz w:val="20"/>
          <w:szCs w:val="20"/>
        </w:rPr>
        <w:t>Δx</w:t>
      </w:r>
      <w:proofErr w:type="spellEnd"/>
      <w:r w:rsidRPr="0024335A">
        <w:rPr>
          <w:sz w:val="20"/>
          <w:szCs w:val="20"/>
        </w:rPr>
        <w:t xml:space="preserve">̄ₑₓₚ and </w:t>
      </w:r>
      <w:proofErr w:type="spellStart"/>
      <w:r w:rsidRPr="0024335A">
        <w:rPr>
          <w:sz w:val="20"/>
          <w:szCs w:val="20"/>
        </w:rPr>
        <w:t>Δx</w:t>
      </w:r>
      <w:proofErr w:type="spellEnd"/>
      <w:r w:rsidRPr="0024335A">
        <w:rPr>
          <w:sz w:val="20"/>
          <w:szCs w:val="20"/>
        </w:rPr>
        <w:t>̄</w:t>
      </w:r>
      <w:r w:rsidRPr="0024335A">
        <w:rPr>
          <w:rFonts w:ascii="Cambria Math" w:hAnsi="Cambria Math" w:cs="Cambria Math"/>
          <w:sz w:val="20"/>
          <w:szCs w:val="20"/>
        </w:rPr>
        <w:t>𝒸</w:t>
      </w:r>
      <w:r w:rsidRPr="0024335A">
        <w:rPr>
          <w:sz w:val="20"/>
          <w:szCs w:val="20"/>
        </w:rPr>
        <w:t xml:space="preserve">ₜᵣₗ = mean change scores of the two groups. </w:t>
      </w:r>
      <w:proofErr w:type="spellStart"/>
      <w:r w:rsidRPr="0024335A">
        <w:rPr>
          <w:sz w:val="20"/>
          <w:szCs w:val="20"/>
        </w:rPr>
        <w:t>SD_Δexp</w:t>
      </w:r>
      <w:proofErr w:type="spellEnd"/>
      <w:r w:rsidRPr="0024335A">
        <w:rPr>
          <w:sz w:val="20"/>
          <w:szCs w:val="20"/>
        </w:rPr>
        <w:t xml:space="preserve"> and </w:t>
      </w:r>
      <w:proofErr w:type="spellStart"/>
      <w:r w:rsidRPr="0024335A">
        <w:rPr>
          <w:sz w:val="20"/>
          <w:szCs w:val="20"/>
        </w:rPr>
        <w:t>SD_Δctrl</w:t>
      </w:r>
      <w:proofErr w:type="spellEnd"/>
      <w:r w:rsidRPr="0024335A">
        <w:rPr>
          <w:sz w:val="20"/>
          <w:szCs w:val="20"/>
        </w:rPr>
        <w:t xml:space="preserve"> = standard deviations of the change scores. </w:t>
      </w:r>
      <w:proofErr w:type="spellStart"/>
      <w:r w:rsidRPr="0024335A">
        <w:rPr>
          <w:sz w:val="20"/>
          <w:szCs w:val="20"/>
        </w:rPr>
        <w:t>SE_Δexp</w:t>
      </w:r>
      <w:proofErr w:type="spellEnd"/>
      <w:r w:rsidRPr="0024335A">
        <w:rPr>
          <w:sz w:val="20"/>
          <w:szCs w:val="20"/>
        </w:rPr>
        <w:t xml:space="preserve"> and </w:t>
      </w:r>
      <w:proofErr w:type="spellStart"/>
      <w:r w:rsidRPr="0024335A">
        <w:rPr>
          <w:sz w:val="20"/>
          <w:szCs w:val="20"/>
        </w:rPr>
        <w:t>SE_Δctrl</w:t>
      </w:r>
      <w:proofErr w:type="spellEnd"/>
      <w:r w:rsidRPr="0024335A">
        <w:rPr>
          <w:sz w:val="20"/>
          <w:szCs w:val="20"/>
        </w:rPr>
        <w:t xml:space="preserve"> = standard errors of the change scores. </w:t>
      </w:r>
      <w:proofErr w:type="spellStart"/>
      <w:r w:rsidRPr="0024335A">
        <w:rPr>
          <w:sz w:val="20"/>
          <w:szCs w:val="20"/>
        </w:rPr>
        <w:t>CI_upper</w:t>
      </w:r>
      <w:proofErr w:type="spellEnd"/>
      <w:r w:rsidRPr="0024335A">
        <w:rPr>
          <w:sz w:val="20"/>
          <w:szCs w:val="20"/>
        </w:rPr>
        <w:t xml:space="preserve"> and </w:t>
      </w:r>
      <w:proofErr w:type="spellStart"/>
      <w:r w:rsidRPr="0024335A">
        <w:rPr>
          <w:sz w:val="20"/>
          <w:szCs w:val="20"/>
        </w:rPr>
        <w:t>CI_lower</w:t>
      </w:r>
      <w:proofErr w:type="spellEnd"/>
      <w:r w:rsidRPr="0024335A">
        <w:rPr>
          <w:sz w:val="20"/>
          <w:szCs w:val="20"/>
        </w:rPr>
        <w:t xml:space="preserve"> = upper and lower limits of the 95% confidence interval of the change score.</w:t>
      </w:r>
    </w:p>
    <w:p w14:paraId="1BD43925" w14:textId="77777777" w:rsidR="0024335A" w:rsidRPr="0024335A" w:rsidRDefault="0024335A" w:rsidP="0024335A">
      <w:pPr>
        <w:spacing w:after="120"/>
        <w:rPr>
          <w:i/>
          <w:iCs/>
          <w:sz w:val="20"/>
          <w:szCs w:val="20"/>
        </w:rPr>
      </w:pPr>
    </w:p>
    <w:p w14:paraId="519FB593" w14:textId="137C11D2" w:rsidR="007A7CCF"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1C5D4B13" w14:textId="77777777" w:rsidR="00E13B07" w:rsidRPr="00E13B07" w:rsidRDefault="00E13B07" w:rsidP="00984EEF">
      <w:pPr>
        <w:spacing w:after="120" w:line="360" w:lineRule="auto"/>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7AB546FE" w14:textId="1D4EB1D5" w:rsidR="00B72CF8" w:rsidRPr="0059449A" w:rsidRDefault="00000000" w:rsidP="0059449A">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 xml:space="preserve">are the upper and lower limits of the reported 95% confidence interval. The standard error was derived from the confidence interval width assuming a </w:t>
      </w:r>
      <w:proofErr w:type="gramStart"/>
      <w:r w:rsidRPr="004C5D59">
        <w:rPr>
          <w:sz w:val="16"/>
          <w:szCs w:val="16"/>
        </w:rPr>
        <w:t>normal-based</w:t>
      </w:r>
      <w:proofErr w:type="gramEnd"/>
      <w:r w:rsidRPr="004C5D59">
        <w:rPr>
          <w:sz w:val="16"/>
          <w:szCs w:val="16"/>
        </w:rPr>
        <w:t xml:space="preserve">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proofErr w:type="spellStart"/>
      <w:r w:rsidRPr="00B423C5">
        <w:rPr>
          <w:i/>
          <w:iCs/>
        </w:rPr>
        <w:t>i</w:t>
      </w:r>
      <w:proofErr w:type="spellEnd"/>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000000"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000000"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pPr>
      <w:r w:rsidRPr="00010C8C">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000000" w:rsidP="00010C8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75E189C3" w14:textId="4215EAA0" w:rsidR="002B48EF" w:rsidRPr="002B48EF" w:rsidRDefault="00000000" w:rsidP="00E13B07">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264D402E" w14:textId="634909BB" w:rsidR="002B48EF" w:rsidRDefault="002B48EF" w:rsidP="002B48EF">
      <w:pPr>
        <w:spacing w:after="120" w:line="360" w:lineRule="auto"/>
        <w:ind w:firstLine="360"/>
        <w:jc w:val="both"/>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7AE8183E" w14:textId="77777777" w:rsidR="00C207CF" w:rsidRDefault="00C207CF" w:rsidP="002B48EF">
      <w:pPr>
        <w:spacing w:after="120" w:line="360" w:lineRule="auto"/>
        <w:ind w:firstLine="360"/>
        <w:jc w:val="both"/>
      </w:pPr>
    </w:p>
    <w:p w14:paraId="7FE35156" w14:textId="5E6C2377" w:rsidR="00C207CF" w:rsidRPr="00C207CF" w:rsidRDefault="00000000" w:rsidP="00C207CF">
      <w:pPr>
        <w:spacing w:after="120" w:line="360" w:lineRule="auto"/>
        <w:ind w:firstLine="360"/>
        <w:jc w:val="both"/>
        <w:rPr>
          <w:i/>
        </w:rPr>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w:bookmarkStart w:id="24" w:name="OLE_LINK98"/>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5"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5"/>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w:bookmarkEnd w:id="24"/>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C207CF" w:rsidRDefault="000C0538" w:rsidP="000C0538">
      <w:pPr>
        <w:spacing w:after="120"/>
        <w:jc w:val="both"/>
        <w:rPr>
          <w:sz w:val="16"/>
          <w:szCs w:val="16"/>
        </w:rPr>
      </w:pPr>
      <w:r w:rsidRPr="00C207CF">
        <w:rPr>
          <w:i/>
          <w:iCs/>
          <w:sz w:val="16"/>
          <w:szCs w:val="16"/>
        </w:rPr>
        <w:lastRenderedPageBreak/>
        <w:t>Note.</w:t>
      </w:r>
      <w:r w:rsidRPr="00C207CF">
        <w:rPr>
          <w:sz w:val="16"/>
          <w:szCs w:val="16"/>
        </w:rPr>
        <w:t xml:space="preserve"> </w:t>
      </w:r>
      <m:oMath>
        <m:sSubSup>
          <m:sSubSupPr>
            <m:ctrlPr>
              <w:rPr>
                <w:rFonts w:ascii="Cambria Math" w:hAnsi="Cambria Math"/>
                <w:i/>
                <w:sz w:val="16"/>
                <w:szCs w:val="16"/>
              </w:rPr>
            </m:ctrlPr>
          </m:sSubSupPr>
          <m:e>
            <m:r>
              <w:rPr>
                <w:rFonts w:ascii="Cambria Math" w:hAnsi="Cambria Math"/>
                <w:sz w:val="16"/>
                <w:szCs w:val="16"/>
              </w:rPr>
              <m:t>w</m:t>
            </m:r>
          </m:e>
          <m:sub>
            <m:r>
              <w:rPr>
                <w:rFonts w:ascii="Cambria Math" w:hAnsi="Cambria Math"/>
                <w:sz w:val="16"/>
                <w:szCs w:val="16"/>
              </w:rPr>
              <m:t>i</m:t>
            </m:r>
          </m:sub>
          <m:sup>
            <m:r>
              <w:rPr>
                <w:rFonts w:ascii="Cambria Math" w:hAnsi="Cambria Math"/>
                <w:sz w:val="16"/>
                <w:szCs w:val="16"/>
              </w:rPr>
              <m:t>RE</m:t>
            </m:r>
          </m:sup>
        </m:sSubSup>
      </m:oMath>
      <w:r w:rsidRPr="00C207CF">
        <w:rPr>
          <w:sz w:val="16"/>
          <w:szCs w:val="16"/>
        </w:rPr>
        <w:t xml:space="preserve"> = weight assigned to study</w:t>
      </w:r>
      <w:r w:rsidR="004B7C40" w:rsidRPr="00C207CF">
        <w:rPr>
          <w:rFonts w:hint="eastAsia"/>
          <w:sz w:val="16"/>
          <w:szCs w:val="16"/>
        </w:rPr>
        <w:t xml:space="preserve"> </w:t>
      </w:r>
      <w:proofErr w:type="spellStart"/>
      <w:r w:rsidR="004B7C40" w:rsidRPr="00C207CF">
        <w:rPr>
          <w:rFonts w:hint="eastAsia"/>
          <w:i/>
          <w:iCs/>
          <w:sz w:val="16"/>
          <w:szCs w:val="16"/>
        </w:rPr>
        <w:t>i</w:t>
      </w:r>
      <w:proofErr w:type="spellEnd"/>
      <w:r w:rsidR="004B7C40" w:rsidRPr="00C207CF">
        <w:rPr>
          <w:rFonts w:hint="eastAsia"/>
          <w:sz w:val="16"/>
          <w:szCs w:val="16"/>
        </w:rPr>
        <w:t xml:space="preserve"> in random effect model.</w:t>
      </w:r>
      <w:r w:rsidRPr="00C207CF">
        <w:rPr>
          <w:sz w:val="16"/>
          <w:szCs w:val="16"/>
        </w:rPr>
        <w:t xml:space="preserve"> </w:t>
      </w:r>
      <w:r w:rsidRPr="00C207CF">
        <w:rPr>
          <w:i/>
          <w:iCs/>
          <w:sz w:val="16"/>
          <w:szCs w:val="16"/>
        </w:rPr>
        <w:t>yᵢ</w:t>
      </w:r>
      <w:r w:rsidRPr="00C207CF">
        <w:rPr>
          <w:sz w:val="16"/>
          <w:szCs w:val="16"/>
        </w:rPr>
        <w:t xml:space="preserve"> = Hedges' </w:t>
      </w:r>
      <w:r w:rsidRPr="00C207CF">
        <w:rPr>
          <w:i/>
          <w:iCs/>
          <w:sz w:val="16"/>
          <w:szCs w:val="16"/>
        </w:rPr>
        <w:t>g</w:t>
      </w:r>
      <w:r w:rsidRPr="00C207CF">
        <w:rPr>
          <w:sz w:val="16"/>
          <w:szCs w:val="16"/>
        </w:rPr>
        <w:t xml:space="preserve"> of study </w:t>
      </w:r>
      <w:proofErr w:type="spellStart"/>
      <w:r w:rsidRPr="00C207CF">
        <w:rPr>
          <w:i/>
          <w:iCs/>
          <w:sz w:val="16"/>
          <w:szCs w:val="16"/>
        </w:rPr>
        <w:t>i</w:t>
      </w:r>
      <w:proofErr w:type="spellEnd"/>
      <w:r w:rsidRPr="00C207CF">
        <w:rPr>
          <w:sz w:val="16"/>
          <w:szCs w:val="16"/>
        </w:rPr>
        <w:t xml:space="preserve">. </w:t>
      </w:r>
      <w:r w:rsidRPr="00C207CF">
        <w:rPr>
          <w:i/>
          <w:iCs/>
          <w:sz w:val="16"/>
          <w:szCs w:val="16"/>
        </w:rPr>
        <w:t>vᵢ</w:t>
      </w:r>
      <w:r w:rsidRPr="00C207CF">
        <w:rPr>
          <w:sz w:val="16"/>
          <w:szCs w:val="16"/>
        </w:rPr>
        <w:t xml:space="preserve"> = within-study sampling variance of study </w:t>
      </w:r>
      <w:proofErr w:type="spellStart"/>
      <w:r w:rsidRPr="00C207CF">
        <w:rPr>
          <w:i/>
          <w:iCs/>
          <w:sz w:val="16"/>
          <w:szCs w:val="16"/>
        </w:rPr>
        <w:t>i</w:t>
      </w:r>
      <w:proofErr w:type="spellEnd"/>
      <w:r w:rsidRPr="00C207CF">
        <w:rPr>
          <w:sz w:val="16"/>
          <w:szCs w:val="16"/>
        </w:rPr>
        <w:t xml:space="preserve">. </w:t>
      </w:r>
      <w:r w:rsidRPr="00C207CF">
        <w:rPr>
          <w:i/>
          <w:iCs/>
          <w:sz w:val="16"/>
          <w:szCs w:val="16"/>
        </w:rPr>
        <w:t>τ</w:t>
      </w:r>
      <w:r w:rsidRPr="00C207CF">
        <w:rPr>
          <w:sz w:val="16"/>
          <w:szCs w:val="16"/>
        </w:rPr>
        <w:t xml:space="preserve">² = between-study variance. </w:t>
      </w:r>
      <w:r w:rsidRPr="00C207CF">
        <w:rPr>
          <w:i/>
          <w:iCs/>
          <w:sz w:val="16"/>
          <w:szCs w:val="16"/>
        </w:rPr>
        <w:t>k</w:t>
      </w:r>
      <w:r w:rsidRPr="00C207CF">
        <w:rPr>
          <w:sz w:val="16"/>
          <w:szCs w:val="16"/>
        </w:rPr>
        <w:t xml:space="preserve"> = number of studies.</w:t>
      </w:r>
    </w:p>
    <w:p w14:paraId="24258E8E" w14:textId="77777777" w:rsidR="000C0538" w:rsidRDefault="000C0538" w:rsidP="000C0538">
      <w:pPr>
        <w:spacing w:after="120" w:line="360" w:lineRule="auto"/>
        <w:jc w:val="both"/>
      </w:pPr>
    </w:p>
    <w:p w14:paraId="54D7A5D4" w14:textId="04073915" w:rsidR="00241FE4" w:rsidRDefault="00092C7B">
      <w:pPr>
        <w:spacing w:after="120" w:line="360" w:lineRule="auto"/>
        <w:ind w:firstLine="360"/>
        <w:jc w:val="both"/>
      </w:pPr>
      <w:r w:rsidRPr="00092C7B">
        <w:t xml:space="preserve">Between-study variance </w:t>
      </w:r>
      <w:bookmarkStart w:id="26" w:name="OLE_LINK83"/>
      <w:r w:rsidRPr="00092C7B">
        <w:rPr>
          <w:i/>
          <w:iCs/>
        </w:rPr>
        <w:t>τ</w:t>
      </w:r>
      <w:r w:rsidRPr="00092C7B">
        <w:t>²</w:t>
      </w:r>
      <w:bookmarkEnd w:id="26"/>
      <w:r w:rsidRPr="00092C7B">
        <w:t xml:space="preserve"> was estimated with the restricted maximum-likelihood (REML) estimator</w:t>
      </w:r>
      <w:r w:rsidR="003C65B9">
        <w:rPr>
          <w:rFonts w:hint="eastAsia"/>
        </w:rPr>
        <w:t xml:space="preserve"> (</w:t>
      </w:r>
      <w:proofErr w:type="spellStart"/>
      <w:r w:rsidR="003C65B9" w:rsidRPr="003C65B9">
        <w:t>Viechtbauer</w:t>
      </w:r>
      <w:proofErr w:type="spellEnd"/>
      <w:r w:rsidR="003C65B9">
        <w:rPr>
          <w:rFonts w:hint="eastAsia"/>
        </w:rPr>
        <w:t>, 2005)</w:t>
      </w:r>
      <w:r w:rsidRPr="00092C7B">
        <w:t>. Because the number of included studies was small, the confidence interval of each pooled estimate was calculated with the Hartung-Knapp adjustment, which reduces the risk of false-positive findings when few studies are available (</w:t>
      </w:r>
      <w:proofErr w:type="spellStart"/>
      <w:r w:rsidRPr="00092C7B">
        <w:t>IntHout</w:t>
      </w:r>
      <w:proofErr w:type="spellEnd"/>
      <w:r w:rsidRPr="00092C7B">
        <w:t xml:space="preserve"> et al., 2014; Langan et al., 2019). </w:t>
      </w:r>
    </w:p>
    <w:p w14:paraId="50D9FE3D" w14:textId="77777777" w:rsidR="00926386" w:rsidRDefault="00926386" w:rsidP="00926386">
      <w:pPr>
        <w:spacing w:after="120" w:line="360" w:lineRule="auto"/>
        <w:ind w:firstLine="360"/>
        <w:jc w:val="both"/>
      </w:pPr>
      <w:bookmarkStart w:id="27" w:name="OLE_LINK80"/>
      <w:r w:rsidRPr="0089294E">
        <w:t xml:space="preserve">Standardized mean differences are commonly interpreted using Cohen's (1988) conventional benchmarks. These benchmarks, however, were not derived for any specific clinical context. In the treatment of depression, even an effect as small as </w:t>
      </w:r>
      <w:proofErr w:type="spellStart"/>
      <w:r w:rsidRPr="0089294E">
        <w:t>SMD</w:t>
      </w:r>
      <w:r w:rsidRPr="001228FD">
        <w:rPr>
          <w:vertAlign w:val="subscript"/>
        </w:rPr>
        <w:t>between</w:t>
      </w:r>
      <w:proofErr w:type="spellEnd"/>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xml:space="preserve">). Cohen (1988) values are the conventional benchmarks. Nordahl-Hansen et al. (2024) values are the empirically derived 25th, 50th, and 75th percentile thresholds for the children and </w:t>
      </w:r>
      <w:proofErr w:type="gramStart"/>
      <w:r w:rsidRPr="004C5D59">
        <w:rPr>
          <w:sz w:val="16"/>
          <w:szCs w:val="16"/>
        </w:rPr>
        <w:t>adolescents</w:t>
      </w:r>
      <w:proofErr w:type="gramEnd"/>
      <w:r w:rsidRPr="004C5D59">
        <w:rPr>
          <w:sz w:val="16"/>
          <w:szCs w:val="16"/>
        </w:rPr>
        <w:t xml:space="preserve"> subgroup.</w:t>
      </w:r>
    </w:p>
    <w:bookmarkEnd w:id="27"/>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b/>
          <w:bCs/>
        </w:rPr>
      </w:pPr>
      <w:r w:rsidRPr="000C0538">
        <w:rPr>
          <w:rFonts w:hint="eastAsia"/>
          <w:b/>
          <w:bCs/>
        </w:rPr>
        <w:t>Heterogeneity</w:t>
      </w:r>
    </w:p>
    <w:p w14:paraId="44903B02" w14:textId="04982096" w:rsidR="0096433D" w:rsidRDefault="00645D7F" w:rsidP="00645D7F">
      <w:pPr>
        <w:spacing w:after="120" w:line="360" w:lineRule="auto"/>
        <w:ind w:firstLine="360"/>
        <w:jc w:val="both"/>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65A89C78" w14:textId="108790B9" w:rsidR="00C43BB7" w:rsidRPr="00C43BB7" w:rsidRDefault="00C43BB7" w:rsidP="0096433D">
      <w:pPr>
        <w:spacing w:after="120" w:line="360" w:lineRule="auto"/>
        <w:jc w:val="both"/>
        <w:rPr>
          <w:sz w:val="24"/>
          <w:szCs w:val="24"/>
        </w:rPr>
      </w:pPr>
      <m:oMathPara>
        <m:oMath>
          <m:r>
            <m:rPr>
              <m:sty m:val="p"/>
            </m:rPr>
            <w:rPr>
              <w:rFonts w:ascii="Cambria Math" w:hAnsi="Cambria Math"/>
              <w:sz w:val="24"/>
              <w:szCs w:val="24"/>
            </w:rPr>
            <m:t>Q</m:t>
          </m:r>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sz w:val="24"/>
                          <w:szCs w:val="24"/>
                        </w:rPr>
                      </m:ctrlPr>
                    </m:dPr>
                    <m:e>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lastRenderedPageBreak/>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w:t>
      </w:r>
      <w:proofErr w:type="spellStart"/>
      <w:r w:rsidR="00645D7F" w:rsidRPr="00645D7F">
        <w:t>IntHout</w:t>
      </w:r>
      <w:proofErr w:type="spellEnd"/>
      <w:r w:rsidR="00645D7F" w:rsidRPr="00645D7F">
        <w:t xml:space="preserve"> et al., 2016).</w:t>
      </w:r>
    </w:p>
    <w:p w14:paraId="58EF3024" w14:textId="6B16BD60" w:rsidR="007868BA" w:rsidRPr="007868BA" w:rsidRDefault="00000000"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232A4269" w14:textId="5DD6C3FB" w:rsidR="00092C7B" w:rsidRPr="00E13B07" w:rsidRDefault="00261750" w:rsidP="00E13B07">
      <w:pPr>
        <w:spacing w:after="120" w:line="360" w:lineRule="auto"/>
        <w:ind w:firstLine="360"/>
        <w:jc w:val="both"/>
        <w:rPr>
          <w:rFonts w:ascii="Cambria Math" w:hAnsi="Cambria Math"/>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51FBAB3E" w14:textId="5109B77C" w:rsidR="000C3784" w:rsidRPr="000D52E9" w:rsidRDefault="00D450DC">
      <w:pPr>
        <w:pStyle w:val="3"/>
        <w:rPr>
          <w:rFonts w:eastAsiaTheme="minorEastAsia"/>
        </w:rPr>
      </w:pPr>
      <w:r>
        <w:t>3.</w:t>
      </w:r>
      <w:r w:rsidR="00CB4E77">
        <w:rPr>
          <w:rFonts w:eastAsiaTheme="minorEastAsia" w:hint="eastAsia"/>
        </w:rPr>
        <w:t>7.</w:t>
      </w:r>
      <w:r>
        <w:t>3. Subgroup and Sensitivity Analyses</w:t>
      </w:r>
      <w:r w:rsidR="000D52E9">
        <w:rPr>
          <w:rFonts w:eastAsiaTheme="minorEastAsia" w:hint="eastAsia"/>
        </w:rPr>
        <w:t xml:space="preserve"> </w:t>
      </w:r>
    </w:p>
    <w:p w14:paraId="3637E4FB" w14:textId="3D7A81AC" w:rsidR="00BA7E47" w:rsidRPr="004F1570" w:rsidRDefault="004F1570" w:rsidP="00396FAE">
      <w:pPr>
        <w:spacing w:after="120" w:line="360" w:lineRule="auto"/>
        <w:ind w:firstLine="360"/>
        <w:jc w:val="both"/>
        <w:rPr>
          <w:b/>
          <w:bCs/>
        </w:rPr>
      </w:pPr>
      <w:r w:rsidRPr="004F1570">
        <w:rPr>
          <w:rFonts w:hint="eastAsia"/>
          <w:b/>
          <w:bCs/>
        </w:rPr>
        <w:t>Subgroup analyses and meta-regression</w:t>
      </w:r>
    </w:p>
    <w:p w14:paraId="6A1C2600" w14:textId="77777777" w:rsidR="00F424E4" w:rsidRDefault="00F424E4" w:rsidP="003D728B">
      <w:pPr>
        <w:spacing w:after="120" w:line="360" w:lineRule="auto"/>
        <w:ind w:firstLine="360"/>
        <w:jc w:val="both"/>
      </w:pPr>
      <w:r w:rsidRPr="00F424E4">
        <w:t>Subgroup analysis, also called moderator analysis, identifies which study-level characteristics explain the heterogeneity observed in the data, that is, why effect sizes differ across groups of studies. The model is close to the random-effects model used in the main analysis, with one change. The observed effect of each study still decomposes into a true effect and sampling error.</w:t>
      </w:r>
    </w:p>
    <w:p w14:paraId="39AE30E7" w14:textId="24158F03" w:rsidR="003D728B" w:rsidRPr="00F424E4" w:rsidRDefault="00000000" w:rsidP="003D728B">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4BA187B8" w14:textId="6B55B198" w:rsidR="00F424E4" w:rsidRPr="00F424E4" w:rsidRDefault="00000000" w:rsidP="00F424E4">
      <w:pPr>
        <w:spacing w:after="120" w:line="360" w:lineRule="auto"/>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307FD496" w14:textId="77777777" w:rsidR="00F424E4" w:rsidRDefault="003D728B" w:rsidP="00F424E4">
      <w:pPr>
        <w:spacing w:after="120" w:line="360" w:lineRule="auto"/>
        <w:jc w:val="both"/>
      </w:pPr>
      <w:r>
        <w:tab/>
      </w:r>
      <w:bookmarkStart w:id="28" w:name="OLE_LINK91"/>
      <w:r w:rsidR="00F424E4" w:rsidRPr="00F424E4">
        <w:t xml:space="preserve">The only difference is that the true effect of each study is now centered on the mean of its own subgroup, </w:t>
      </w:r>
      <w:r w:rsidR="00F424E4" w:rsidRPr="00F424E4">
        <w:rPr>
          <w:i/>
          <w:iCs/>
        </w:rPr>
        <w:t>μ</w:t>
      </w:r>
      <w:r w:rsidR="00F424E4" w:rsidRPr="00F424E4">
        <w:t>ⱼ, rather than on a single overall mean. The same between-study variance is assumed within each subgroup.</w:t>
      </w:r>
    </w:p>
    <w:p w14:paraId="52026CF8" w14:textId="099EA333" w:rsidR="00F424E4" w:rsidRPr="00F424E4" w:rsidRDefault="00F424E4" w:rsidP="00F424E4">
      <w:pPr>
        <w:spacing w:after="120" w:line="360" w:lineRule="auto"/>
        <w:ind w:firstLine="420"/>
        <w:jc w:val="both"/>
      </w:pPr>
      <w:r w:rsidRPr="00F424E4">
        <w:t>A difference between the observed subgroup means</w:t>
      </w:r>
      <w:r>
        <w:rPr>
          <w:rFonts w:hint="eastAsia"/>
        </w:rP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oMath>
      <w:r w:rsidRPr="00F424E4">
        <w:t xml:space="preserve">​ does not by itself establish a real subgroup effect. It cannot show whether the dispersion between groups is larger than would be expected from random fluctuation. This is tested with the between-subgroup </w:t>
      </w:r>
      <w:r w:rsidRPr="00F424E4">
        <w:rPr>
          <w:rFonts w:hint="eastAsia"/>
          <w:i/>
          <w:iCs/>
        </w:rPr>
        <w:t>Q</w:t>
      </w:r>
      <w:r w:rsidRPr="00F424E4">
        <w:t xml:space="preserve"> statistic.</w:t>
      </w:r>
    </w:p>
    <w:p w14:paraId="18571E67" w14:textId="6B10C108" w:rsidR="00BF4029" w:rsidRPr="00B13DC9"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w:bookmarkEnd w:id="28"/>
          <m:r>
            <w:rPr>
              <w:rFonts w:ascii="Cambria Math" w:hAnsi="Cambria Math"/>
            </w:rPr>
            <m:t>=</m:t>
          </m:r>
          <w:bookmarkStart w:id="29" w:name="OLE_LINK85"/>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w:bookmarkEnd w:id="29"/>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oMath>
      </m:oMathPara>
    </w:p>
    <w:p w14:paraId="504E21D4" w14:textId="77777777" w:rsidR="00E13B07" w:rsidRPr="00E13B0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r>
                            <m:rPr>
                              <m:sty m:val="p"/>
                            </m:rPr>
                            <w:rPr>
                              <w:rFonts w:ascii="Cambria Math" w:hAnsi="Cambria Math"/>
                            </w:rPr>
                            <m:t>μ</m:t>
                          </m:r>
                        </m:e>
                      </m:acc>
                    </m:e>
                  </m:d>
                </m:e>
                <m:sup>
                  <m:r>
                    <w:rPr>
                      <w:rFonts w:ascii="Cambria Math" w:hAnsi="Cambria Math"/>
                    </w:rPr>
                    <m:t>2</m:t>
                  </m:r>
                </m:sup>
              </m:sSup>
              <m:ctrlPr>
                <w:rPr>
                  <w:rFonts w:ascii="Cambria Math" w:hAnsi="Cambria Math"/>
                  <w:i/>
                </w:rPr>
              </m:ctrlPr>
            </m:e>
          </m:nary>
        </m:oMath>
      </m:oMathPara>
    </w:p>
    <w:p w14:paraId="0A4ACFB0" w14:textId="732A6222" w:rsidR="00B13DC9"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G</m:t>
              </m:r>
            </m:sup>
            <m:e>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ctrlPr>
                            <w:rPr>
                              <w:rFonts w:ascii="Cambria Math" w:hAnsi="Cambria Math"/>
                              <w:i/>
                            </w:rPr>
                          </m:ctrlPr>
                        </m:e>
                      </m:d>
                    </m:e>
                    <m:sup>
                      <m:r>
                        <w:rPr>
                          <w:rFonts w:ascii="Cambria Math" w:hAnsi="Cambria Math"/>
                        </w:rPr>
                        <m:t>2</m:t>
                      </m:r>
                    </m:sup>
                  </m:sSup>
                </m:e>
              </m:nary>
            </m:e>
          </m:nary>
        </m:oMath>
      </m:oMathPara>
    </w:p>
    <w:p w14:paraId="64CA786D" w14:textId="73594FF6" w:rsidR="00C43BB7"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m:rPr>
                  <m:sty m:val="p"/>
                </m:rPr>
                <w:rPr>
                  <w:rFonts w:ascii="Cambria Math" w:hAnsi="Cambria Math"/>
                </w:rPr>
                <m:t>between</m:t>
              </m:r>
            </m:sub>
          </m:sSub>
          <m:r>
            <m:rPr>
              <m:sty m:val="p"/>
            </m:rPr>
            <w:rPr>
              <w:rFonts w:ascii="Cambria Math" w:hAnsi="Cambria Math" w:cs="Cambria Math"/>
            </w:rPr>
            <m:t>∼</m:t>
          </m:r>
          <m:sSubSup>
            <m:sSubSupPr>
              <m:ctrlPr>
                <w:rPr>
                  <w:rFonts w:ascii="Cambria Math" w:hAnsi="Cambria Math"/>
                  <w:i/>
                </w:rPr>
              </m:ctrlPr>
            </m:sSubSupPr>
            <m:e>
              <m:r>
                <w:rPr>
                  <w:rFonts w:ascii="Cambria Math" w:hAnsi="Cambria Math"/>
                </w:rPr>
                <m:t>χ</m:t>
              </m:r>
              <m:ctrlPr>
                <w:rPr>
                  <w:rFonts w:ascii="Cambria Math" w:hAnsi="Cambria Math" w:cs="Cambria Math"/>
                </w:rPr>
              </m:ctrlPr>
            </m:e>
            <m:sub>
              <m:r>
                <w:rPr>
                  <w:rFonts w:ascii="Cambria Math" w:hAnsi="Cambria Math"/>
                </w:rPr>
                <m:t>G-1</m:t>
              </m:r>
            </m:sub>
            <m:sup>
              <m:r>
                <w:rPr>
                  <w:rFonts w:ascii="Cambria Math" w:hAnsi="Cambria Math"/>
                </w:rPr>
                <m:t>2</m:t>
              </m:r>
            </m:sup>
          </m:sSubSup>
        </m:oMath>
      </m:oMathPara>
    </w:p>
    <w:p w14:paraId="04126ACC" w14:textId="2A14F7E5" w:rsidR="00BD7461" w:rsidRDefault="00F424E4" w:rsidP="00F424E4">
      <w:pPr>
        <w:spacing w:after="120" w:line="360" w:lineRule="auto"/>
        <w:ind w:firstLine="360"/>
      </w:pPr>
      <w:proofErr w:type="spellStart"/>
      <w:r w:rsidRPr="00F424E4">
        <w:rPr>
          <w:i/>
          <w:iCs/>
        </w:rPr>
        <w:lastRenderedPageBreak/>
        <w:t>Q</w:t>
      </w:r>
      <w:r w:rsidRPr="00F424E4">
        <w:rPr>
          <w:vertAlign w:val="subscript"/>
        </w:rPr>
        <w:t>total</w:t>
      </w:r>
      <w:proofErr w:type="spellEnd"/>
      <w:r w:rsidRPr="00F424E4">
        <w:t xml:space="preserve">​ is the total heterogeneity across all studies, computed as the weighted squared deviation of each study effect from the overall pooled effect. </w:t>
      </w:r>
      <w:proofErr w:type="spellStart"/>
      <w:r w:rsidRPr="00F424E4">
        <w:rPr>
          <w:i/>
          <w:iCs/>
        </w:rPr>
        <w:t>Q</w:t>
      </w:r>
      <w:r w:rsidRPr="00F424E4">
        <w:rPr>
          <w:vertAlign w:val="subscript"/>
        </w:rPr>
        <w:t>within</w:t>
      </w:r>
      <w:proofErr w:type="spellEnd"/>
      <w:r w:rsidRPr="00F424E4">
        <w:t xml:space="preserve"> is the heterogeneity that remains inside the subgroups, computed as the weighted squared deviation of each study effect from its own subgroup mean.</w:t>
      </w:r>
      <w:bookmarkStart w:id="30" w:name="OLE_LINK92"/>
      <w:r w:rsidRPr="00F424E4">
        <w:t xml:space="preserve"> </w:t>
      </w:r>
      <w:proofErr w:type="spellStart"/>
      <w:r w:rsidRPr="00F424E4">
        <w:rPr>
          <w:i/>
          <w:iCs/>
        </w:rPr>
        <w:t>Q</w:t>
      </w:r>
      <w:r w:rsidRPr="00F424E4">
        <w:rPr>
          <w:vertAlign w:val="subscript"/>
        </w:rPr>
        <w:t>between</w:t>
      </w:r>
      <w:bookmarkEnd w:id="30"/>
      <w:proofErr w:type="spellEnd"/>
      <w:r w:rsidRPr="00F424E4">
        <w:t xml:space="preserve"> ​ is the remaining part of the total heterogeneity that is accounted for by differences between the subgroup means. A large </w:t>
      </w:r>
      <w:proofErr w:type="spellStart"/>
      <w:r w:rsidRPr="00F424E4">
        <w:rPr>
          <w:i/>
          <w:iCs/>
        </w:rPr>
        <w:t>Q</w:t>
      </w:r>
      <w:r w:rsidRPr="00F424E4">
        <w:rPr>
          <w:vertAlign w:val="subscript"/>
        </w:rPr>
        <w:t>between</w:t>
      </w:r>
      <w:proofErr w:type="spellEnd"/>
      <w:r w:rsidRPr="00F424E4">
        <w:t xml:space="preserve"> relative to its degrees of freedom indicates that the subgroups differ by more than random fluctuation. The same quantity can be written directly as a weighted sum of squared deviations of the subgroup means from the overall mean.</w:t>
      </w:r>
      <w:r>
        <w:tab/>
      </w:r>
    </w:p>
    <w:p w14:paraId="453EE24D" w14:textId="10B46B47" w:rsidR="00F424E4" w:rsidRPr="004D3A91" w:rsidRDefault="00000000" w:rsidP="00F424E4">
      <w:pPr>
        <w:spacing w:after="120" w:line="360" w:lineRule="auto"/>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G</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r>
                <w:rPr>
                  <w:rFonts w:ascii="Cambria Math" w:hAnsi="Cambria Math"/>
                </w:rPr>
                <m:t>-</m:t>
              </m:r>
              <m:sSup>
                <m:sSupPr>
                  <m:ctrlPr>
                    <w:rPr>
                      <w:rFonts w:ascii="Cambria Math" w:hAnsi="Cambria Math"/>
                      <w:i/>
                    </w:rPr>
                  </m:ctrlPr>
                </m:sSupPr>
                <m:e>
                  <m:acc>
                    <m:accPr>
                      <m:ctrlPr>
                        <w:rPr>
                          <w:rFonts w:ascii="Cambria Math" w:hAnsi="Cambria Math"/>
                        </w:rPr>
                      </m:ctrlPr>
                    </m:accPr>
                    <m:e>
                      <m:r>
                        <m:rPr>
                          <m:sty m:val="p"/>
                        </m:rPr>
                        <w:rPr>
                          <w:rFonts w:ascii="Cambria Math" w:hAnsi="Cambria Math"/>
                        </w:rPr>
                        <m:t>μ</m:t>
                      </m:r>
                    </m:e>
                  </m:acc>
                </m:e>
                <m:sup>
                  <m:r>
                    <w:rPr>
                      <w:rFonts w:ascii="Cambria Math" w:hAnsi="Cambria Math"/>
                    </w:rPr>
                    <m:t>2</m:t>
                  </m:r>
                </m:sup>
              </m:sSup>
              <m:ctrlPr>
                <w:rPr>
                  <w:rFonts w:ascii="Cambria Math" w:hAnsi="Cambria Math"/>
                  <w:i/>
                </w:rPr>
              </m:ctrlPr>
            </m:e>
          </m:nary>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oMath>
      </m:oMathPara>
    </w:p>
    <w:p w14:paraId="39AD2969" w14:textId="7D000290" w:rsidR="004D3A91" w:rsidRPr="00D74777" w:rsidRDefault="0018574F" w:rsidP="0018574F">
      <w:pPr>
        <w:spacing w:after="120"/>
        <w:rPr>
          <w:sz w:val="16"/>
          <w:szCs w:val="16"/>
        </w:rPr>
      </w:pPr>
      <w:r w:rsidRPr="0018574F">
        <w:rPr>
          <w:i/>
          <w:iCs/>
          <w:sz w:val="16"/>
          <w:szCs w:val="16"/>
        </w:rPr>
        <w:t>Note</w:t>
      </w:r>
      <w:r w:rsidRPr="0018574F">
        <w:rPr>
          <w:sz w:val="16"/>
          <w:szCs w:val="16"/>
        </w:rPr>
        <w:t xml:space="preserve">. </w:t>
      </w:r>
      <m:oMath>
        <m:sSub>
          <m:sSubPr>
            <m:ctrlPr>
              <w:rPr>
                <w:rFonts w:ascii="Cambria Math" w:hAnsi="Cambria Math"/>
                <w:i/>
                <w:sz w:val="16"/>
                <w:szCs w:val="16"/>
              </w:rPr>
            </m:ctrlPr>
          </m:sSubPr>
          <m:e>
            <m:r>
              <m:rPr>
                <m:sty m:val="p"/>
              </m:rPr>
              <w:rPr>
                <w:rFonts w:ascii="Cambria Math" w:hAnsi="Cambria Math"/>
                <w:sz w:val="16"/>
                <w:szCs w:val="16"/>
              </w:rPr>
              <m:t>μ</m:t>
            </m:r>
            <m:ctrlPr>
              <w:rPr>
                <w:rFonts w:ascii="Cambria Math" w:hAnsi="Cambria Math"/>
                <w:sz w:val="16"/>
                <w:szCs w:val="16"/>
              </w:rPr>
            </m:ctrlPr>
          </m:e>
          <m:sub>
            <m:r>
              <w:rPr>
                <w:rFonts w:ascii="Cambria Math" w:hAnsi="Cambria Math"/>
                <w:sz w:val="16"/>
                <w:szCs w:val="16"/>
              </w:rPr>
              <m:t>j</m:t>
            </m:r>
          </m:sub>
        </m:sSub>
      </m:oMath>
      <w:r>
        <w:rPr>
          <w:rFonts w:hint="eastAsia"/>
          <w:sz w:val="16"/>
          <w:szCs w:val="16"/>
        </w:rPr>
        <w:t xml:space="preserve"> and </w:t>
      </w:r>
      <m:oMath>
        <m:sSub>
          <m:sSubPr>
            <m:ctrlPr>
              <w:rPr>
                <w:rFonts w:ascii="Cambria Math" w:hAnsi="Cambria Math"/>
                <w:i/>
                <w:sz w:val="16"/>
                <w:szCs w:val="16"/>
              </w:rPr>
            </m:ctrlPr>
          </m:sSubPr>
          <m:e>
            <m:acc>
              <m:accPr>
                <m:ctrlPr>
                  <w:rPr>
                    <w:rFonts w:ascii="Cambria Math" w:hAnsi="Cambria Math"/>
                    <w:sz w:val="16"/>
                    <w:szCs w:val="16"/>
                  </w:rPr>
                </m:ctrlPr>
              </m:accPr>
              <m:e>
                <m:r>
                  <m:rPr>
                    <m:sty m:val="p"/>
                  </m:rPr>
                  <w:rPr>
                    <w:rFonts w:ascii="Cambria Math" w:hAnsi="Cambria Math"/>
                    <w:sz w:val="16"/>
                    <w:szCs w:val="16"/>
                  </w:rPr>
                  <m:t>μ</m:t>
                </m:r>
              </m:e>
            </m:acc>
          </m:e>
          <m:sub>
            <m:r>
              <w:rPr>
                <w:rFonts w:ascii="Cambria Math" w:hAnsi="Cambria Math"/>
                <w:sz w:val="16"/>
                <w:szCs w:val="16"/>
              </w:rPr>
              <m:t>j</m:t>
            </m:r>
          </m:sub>
        </m:sSub>
      </m:oMath>
      <w:r w:rsidRPr="0018574F">
        <w:rPr>
          <w:sz w:val="16"/>
          <w:szCs w:val="16"/>
        </w:rPr>
        <w:t xml:space="preserve"> = true and estimated mean effect of subgroup</w:t>
      </w:r>
      <w:r w:rsidRPr="0018574F">
        <w:rPr>
          <w:i/>
          <w:iCs/>
          <w:sz w:val="16"/>
          <w:szCs w:val="16"/>
        </w:rPr>
        <w:t xml:space="preserve"> </w:t>
      </w:r>
      <w:r w:rsidRPr="0018574F">
        <w:rPr>
          <w:rFonts w:hint="eastAsia"/>
          <w:i/>
          <w:iCs/>
          <w:sz w:val="16"/>
          <w:szCs w:val="16"/>
        </w:rPr>
        <w:t>j</w:t>
      </w:r>
      <w:r w:rsidRPr="0018574F">
        <w:rPr>
          <w:i/>
          <w:iCs/>
          <w:sz w:val="16"/>
          <w:szCs w:val="16"/>
        </w:rPr>
        <w:t>.</w:t>
      </w:r>
      <w:r>
        <w:rPr>
          <w:rFonts w:hint="eastAsia"/>
          <w:sz w:val="16"/>
          <w:szCs w:val="16"/>
        </w:rPr>
        <w:t xml:space="preserve"> </w:t>
      </w:r>
      <m:oMath>
        <m:acc>
          <m:accPr>
            <m:ctrlPr>
              <w:rPr>
                <w:rFonts w:ascii="Cambria Math" w:hAnsi="Cambria Math"/>
                <w:sz w:val="16"/>
                <w:szCs w:val="16"/>
              </w:rPr>
            </m:ctrlPr>
          </m:accPr>
          <m:e>
            <m:r>
              <m:rPr>
                <m:sty m:val="p"/>
              </m:rPr>
              <w:rPr>
                <w:rFonts w:ascii="Cambria Math" w:hAnsi="Cambria Math"/>
                <w:sz w:val="16"/>
                <w:szCs w:val="16"/>
              </w:rPr>
              <m:t>μ</m:t>
            </m:r>
          </m:e>
        </m:acc>
      </m:oMath>
      <w:r w:rsidRPr="0018574F">
        <w:rPr>
          <w:sz w:val="16"/>
          <w:szCs w:val="16"/>
        </w:rPr>
        <w:t xml:space="preserve">​ = overall pooled estimate (denoted </w:t>
      </w:r>
      <m:oMath>
        <m:acc>
          <m:accPr>
            <m:ctrlPr>
              <w:rPr>
                <w:rFonts w:ascii="Cambria Math" w:hAnsi="Cambria Math"/>
                <w:sz w:val="16"/>
                <w:szCs w:val="16"/>
              </w:rPr>
            </m:ctrlPr>
          </m:accPr>
          <m:e>
            <m:r>
              <m:rPr>
                <m:sty m:val="p"/>
              </m:rPr>
              <w:rPr>
                <w:rFonts w:ascii="Cambria Math" w:hAnsi="Cambria Math"/>
                <w:sz w:val="16"/>
                <w:szCs w:val="16"/>
              </w:rPr>
              <m:t>θ</m:t>
            </m:r>
          </m:e>
        </m:acc>
      </m:oMath>
      <w:r w:rsidRPr="0018574F">
        <w:rPr>
          <w:sz w:val="16"/>
          <w:szCs w:val="16"/>
        </w:rPr>
        <w:t xml:space="preserve"> in Section 3.7.2).</w:t>
      </w:r>
      <w:r w:rsidRPr="00D74777">
        <w:rPr>
          <w:i/>
          <w:iCs/>
          <w:sz w:val="16"/>
          <w:szCs w:val="16"/>
        </w:rPr>
        <w:t xml:space="preserve"> G</w:t>
      </w:r>
      <w:r w:rsidRPr="0018574F">
        <w:rPr>
          <w:sz w:val="16"/>
          <w:szCs w:val="16"/>
        </w:rPr>
        <w:t xml:space="preserve"> = number of subgroups.</w:t>
      </w:r>
    </w:p>
    <w:p w14:paraId="1A8348EE" w14:textId="58693E74" w:rsidR="004F1570" w:rsidRDefault="004F1570" w:rsidP="00481B02">
      <w:pPr>
        <w:spacing w:after="120" w:line="360" w:lineRule="auto"/>
        <w:jc w:val="both"/>
      </w:pPr>
    </w:p>
    <w:p w14:paraId="3DAE2C46" w14:textId="3A8EA51D" w:rsidR="0026581C" w:rsidRDefault="0026581C" w:rsidP="003F0C00">
      <w:pPr>
        <w:spacing w:after="120" w:line="360" w:lineRule="auto"/>
        <w:ind w:firstLine="360"/>
        <w:jc w:val="both"/>
      </w:pPr>
      <w:r w:rsidRPr="0026581C">
        <w:t xml:space="preserve">Subgroup analysis is a special case of a more general model (Harrer et al., 2021). A categorical moderator compares group means, whereas a continuous moderator estimates how the effect size changes across its full range. The latter is meta-regression. Subgroup analysis is therefore a meta-regression with a categorical predictor, and meta-regression generalizes it by treating the moderator as continuous rather than binning studies into groups. In a random-effects meta-regression, the true effect of each study is modeled as a linear function of a moderator </w:t>
      </w:r>
      <w:r w:rsidRPr="0026581C">
        <w:rPr>
          <w:i/>
          <w:iCs/>
        </w:rPr>
        <w:t>x</w:t>
      </w:r>
      <w:r w:rsidRPr="0026581C">
        <w:t>ᵢ.</w:t>
      </w:r>
    </w:p>
    <w:bookmarkStart w:id="31" w:name="OLE_LINK93"/>
    <w:p w14:paraId="7E78269D" w14:textId="64BC8321" w:rsidR="0026581C" w:rsidRPr="003F0C00" w:rsidRDefault="00000000" w:rsidP="0026581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w:bookmarkEnd w:id="31"/>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w:bookmarkStart w:id="32" w:name="OLE_LINK95"/>
          <m:sSub>
            <m:sSubPr>
              <m:ctrlPr>
                <w:rPr>
                  <w:rFonts w:ascii="Cambria Math" w:hAnsi="Cambria Math"/>
                  <w:i/>
                </w:rPr>
              </m:ctrlPr>
            </m:sSubPr>
            <m:e>
              <m:r>
                <w:rPr>
                  <w:rFonts w:ascii="Cambria Math" w:hAnsi="Cambria Math"/>
                </w:rPr>
                <m:t>x</m:t>
              </m:r>
            </m:e>
            <m:sub>
              <m:r>
                <w:rPr>
                  <w:rFonts w:ascii="Cambria Math" w:hAnsi="Cambria Math"/>
                </w:rPr>
                <m:t>i</m:t>
              </m:r>
            </m:sub>
          </m:sSub>
          <w:bookmarkEnd w:id="32"/>
          <m:r>
            <w:rPr>
              <w:rFonts w:ascii="Cambria Math" w:hAnsi="Cambria Math"/>
            </w:rPr>
            <m:t>+</m:t>
          </m:r>
          <w:bookmarkStart w:id="33" w:name="OLE_LINK97"/>
          <m:sSub>
            <m:sSubPr>
              <m:ctrlPr>
                <w:rPr>
                  <w:rFonts w:ascii="Cambria Math" w:hAnsi="Cambria Math"/>
                  <w:i/>
                </w:rPr>
              </m:ctrlPr>
            </m:sSubPr>
            <m:e>
              <m:r>
                <w:rPr>
                  <w:rFonts w:ascii="Cambria Math" w:hAnsi="Cambria Math"/>
                </w:rPr>
                <m:t>u</m:t>
              </m:r>
            </m:e>
            <m:sub>
              <m:r>
                <w:rPr>
                  <w:rFonts w:ascii="Cambria Math" w:hAnsi="Cambria Math"/>
                </w:rPr>
                <m:t>i</m:t>
              </m:r>
            </m:sub>
          </m:sSub>
          <w:bookmarkEnd w:id="33"/>
          <m:r>
            <w:rPr>
              <w:rFonts w:ascii="Cambria Math" w:hAnsi="Cambria Math"/>
            </w:rPr>
            <m:t>+</m:t>
          </m:r>
          <w:bookmarkStart w:id="34" w:name="OLE_LINK94"/>
          <m:sSub>
            <m:sSubPr>
              <m:ctrlPr>
                <w:rPr>
                  <w:rFonts w:ascii="Cambria Math" w:hAnsi="Cambria Math"/>
                  <w:i/>
                </w:rPr>
              </m:ctrlPr>
            </m:sSubPr>
            <m:e>
              <m:r>
                <w:rPr>
                  <w:rFonts w:ascii="Cambria Math" w:hAnsi="Cambria Math"/>
                </w:rPr>
                <m:t>e</m:t>
              </m:r>
            </m:e>
            <m:sub>
              <m:r>
                <w:rPr>
                  <w:rFonts w:ascii="Cambria Math" w:hAnsi="Cambria Math"/>
                </w:rPr>
                <m:t>i</m:t>
              </m:r>
            </m:sub>
          </m:sSub>
          <w:bookmarkEnd w:id="34"/>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bSup>
                <m:sSubSupPr>
                  <m:ctrlPr>
                    <w:rPr>
                      <w:rFonts w:ascii="Cambria Math" w:hAnsi="Cambria Math"/>
                      <w:i/>
                    </w:rPr>
                  </m:ctrlPr>
                </m:sSubSupPr>
                <m:e>
                  <m:r>
                    <m:rPr>
                      <m:sty m:val="p"/>
                    </m:rPr>
                    <w:rPr>
                      <w:rFonts w:ascii="Cambria Math" w:hAnsi="Cambria Math"/>
                    </w:rPr>
                    <m:t>τ</m:t>
                  </m:r>
                </m:e>
                <m:sub>
                  <m:r>
                    <w:rPr>
                      <w:rFonts w:ascii="Cambria Math" w:hAnsi="Cambria Math"/>
                    </w:rPr>
                    <m:t>resid</m:t>
                  </m:r>
                </m:sub>
                <m:sup>
                  <m:r>
                    <w:rPr>
                      <w:rFonts w:ascii="Cambria Math" w:hAnsi="Cambria Math"/>
                    </w:rPr>
                    <m:t>2</m:t>
                  </m:r>
                </m:sup>
              </m:sSubSup>
            </m:e>
          </m:d>
        </m:oMath>
      </m:oMathPara>
    </w:p>
    <w:p w14:paraId="5A911F9D" w14:textId="3230DCA2" w:rsidR="003F0C00" w:rsidRDefault="0026581C" w:rsidP="0026581C">
      <w:pPr>
        <w:spacing w:after="120" w:line="360" w:lineRule="auto"/>
        <w:ind w:firstLine="360"/>
        <w:jc w:val="both"/>
      </w:pPr>
      <w:r w:rsidRPr="0026581C">
        <w:t>Here</w:t>
      </w:r>
      <w:r>
        <w:rPr>
          <w:rFonts w:hint="eastAsia"/>
        </w:rPr>
        <w:t>,</w:t>
      </w:r>
      <w:r w:rsidRPr="0026581C">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oMath>
      <w:r w:rsidRPr="0026581C">
        <w:t xml:space="preserve"> ​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6581C">
        <w:t xml:space="preserve"> are the observed effect and sampling error of study</w:t>
      </w:r>
      <w:bookmarkStart w:id="35" w:name="OLE_LINK96"/>
      <w:r w:rsidRPr="0026581C">
        <w:t xml:space="preserve"> </w:t>
      </w:r>
      <w:proofErr w:type="spellStart"/>
      <w:r w:rsidR="000A329D" w:rsidRPr="000A329D">
        <w:rPr>
          <w:rFonts w:hint="eastAsia"/>
          <w:i/>
          <w:iCs/>
        </w:rPr>
        <w:t>i</w:t>
      </w:r>
      <w:proofErr w:type="spellEnd"/>
      <w:r w:rsidRPr="0026581C">
        <w:t>,</w:t>
      </w:r>
      <w:bookmarkEnd w:id="35"/>
      <w:r w:rsidRPr="0026581C">
        <w:t xml:space="preserve"> as defined in Section 3.7.2. The moderator value for </w:t>
      </w:r>
      <w:r>
        <w:rPr>
          <w:rFonts w:hint="eastAsia"/>
        </w:rPr>
        <w:t>stud</w:t>
      </w:r>
      <w:r w:rsidRPr="0026581C">
        <w:t xml:space="preserve">y </w:t>
      </w:r>
      <w:proofErr w:type="spellStart"/>
      <w:r w:rsidRPr="0026581C">
        <w:rPr>
          <w:i/>
          <w:iCs/>
        </w:rPr>
        <w:t>i</w:t>
      </w:r>
      <w:proofErr w:type="spellEnd"/>
      <w:r w:rsidRPr="0026581C">
        <w:t xml:space="preserve"> is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6581C">
        <w:t xml:space="preserve">. β₀ is the intercept and β₁ is the slope. The slope is the change in effect size for a one-unit increase in the moderator. The term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6581C">
        <w:t xml:space="preserve"> is the residual between-study heterogeneity that the moderator does not explain, and its variance is the residual τ². The proportion of the original between-study heterogeneity explained by the moderator is reported as </w:t>
      </w:r>
      <w:r w:rsidRPr="00F36968">
        <w:rPr>
          <w:i/>
          <w:iCs/>
        </w:rPr>
        <w:t>R</w:t>
      </w:r>
      <w:r w:rsidRPr="0026581C">
        <w:t xml:space="preserve">². The slope was tested with the Hartung-Knapp adjustment, so inference on β₁ used a </w:t>
      </w:r>
      <w:r w:rsidRPr="00F36968">
        <w:rPr>
          <w:i/>
          <w:iCs/>
        </w:rPr>
        <w:t>t</w:t>
      </w:r>
      <w:r w:rsidRPr="0026581C">
        <w:t xml:space="preserve"> distribution.</w:t>
      </w:r>
    </w:p>
    <w:p w14:paraId="74342BE3" w14:textId="196BE085" w:rsidR="00396FAE" w:rsidRDefault="00396FAE" w:rsidP="00396FAE">
      <w:pPr>
        <w:spacing w:after="120" w:line="360" w:lineRule="auto"/>
        <w:ind w:firstLine="360"/>
        <w:jc w:val="both"/>
      </w:pPr>
      <w:r w:rsidRPr="00396FAE">
        <w:t xml:space="preserve">Planned subgroup analyses were conducted for </w:t>
      </w:r>
      <w:r w:rsidR="000D52E9">
        <w:rPr>
          <w:rFonts w:hint="eastAsia"/>
        </w:rPr>
        <w:t xml:space="preserve">age group (Bjornstad et al., 2024), therapeutic </w:t>
      </w:r>
      <w:r w:rsidR="000D52E9">
        <w:t>component</w:t>
      </w:r>
      <w:r w:rsidR="000D52E9">
        <w:rPr>
          <w:rFonts w:hint="eastAsia"/>
        </w:rPr>
        <w:t xml:space="preserve">s (See Section 2.4.2, Table 1), </w:t>
      </w:r>
      <w:r w:rsidRPr="00396FAE">
        <w:t>control type</w:t>
      </w:r>
      <w:r w:rsidR="00516FE0">
        <w:rPr>
          <w:rFonts w:hint="eastAsia"/>
        </w:rPr>
        <w:t xml:space="preserve">, </w:t>
      </w:r>
      <w:r w:rsidRPr="00396FAE">
        <w:t>baseline depression severity</w:t>
      </w:r>
      <w:r w:rsidR="00516FE0">
        <w:rPr>
          <w:rFonts w:hint="eastAsia"/>
        </w:rPr>
        <w:t xml:space="preserve">, </w:t>
      </w:r>
      <w:r w:rsidR="00516FE0">
        <w:t>delivery</w:t>
      </w:r>
      <w:r w:rsidR="00516FE0">
        <w:rPr>
          <w:rFonts w:hint="eastAsia"/>
        </w:rPr>
        <w:t xml:space="preserve"> formats (See 2.4.1) </w:t>
      </w:r>
      <w:proofErr w:type="gramStart"/>
      <w:r w:rsidR="00516FE0">
        <w:rPr>
          <w:rFonts w:hint="eastAsia"/>
        </w:rPr>
        <w:t>and  non</w:t>
      </w:r>
      <w:proofErr w:type="gramEnd"/>
      <w:r w:rsidR="00516FE0">
        <w:rPr>
          <w:rFonts w:hint="eastAsia"/>
        </w:rPr>
        <w:t>-therapeutic support level (See Section 2.4.3, Table 2)</w:t>
      </w:r>
      <w:r w:rsidRPr="00396FAE">
        <w:t>.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w:t>
      </w:r>
    </w:p>
    <w:p w14:paraId="68D553C5" w14:textId="77777777" w:rsidR="00E612BC" w:rsidRPr="00E612BC" w:rsidRDefault="00E612BC" w:rsidP="00E612BC">
      <w:pPr>
        <w:spacing w:after="120" w:line="360" w:lineRule="auto"/>
        <w:ind w:firstLine="360"/>
        <w:jc w:val="both"/>
      </w:pPr>
      <w:r w:rsidRPr="00E612BC">
        <w:t>Subgroup analyses and the meta-regression were restricted to the post-intervention timepoint (</w:t>
      </w:r>
      <w:r w:rsidRPr="00E612BC">
        <w:rPr>
          <w:i/>
          <w:iCs/>
        </w:rPr>
        <w:t>k</w:t>
      </w:r>
      <w:r w:rsidRPr="00E612BC">
        <w:t xml:space="preserve"> = 14), because the follow-up windows contained too few studies for stable between-subgroup estimates. Each </w:t>
      </w:r>
      <w:r w:rsidRPr="00E612BC">
        <w:lastRenderedPageBreak/>
        <w:t xml:space="preserve">analysis used the same random-effects specification as the main analysis, with the REML estimator and the Hartung-Knapp adjustment. A common between-study variance (τ²) was assumed across subgroups, and between-subgroup differences were tested with the </w:t>
      </w:r>
      <w:r w:rsidRPr="00E612BC">
        <w:rPr>
          <w:i/>
          <w:iCs/>
        </w:rPr>
        <w:t>Q</w:t>
      </w:r>
      <w:r w:rsidRPr="00E612BC">
        <w:t xml:space="preserve"> statistic for subgroup differences. Confidence intervals for </w:t>
      </w:r>
      <w:r w:rsidRPr="00E612BC">
        <w:rPr>
          <w:i/>
          <w:iCs/>
        </w:rPr>
        <w:t>I</w:t>
      </w:r>
      <w:r w:rsidRPr="00E612BC">
        <w:t>² used the Q-profile method (</w:t>
      </w:r>
      <w:proofErr w:type="spellStart"/>
      <w:r w:rsidRPr="00E612BC">
        <w:t>Viechtbauer</w:t>
      </w:r>
      <w:proofErr w:type="spellEnd"/>
      <w:r w:rsidRPr="00E612BC">
        <w:t>, 2007), and estimates based on five or fewer studies were interpreted with caution (Borenstein et al., 2011). Bohr et al. (2023) was excluded, consistent with the main analysis.</w:t>
      </w:r>
    </w:p>
    <w:p w14:paraId="5AFB98D6" w14:textId="77777777" w:rsidR="00E612BC" w:rsidRPr="00E612BC" w:rsidRDefault="00E612BC" w:rsidP="00E612BC">
      <w:pPr>
        <w:spacing w:after="120" w:line="360" w:lineRule="auto"/>
        <w:ind w:firstLine="360"/>
        <w:jc w:val="both"/>
      </w:pPr>
      <w:r w:rsidRPr="00E612BC">
        <w:t>Two subgroup analyses were confirmatory. These were control type and baseline depression severity. Severity was collapsed into two strata, Low and High, because finer categories were too sparse for comparison. The remaining contrasts were exploratory. They examined the presence or absence of non-therapeutic human contact and of five individual CBT components, namely relaxation, problem-solving, homework requirement, relapse prevention, and interpersonal skills training. Coding for all moderators is given in Table 5. Cognitive restructuring was not contrasted because it was an inclusion criterion, and behavioral activation was not contrasted because too few programs lacked it.</w:t>
      </w:r>
    </w:p>
    <w:p w14:paraId="012335A5" w14:textId="77777777" w:rsidR="00E612BC" w:rsidRPr="00E612BC" w:rsidRDefault="00E612BC" w:rsidP="00E612BC">
      <w:pPr>
        <w:spacing w:after="120" w:line="360" w:lineRule="auto"/>
        <w:ind w:firstLine="360"/>
        <w:jc w:val="both"/>
      </w:pPr>
      <w:r w:rsidRPr="00E612BC">
        <w:t xml:space="preserve">Component contrasts were treated as exploratory for a structural reason. Components co-occurred within multi-component packages and clustered within a small number of program families. A single-component contrast therefore cannot be read as the independent effect of that </w:t>
      </w:r>
      <w:proofErr w:type="gramStart"/>
      <w:r w:rsidRPr="00E612BC">
        <w:t>component, and</w:t>
      </w:r>
      <w:proofErr w:type="gramEnd"/>
      <w:r w:rsidRPr="00E612BC">
        <w:t xml:space="preserve"> may partly reflect differences between programs. An exploratory meta-regression of the total component count, mean-centered and fitted with the same random-effects model, summarized the cumulative association suggested by these contrasts.</w:t>
      </w:r>
    </w:p>
    <w:p w14:paraId="5CF54B2B" w14:textId="252E33D2" w:rsidR="00E612BC" w:rsidRPr="00E612BC" w:rsidRDefault="00E612BC" w:rsidP="00244084">
      <w:pPr>
        <w:spacing w:after="120" w:line="360" w:lineRule="auto"/>
        <w:ind w:firstLine="360"/>
        <w:jc w:val="both"/>
      </w:pPr>
      <w:r w:rsidRPr="00E612BC">
        <w:t xml:space="preserve">Several moderators identified in the proposal could not be analyzed as planned and were summarized descriptively in Section 4.2. Age group, delivery modality, and the full support taxonomy lacked sufficient spread for formal comparison. The support dimension was reduced to the single human-contact contrast above, which was the only support feature with enough studies on both sides. A planned meta-regression of estimated weekly dose was not feasible, because dose was </w:t>
      </w:r>
      <w:proofErr w:type="gramStart"/>
      <w:r w:rsidRPr="00E612BC">
        <w:t>codable</w:t>
      </w:r>
      <w:r w:rsidR="00BE4EDC">
        <w:rPr>
          <w:rFonts w:hint="eastAsia"/>
        </w:rPr>
        <w:t xml:space="preserve"> </w:t>
      </w:r>
      <w:r w:rsidRPr="00E612BC">
        <w:t xml:space="preserve"> for</w:t>
      </w:r>
      <w:proofErr w:type="gramEnd"/>
      <w:r w:rsidRPr="00E612BC">
        <w:t xml:space="preserve"> only 4 of the 14 trials, below the level recommended for meta-regression with a single continuous predictor (Harrer et al., 2021).</w:t>
      </w:r>
    </w:p>
    <w:p w14:paraId="3B8D81B2" w14:textId="77777777" w:rsidR="005F5C4C" w:rsidRDefault="005F5C4C" w:rsidP="005F5C4C">
      <w:pPr>
        <w:spacing w:after="120" w:line="360" w:lineRule="auto"/>
        <w:ind w:firstLine="360"/>
        <w:jc w:val="both"/>
      </w:pPr>
    </w:p>
    <w:p w14:paraId="4BAFBD99" w14:textId="397ECC56" w:rsidR="005F5C4C" w:rsidRPr="005F5C4C" w:rsidRDefault="005F5C4C" w:rsidP="005F5C4C">
      <w:pPr>
        <w:spacing w:after="120" w:line="360" w:lineRule="auto"/>
        <w:jc w:val="both"/>
        <w:rPr>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bookmarkStart w:id="36" w:name="OLE_LINK84"/>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w:t>
            </w:r>
            <w:proofErr w:type="gramStart"/>
            <w:r>
              <w:rPr>
                <w:rFonts w:eastAsia="Times New Roman"/>
                <w:sz w:val="21"/>
              </w:rPr>
              <w:t>only</w:t>
            </w:r>
            <w:r w:rsidR="00330FF4">
              <w:rPr>
                <w:rFonts w:hint="eastAsia"/>
                <w:sz w:val="21"/>
              </w:rPr>
              <w:t>;</w:t>
            </w:r>
            <w:proofErr w:type="gramEnd"/>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xml:space="preserve">, since it contained in </w:t>
            </w:r>
            <w:proofErr w:type="gramStart"/>
            <w:r w:rsidR="0069414E">
              <w:rPr>
                <w:rFonts w:hint="eastAsia"/>
                <w:sz w:val="21"/>
              </w:rPr>
              <w:t>all of</w:t>
            </w:r>
            <w:proofErr w:type="gramEnd"/>
            <w:r w:rsidR="0069414E">
              <w:rPr>
                <w:rFonts w:hint="eastAsia"/>
                <w:sz w:val="21"/>
              </w:rPr>
              <w:t xml:space="preserve">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w:t>
            </w:r>
            <w:proofErr w:type="spellStart"/>
            <w:r>
              <w:rPr>
                <w:rFonts w:eastAsia="Times New Roman"/>
                <w:sz w:val="21"/>
              </w:rPr>
              <w:t>centred</w:t>
            </w:r>
            <w:proofErr w:type="spellEnd"/>
            <w:r>
              <w:rPr>
                <w:rFonts w:eastAsia="Times New Roman"/>
                <w:sz w:val="21"/>
              </w:rPr>
              <w:t xml:space="preserve"> before analysis.</w:t>
            </w:r>
          </w:p>
        </w:tc>
      </w:tr>
      <w:bookmarkEnd w:id="36"/>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Default="005F5C4C" w:rsidP="005F5C4C">
      <w:pPr>
        <w:spacing w:after="120" w:line="360" w:lineRule="auto"/>
        <w:jc w:val="both"/>
      </w:pPr>
    </w:p>
    <w:p w14:paraId="029A2DF5" w14:textId="3E48F5D0" w:rsidR="004261E0" w:rsidRDefault="004261E0" w:rsidP="005F5C4C">
      <w:pPr>
        <w:spacing w:after="120" w:line="360" w:lineRule="auto"/>
        <w:jc w:val="both"/>
      </w:pPr>
      <w:r w:rsidRPr="004261E0">
        <w:rPr>
          <w:rFonts w:hint="eastAsia"/>
          <w:b/>
          <w:bCs/>
        </w:rPr>
        <w:t>Sensitivity</w:t>
      </w:r>
      <w:r>
        <w:rPr>
          <w:rFonts w:hint="eastAsia"/>
        </w:rPr>
        <w:t xml:space="preserve"> </w:t>
      </w:r>
      <w:r w:rsidRPr="004261E0">
        <w:rPr>
          <w:rFonts w:hint="eastAsia"/>
          <w:b/>
          <w:bCs/>
        </w:rPr>
        <w:t>analyses</w:t>
      </w:r>
    </w:p>
    <w:p w14:paraId="06DBAC7C" w14:textId="77777777" w:rsidR="004261E0" w:rsidRPr="004261E0" w:rsidRDefault="004261E0" w:rsidP="004261E0">
      <w:pPr>
        <w:spacing w:after="120" w:line="360" w:lineRule="auto"/>
        <w:ind w:firstLine="360"/>
        <w:jc w:val="both"/>
      </w:pPr>
      <w:r w:rsidRPr="004261E0">
        <w:t>To examine the robustness of the pooled post-intervention estimate, several influence and sensitivity analyses were carried out using the same random-effects model as the main analysis (REML estimation with Hartung-Knapp adjustment). A study was treated as an outlier if its 95% confidence interval did not overlap with the confidence interval of the pooled effect. The influence of each study was checked with a leave-one-out analysis, in which the model was re-run with one study removed at a time.</w:t>
      </w:r>
    </w:p>
    <w:p w14:paraId="12158E30" w14:textId="2EF2DAC0" w:rsidR="004261E0" w:rsidRPr="004261E0" w:rsidRDefault="004261E0" w:rsidP="000833F3">
      <w:pPr>
        <w:spacing w:after="120" w:line="360" w:lineRule="auto"/>
        <w:ind w:firstLine="360"/>
        <w:jc w:val="both"/>
      </w:pPr>
      <w:r w:rsidRPr="004261E0">
        <w:t>Three planned sensitivity analyses were carried out: (a) excluding studies at high risk of bias, (b) keeping only peer-reviewed journal articles, and (c) keeping only trials in which depression was the primary target. Two further analyses were added to address issues found during data extraction. First, because the studies used both endpoint and change-score effect sizes, the analysis was repeated using endpoint scores only. Second, because one cluster-randomized trial did not report an ICC, it was added back using design-effect corrections under assumed ICC values of 0.01, 0.03, 0.05, and 0.10.</w:t>
      </w:r>
    </w:p>
    <w:p w14:paraId="312AC656" w14:textId="77777777" w:rsidR="000C3784" w:rsidRDefault="00D450DC">
      <w:pPr>
        <w:pStyle w:val="3"/>
      </w:pPr>
      <w:bookmarkStart w:id="37" w:name="OLE_LINK3"/>
      <w:r>
        <w:t>3.7.4. Publication Bias</w:t>
      </w:r>
    </w:p>
    <w:bookmarkEnd w:id="37"/>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 xml:space="preserve">Publication bias was evaluated graphically through inspection of a contour-enhanced funnel plot (Peters </w:t>
      </w:r>
      <w:r w:rsidRPr="00E30B40">
        <w:rPr>
          <w:rFonts w:eastAsia="Times New Roman"/>
        </w:rPr>
        <w:lastRenderedPageBreak/>
        <w:t>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119D7037" w:rsidR="000C3784" w:rsidRDefault="00072985">
      <w:pPr>
        <w:spacing w:after="120" w:line="360" w:lineRule="auto"/>
        <w:ind w:firstLine="360"/>
        <w:jc w:val="both"/>
      </w:pPr>
      <w:r w:rsidRPr="00072985">
        <w:rPr>
          <w:rFonts w:eastAsia="Times New Roman"/>
        </w:rPr>
        <w:t>Acceptability was operationalized as differential dropout between the experimental and control arms and quantified using the risk ratio (RR) of dropout. Dropout was defined as the proportion of participants randomized to a given arm who did not provide data at the primary post-intervention time point. For each study, the following 2 × 2 structure was used:</w:t>
      </w:r>
    </w:p>
    <w:p w14:paraId="74230FB7" w14:textId="65CEA992" w:rsidR="00072985" w:rsidRPr="00072985" w:rsidRDefault="00072985" w:rsidP="00072985">
      <w:pPr>
        <w:spacing w:after="120" w:line="360" w:lineRule="auto"/>
        <w:jc w:val="both"/>
      </w:pPr>
      <w:r w:rsidRPr="00072985">
        <w:rPr>
          <w:b/>
          <w:bCs/>
        </w:rPr>
        <w:t xml:space="preserve">Table </w:t>
      </w:r>
      <w:r>
        <w:rPr>
          <w:rFonts w:hint="eastAsia"/>
          <w:b/>
          <w:bCs/>
        </w:rPr>
        <w:t xml:space="preserve">6. </w:t>
      </w:r>
      <w:r w:rsidRPr="00072985">
        <w:rPr>
          <w:b/>
          <w:bCs/>
        </w:rPr>
        <w:t>Two-by-two structure for calculating the dropout risk ratio</w:t>
      </w:r>
    </w:p>
    <w:tbl>
      <w:tblPr>
        <w:tblW w:w="9273" w:type="dxa"/>
        <w:jc w:val="center"/>
        <w:tblLayout w:type="fixed"/>
        <w:tblLook w:val="04A0" w:firstRow="1" w:lastRow="0" w:firstColumn="1" w:lastColumn="0" w:noHBand="0" w:noVBand="1"/>
      </w:tblPr>
      <w:tblGrid>
        <w:gridCol w:w="1985"/>
        <w:gridCol w:w="2126"/>
        <w:gridCol w:w="1952"/>
        <w:gridCol w:w="3210"/>
      </w:tblGrid>
      <w:tr w:rsidR="00B214D1" w14:paraId="0F8A0619" w14:textId="77777777" w:rsidTr="00B214D1">
        <w:trPr>
          <w:trHeight w:val="286"/>
          <w:jc w:val="center"/>
        </w:trPr>
        <w:tc>
          <w:tcPr>
            <w:tcW w:w="1985"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3EEA88B" w14:textId="6B3868F2" w:rsidR="00B214D1" w:rsidRPr="00B214D1" w:rsidRDefault="00B214D1" w:rsidP="00EE6DE8">
            <w:pPr>
              <w:jc w:val="center"/>
            </w:pPr>
            <w:r>
              <w:rPr>
                <w:rFonts w:hint="eastAsia"/>
                <w:b/>
                <w:sz w:val="21"/>
              </w:rPr>
              <w:t>Group</w:t>
            </w:r>
          </w:p>
        </w:tc>
        <w:tc>
          <w:tcPr>
            <w:tcW w:w="2126"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C499DC" w14:textId="1011BA37" w:rsidR="00B214D1" w:rsidRPr="00B214D1" w:rsidRDefault="00B214D1" w:rsidP="00B214D1">
            <w:pPr>
              <w:jc w:val="center"/>
            </w:pPr>
            <w:r>
              <w:rPr>
                <w:rFonts w:hint="eastAsia"/>
                <w:b/>
                <w:sz w:val="21"/>
              </w:rPr>
              <w:t>Dropout</w:t>
            </w:r>
          </w:p>
        </w:tc>
        <w:tc>
          <w:tcPr>
            <w:tcW w:w="1952" w:type="dxa"/>
            <w:tcBorders>
              <w:top w:val="single" w:sz="8" w:space="0" w:color="000000"/>
              <w:left w:val="nil"/>
              <w:bottom w:val="single" w:sz="4" w:space="0" w:color="000000"/>
              <w:right w:val="nil"/>
            </w:tcBorders>
          </w:tcPr>
          <w:p w14:paraId="3B6DA743" w14:textId="0F5BBDBB" w:rsidR="00B214D1" w:rsidRPr="00B214D1" w:rsidRDefault="00B214D1" w:rsidP="00B214D1">
            <w:pPr>
              <w:jc w:val="center"/>
              <w:rPr>
                <w:b/>
                <w:sz w:val="21"/>
              </w:rPr>
            </w:pPr>
            <w:r>
              <w:rPr>
                <w:b/>
                <w:sz w:val="21"/>
              </w:rPr>
              <w:t>Completed</w:t>
            </w:r>
          </w:p>
        </w:tc>
        <w:tc>
          <w:tcPr>
            <w:tcW w:w="3210"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124F8410" w14:textId="5F7663F9" w:rsidR="00B214D1" w:rsidRPr="00B214D1" w:rsidRDefault="00B214D1" w:rsidP="00B214D1">
            <w:pPr>
              <w:jc w:val="center"/>
            </w:pPr>
            <w:r>
              <w:rPr>
                <w:rFonts w:hint="eastAsia"/>
                <w:b/>
                <w:sz w:val="21"/>
              </w:rPr>
              <w:t>Total</w:t>
            </w:r>
          </w:p>
        </w:tc>
      </w:tr>
      <w:tr w:rsidR="00B214D1" w14:paraId="4DDF837E" w14:textId="77777777" w:rsidTr="00B214D1">
        <w:trPr>
          <w:trHeight w:val="286"/>
          <w:jc w:val="center"/>
        </w:trPr>
        <w:tc>
          <w:tcPr>
            <w:tcW w:w="1985" w:type="dxa"/>
            <w:tcBorders>
              <w:top w:val="nil"/>
              <w:left w:val="nil"/>
              <w:bottom w:val="nil"/>
              <w:right w:val="nil"/>
            </w:tcBorders>
            <w:tcMar>
              <w:top w:w="80" w:type="dxa"/>
              <w:left w:w="80" w:type="dxa"/>
              <w:bottom w:w="80" w:type="dxa"/>
              <w:right w:w="80" w:type="dxa"/>
            </w:tcMar>
            <w:vAlign w:val="center"/>
          </w:tcPr>
          <w:p w14:paraId="3D18ADF8" w14:textId="260DAAD7" w:rsidR="00B214D1" w:rsidRDefault="00072985" w:rsidP="00EE6DE8">
            <w:r>
              <w:rPr>
                <w:rFonts w:hint="eastAsia"/>
              </w:rPr>
              <w:t>Experimental</w:t>
            </w:r>
          </w:p>
        </w:tc>
        <w:tc>
          <w:tcPr>
            <w:tcW w:w="2126" w:type="dxa"/>
            <w:tcBorders>
              <w:top w:val="nil"/>
              <w:left w:val="nil"/>
              <w:bottom w:val="nil"/>
              <w:right w:val="nil"/>
            </w:tcBorders>
            <w:tcMar>
              <w:top w:w="80" w:type="dxa"/>
              <w:left w:w="80" w:type="dxa"/>
              <w:bottom w:w="80" w:type="dxa"/>
              <w:right w:w="80" w:type="dxa"/>
            </w:tcMar>
          </w:tcPr>
          <w:p w14:paraId="76D6E878" w14:textId="662DDEB7" w:rsidR="00B214D1" w:rsidRPr="00B214D1" w:rsidRDefault="00B214D1" w:rsidP="00B214D1">
            <w:pPr>
              <w:jc w:val="center"/>
              <w:rPr>
                <w:i/>
                <w:iCs/>
              </w:rPr>
            </w:pPr>
            <w:r w:rsidRPr="00B214D1">
              <w:rPr>
                <w:rFonts w:hint="eastAsia"/>
                <w:i/>
                <w:iCs/>
              </w:rPr>
              <w:t>a</w:t>
            </w:r>
          </w:p>
        </w:tc>
        <w:tc>
          <w:tcPr>
            <w:tcW w:w="1952" w:type="dxa"/>
            <w:tcBorders>
              <w:top w:val="nil"/>
              <w:left w:val="nil"/>
              <w:bottom w:val="nil"/>
              <w:right w:val="nil"/>
            </w:tcBorders>
          </w:tcPr>
          <w:p w14:paraId="0E2CAE8F" w14:textId="69E171D9" w:rsidR="00B214D1" w:rsidRPr="00B214D1" w:rsidRDefault="00B214D1" w:rsidP="00B214D1">
            <w:pPr>
              <w:jc w:val="center"/>
              <w:rPr>
                <w:i/>
                <w:iCs/>
              </w:rPr>
            </w:pPr>
            <w:r w:rsidRPr="00B214D1">
              <w:rPr>
                <w:rFonts w:hint="eastAsia"/>
                <w:i/>
                <w:iCs/>
              </w:rPr>
              <w:t>b</w:t>
            </w:r>
          </w:p>
        </w:tc>
        <w:tc>
          <w:tcPr>
            <w:tcW w:w="3210" w:type="dxa"/>
            <w:tcBorders>
              <w:top w:val="nil"/>
              <w:left w:val="nil"/>
              <w:bottom w:val="nil"/>
              <w:right w:val="nil"/>
            </w:tcBorders>
            <w:tcMar>
              <w:top w:w="80" w:type="dxa"/>
              <w:left w:w="80" w:type="dxa"/>
              <w:bottom w:w="80" w:type="dxa"/>
              <w:right w:w="80" w:type="dxa"/>
            </w:tcMar>
          </w:tcPr>
          <w:p w14:paraId="1D512AB1" w14:textId="2E5C4072" w:rsidR="00B214D1" w:rsidRPr="00B214D1" w:rsidRDefault="00B214D1" w:rsidP="00B214D1">
            <w:pPr>
              <w:jc w:val="center"/>
              <w:rPr>
                <w:i/>
                <w:iCs/>
              </w:rPr>
            </w:pPr>
            <w:r>
              <w:rPr>
                <w:rFonts w:hint="eastAsia"/>
                <w:i/>
                <w:iCs/>
              </w:rPr>
              <w:t>n</w:t>
            </w:r>
            <w:r w:rsidRPr="00B214D1">
              <w:rPr>
                <w:rFonts w:hint="eastAsia"/>
                <w:vertAlign w:val="subscript"/>
              </w:rPr>
              <w:t>1</w:t>
            </w:r>
            <w:r>
              <w:rPr>
                <w:rFonts w:hint="eastAsia"/>
                <w:i/>
                <w:iCs/>
              </w:rPr>
              <w:t xml:space="preserve"> = </w:t>
            </w:r>
            <w:proofErr w:type="spellStart"/>
            <w:r>
              <w:rPr>
                <w:rFonts w:hint="eastAsia"/>
                <w:i/>
                <w:iCs/>
              </w:rPr>
              <w:t>a+b</w:t>
            </w:r>
            <w:proofErr w:type="spellEnd"/>
          </w:p>
        </w:tc>
      </w:tr>
      <w:tr w:rsidR="00B214D1" w14:paraId="2B39BFB1" w14:textId="77777777" w:rsidTr="00B214D1">
        <w:trPr>
          <w:trHeight w:val="286"/>
          <w:jc w:val="center"/>
        </w:trPr>
        <w:tc>
          <w:tcPr>
            <w:tcW w:w="1985" w:type="dxa"/>
            <w:tcBorders>
              <w:left w:val="nil"/>
              <w:bottom w:val="single" w:sz="8" w:space="0" w:color="000000"/>
              <w:right w:val="nil"/>
            </w:tcBorders>
            <w:tcMar>
              <w:top w:w="80" w:type="dxa"/>
              <w:left w:w="80" w:type="dxa"/>
              <w:bottom w:w="80" w:type="dxa"/>
              <w:right w:w="80" w:type="dxa"/>
            </w:tcMar>
          </w:tcPr>
          <w:p w14:paraId="41A412E5" w14:textId="743F4B87" w:rsidR="00B214D1" w:rsidRPr="00B214D1" w:rsidRDefault="00072985" w:rsidP="00EE6DE8">
            <w:r>
              <w:rPr>
                <w:rFonts w:hint="eastAsia"/>
              </w:rPr>
              <w:t>C</w:t>
            </w:r>
            <w:r w:rsidR="00B214D1">
              <w:rPr>
                <w:rFonts w:hint="eastAsia"/>
              </w:rPr>
              <w:t>ontrol</w:t>
            </w:r>
          </w:p>
        </w:tc>
        <w:tc>
          <w:tcPr>
            <w:tcW w:w="2126" w:type="dxa"/>
            <w:tcBorders>
              <w:left w:val="nil"/>
              <w:bottom w:val="single" w:sz="8" w:space="0" w:color="000000"/>
              <w:right w:val="nil"/>
            </w:tcBorders>
            <w:tcMar>
              <w:top w:w="80" w:type="dxa"/>
              <w:left w:w="80" w:type="dxa"/>
              <w:bottom w:w="80" w:type="dxa"/>
              <w:right w:w="80" w:type="dxa"/>
            </w:tcMar>
          </w:tcPr>
          <w:p w14:paraId="4E75BD92" w14:textId="08D98F6A" w:rsidR="00B214D1" w:rsidRPr="00B214D1" w:rsidRDefault="00B214D1" w:rsidP="00B214D1">
            <w:pPr>
              <w:jc w:val="center"/>
              <w:rPr>
                <w:i/>
                <w:iCs/>
              </w:rPr>
            </w:pPr>
            <w:r w:rsidRPr="00B214D1">
              <w:rPr>
                <w:rFonts w:hint="eastAsia"/>
                <w:i/>
                <w:iCs/>
              </w:rPr>
              <w:t>c</w:t>
            </w:r>
          </w:p>
        </w:tc>
        <w:tc>
          <w:tcPr>
            <w:tcW w:w="1952" w:type="dxa"/>
            <w:tcBorders>
              <w:left w:val="nil"/>
              <w:bottom w:val="single" w:sz="8" w:space="0" w:color="000000"/>
              <w:right w:val="nil"/>
            </w:tcBorders>
          </w:tcPr>
          <w:p w14:paraId="789D2F20" w14:textId="1D5F9978" w:rsidR="00B214D1" w:rsidRPr="00B214D1" w:rsidRDefault="00B214D1" w:rsidP="00B214D1">
            <w:pPr>
              <w:jc w:val="center"/>
              <w:rPr>
                <w:i/>
                <w:iCs/>
              </w:rPr>
            </w:pPr>
            <w:r w:rsidRPr="00B214D1">
              <w:rPr>
                <w:rFonts w:hint="eastAsia"/>
                <w:i/>
                <w:iCs/>
              </w:rPr>
              <w:t>d</w:t>
            </w:r>
          </w:p>
        </w:tc>
        <w:tc>
          <w:tcPr>
            <w:tcW w:w="3210" w:type="dxa"/>
            <w:tcBorders>
              <w:left w:val="nil"/>
              <w:bottom w:val="single" w:sz="8" w:space="0" w:color="000000"/>
              <w:right w:val="nil"/>
            </w:tcBorders>
            <w:tcMar>
              <w:top w:w="80" w:type="dxa"/>
              <w:left w:w="80" w:type="dxa"/>
              <w:bottom w:w="80" w:type="dxa"/>
              <w:right w:w="80" w:type="dxa"/>
            </w:tcMar>
          </w:tcPr>
          <w:p w14:paraId="15F676D6" w14:textId="24BD6937" w:rsidR="00B214D1" w:rsidRPr="00B214D1" w:rsidRDefault="00B214D1" w:rsidP="00B214D1">
            <w:pPr>
              <w:jc w:val="center"/>
              <w:rPr>
                <w:i/>
                <w:iCs/>
              </w:rPr>
            </w:pPr>
            <w:r>
              <w:rPr>
                <w:rFonts w:hint="eastAsia"/>
                <w:i/>
                <w:iCs/>
              </w:rPr>
              <w:t>n</w:t>
            </w:r>
            <w:r w:rsidRPr="00B214D1">
              <w:rPr>
                <w:rFonts w:hint="eastAsia"/>
                <w:vertAlign w:val="subscript"/>
              </w:rPr>
              <w:t>0</w:t>
            </w:r>
            <w:r>
              <w:rPr>
                <w:rFonts w:hint="eastAsia"/>
                <w:i/>
                <w:iCs/>
              </w:rPr>
              <w:t xml:space="preserve"> = </w:t>
            </w:r>
            <w:proofErr w:type="spellStart"/>
            <w:r>
              <w:rPr>
                <w:rFonts w:hint="eastAsia"/>
                <w:i/>
                <w:iCs/>
              </w:rPr>
              <w:t>c+d</w:t>
            </w:r>
            <w:proofErr w:type="spellEnd"/>
          </w:p>
        </w:tc>
      </w:tr>
    </w:tbl>
    <w:p w14:paraId="7B303859" w14:textId="77777777" w:rsidR="00B214D1" w:rsidRDefault="00B214D1">
      <w:pPr>
        <w:spacing w:after="120" w:line="360" w:lineRule="auto"/>
        <w:ind w:firstLine="360"/>
        <w:jc w:val="both"/>
      </w:pPr>
    </w:p>
    <w:p w14:paraId="0CE05FF7" w14:textId="07D69053" w:rsidR="00072985" w:rsidRPr="00072985" w:rsidRDefault="00072985" w:rsidP="00072985">
      <w:pPr>
        <w:spacing w:after="120" w:line="360" w:lineRule="auto"/>
        <w:ind w:firstLine="360"/>
        <w:jc w:val="both"/>
      </w:pPr>
      <w:r w:rsidRPr="00072985">
        <w:t xml:space="preserve">The dropout risk in the experimental arm was calculated as </w:t>
      </w:r>
      <m:oMath>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oMath>
      <w:r w:rsidRPr="00072985">
        <w:t xml:space="preserve">, and the dropout risk in the control arm was calculated as </w:t>
      </w:r>
      <m:oMath>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oMath>
      <w:r w:rsidRPr="00072985">
        <w:t>. The risk ratio was therefore defined as:</w:t>
      </w:r>
    </w:p>
    <w:p w14:paraId="0BC84D43" w14:textId="213040A9" w:rsidR="00072985" w:rsidRPr="00072985" w:rsidRDefault="00072985" w:rsidP="00072985">
      <w:pPr>
        <w:spacing w:after="120" w:line="360" w:lineRule="auto"/>
        <w:ind w:firstLine="360"/>
        <w:jc w:val="both"/>
      </w:pPr>
      <m:oMathPara>
        <m:oMath>
          <m:r>
            <w:rPr>
              <w:rFonts w:ascii="Cambria Math" w:hAnsi="Cambria Math"/>
            </w:rPr>
            <m:t>RR=</m:t>
          </m:r>
          <m:f>
            <m:fPr>
              <m:ctrlPr>
                <w:rPr>
                  <w:rFonts w:ascii="Cambria Math" w:hAnsi="Cambria Math"/>
                </w:rPr>
              </m:ctrlPr>
            </m:fPr>
            <m:num>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ctrlPr>
                <w:rPr>
                  <w:rFonts w:ascii="Cambria Math" w:hAnsi="Cambria Math"/>
                  <w:i/>
                </w:rPr>
              </m:ctrlPr>
            </m:num>
            <m:den>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ctrlPr>
                <w:rPr>
                  <w:rFonts w:ascii="Cambria Math" w:hAnsi="Cambria Math"/>
                  <w:i/>
                </w:rPr>
              </m:ctrlPr>
            </m:den>
          </m:f>
        </m:oMath>
      </m:oMathPara>
    </w:p>
    <w:p w14:paraId="3E310B1A" w14:textId="1D03459F" w:rsidR="00072985" w:rsidRDefault="00072985" w:rsidP="00072985">
      <w:pPr>
        <w:spacing w:after="120" w:line="360" w:lineRule="auto"/>
        <w:ind w:firstLine="360"/>
        <w:jc w:val="both"/>
      </w:pPr>
      <w:r w:rsidRPr="00072985">
        <w:t xml:space="preserve">An RR greater than 1 indicates that dropout was higher in the experimental arm than in the control arm, whereas an RR less than 1 indicates lower dropout in the experimental arm. For meta-analysis, RRs were analyzed on the logarithmic scale and then </w:t>
      </w:r>
      <w:proofErr w:type="gramStart"/>
      <w:r w:rsidRPr="00072985">
        <w:t>back-transformed</w:t>
      </w:r>
      <w:proofErr w:type="gramEnd"/>
      <w:r w:rsidRPr="00072985">
        <w:t xml:space="preserve"> for interpretation.</w:t>
      </w:r>
    </w:p>
    <w:p w14:paraId="7AF1383B" w14:textId="30581A11" w:rsidR="007C2244" w:rsidRPr="00A7402E" w:rsidRDefault="00A7402E" w:rsidP="00072985">
      <w:pPr>
        <w:spacing w:after="120" w:line="360" w:lineRule="auto"/>
        <w:ind w:firstLine="360"/>
        <w:jc w:val="both"/>
      </w:pPr>
      <w:r>
        <w:rPr>
          <w:rFonts w:hint="eastAsia"/>
        </w:rPr>
        <w:t xml:space="preserve">What raised concerns </w:t>
      </w:r>
      <w:r w:rsidR="00217C82" w:rsidRPr="00217C82">
        <w:t>in calculating the pooled acceptability estimate</w:t>
      </w:r>
      <w:r>
        <w:rPr>
          <w:rFonts w:hint="eastAsia"/>
        </w:rPr>
        <w:t xml:space="preserve"> is that </w:t>
      </w:r>
      <w:r w:rsidR="0019480C" w:rsidRPr="0019480C">
        <w:t>several studies had a zero count in one cell</w:t>
      </w:r>
      <w:r>
        <w:rPr>
          <w:rFonts w:hint="eastAsia"/>
        </w:rPr>
        <w:t xml:space="preserve">. This could be problematic, because </w:t>
      </w:r>
      <w:r w:rsidR="0019480C" w:rsidRPr="0019480C">
        <w:t>a zero in either arm leaves the ratio undefined</w:t>
      </w:r>
      <w:r>
        <w:rPr>
          <w:rFonts w:hint="eastAsia"/>
        </w:rPr>
        <w:t xml:space="preserve">. </w:t>
      </w:r>
      <w:r w:rsidR="00BD6385" w:rsidRPr="00BD6385">
        <w:t>The current meta-analysis handled this in sequential steps</w:t>
      </w:r>
      <w:r>
        <w:rPr>
          <w:rFonts w:hint="eastAsia"/>
        </w:rPr>
        <w:t>:</w:t>
      </w:r>
    </w:p>
    <w:p w14:paraId="2B075C95" w14:textId="45B8BD70" w:rsidR="00A7402E" w:rsidRPr="00A7402E" w:rsidRDefault="00673E2C" w:rsidP="00766B79">
      <w:pPr>
        <w:spacing w:after="120" w:line="360" w:lineRule="auto"/>
        <w:ind w:firstLine="360"/>
        <w:jc w:val="both"/>
      </w:pPr>
      <w:r w:rsidRPr="00673E2C">
        <w:lastRenderedPageBreak/>
        <w:t xml:space="preserve">First, whether the zero cells reflected a rare-event outcome was considered. Zero dropout was treated as the low end of generally low dropout rather than as a structurally rare event, </w:t>
      </w:r>
      <w:r w:rsidR="00D518A4" w:rsidRPr="00D518A4">
        <w:t>so these studies were retained in the analysis rather than excluded</w:t>
      </w:r>
      <w:r w:rsidR="00A7402E" w:rsidRPr="00673E2C">
        <w:t>.</w:t>
      </w:r>
    </w:p>
    <w:p w14:paraId="796EF63E" w14:textId="5C31A9E7" w:rsidR="00766B79" w:rsidRPr="00766B79" w:rsidRDefault="00673E2C" w:rsidP="00766B79">
      <w:pPr>
        <w:spacing w:after="120" w:line="360" w:lineRule="auto"/>
        <w:ind w:firstLine="360"/>
        <w:jc w:val="both"/>
      </w:pPr>
      <w:r w:rsidRPr="00673E2C">
        <w:rPr>
          <w:rFonts w:hint="eastAsia"/>
        </w:rPr>
        <w:t>Second, p</w:t>
      </w:r>
      <w:r w:rsidR="00254D53" w:rsidRPr="00673E2C">
        <w:t xml:space="preserve">ooling and estimation. </w:t>
      </w:r>
      <w:r w:rsidR="00254D53" w:rsidRPr="00254D53">
        <w:t xml:space="preserve">The primary estimate was a random-effects risk ratio using inverse-variance pooling, with REML for τ² and the Hartung-Knapp adjustment for the confidence interval. </w:t>
      </w:r>
      <w:r w:rsidRPr="00673E2C">
        <w:t>The Mantel-Haenszel common-effect estimate was reported alongside it. The exact Mantel-Haenszel method was used so that studies with a single zero cell were retained without an arbitrary continuity correction.</w:t>
      </w:r>
    </w:p>
    <w:p w14:paraId="30E99A7E" w14:textId="29912DD4" w:rsidR="00766B79" w:rsidRPr="00766B79" w:rsidRDefault="002947F1" w:rsidP="00766B79">
      <w:pPr>
        <w:spacing w:after="120" w:line="360" w:lineRule="auto"/>
        <w:ind w:firstLine="360"/>
        <w:jc w:val="both"/>
      </w:pPr>
      <w:r w:rsidRPr="002947F1">
        <w:rPr>
          <w:rFonts w:hint="eastAsia"/>
        </w:rPr>
        <w:t>Third, s</w:t>
      </w:r>
      <w:r w:rsidR="002F7928" w:rsidRPr="002947F1">
        <w:t>ensitivity analyses for zero handling.</w:t>
      </w:r>
      <w:r w:rsidR="002F7928" w:rsidRPr="002F7928">
        <w:t xml:space="preserve"> Two sensitivity analyses tested whether the pooled result depended on how zero cells were treated. The first excluded the single-zero studies. The second re-estimated the risk ratio with inverse-variance pooling and the Cochrane continuity correction.</w:t>
      </w:r>
    </w:p>
    <w:p w14:paraId="76E98908" w14:textId="025B9322" w:rsidR="00757D08" w:rsidRPr="00766B79" w:rsidRDefault="00D518A4" w:rsidP="00757D08">
      <w:pPr>
        <w:spacing w:after="120" w:line="360" w:lineRule="auto"/>
        <w:ind w:firstLine="360"/>
        <w:jc w:val="both"/>
      </w:pPr>
      <w:r w:rsidRPr="002947F1">
        <w:t>Finally</w:t>
      </w:r>
      <w:r w:rsidR="002947F1" w:rsidRPr="002947F1">
        <w:rPr>
          <w:rFonts w:hint="eastAsia"/>
        </w:rPr>
        <w:t>, h</w:t>
      </w:r>
      <w:r w:rsidR="00757D08" w:rsidRPr="00757D08">
        <w:t xml:space="preserve">eterogeneity and influence. Heterogeneity was quantified with </w:t>
      </w:r>
      <w:r w:rsidR="00757D08" w:rsidRPr="00757D08">
        <w:rPr>
          <w:i/>
          <w:iCs/>
        </w:rPr>
        <w:t>I</w:t>
      </w:r>
      <w:r w:rsidR="00757D08" w:rsidRPr="00757D08">
        <w:t xml:space="preserve">² and τ². A </w:t>
      </w:r>
      <w:bookmarkStart w:id="38" w:name="OLE_LINK90"/>
      <w:proofErr w:type="spellStart"/>
      <w:r w:rsidR="00757D08" w:rsidRPr="00757D08">
        <w:t>Baujat</w:t>
      </w:r>
      <w:bookmarkEnd w:id="38"/>
      <w:proofErr w:type="spellEnd"/>
      <w:r w:rsidR="00757D08" w:rsidRPr="00757D08">
        <w:t xml:space="preserve"> plot</w:t>
      </w:r>
      <w:r w:rsidR="000F7E34">
        <w:rPr>
          <w:rFonts w:hint="eastAsia"/>
        </w:rPr>
        <w:t xml:space="preserve"> (</w:t>
      </w:r>
      <w:proofErr w:type="spellStart"/>
      <w:r w:rsidR="000F7E34">
        <w:rPr>
          <w:rFonts w:hint="eastAsia"/>
        </w:rPr>
        <w:t>Baujat</w:t>
      </w:r>
      <w:proofErr w:type="spellEnd"/>
      <w:r w:rsidR="00B87D49">
        <w:rPr>
          <w:rFonts w:hint="eastAsia"/>
        </w:rPr>
        <w:t xml:space="preserve"> et al., 2002</w:t>
      </w:r>
      <w:r w:rsidR="000F7E34">
        <w:rPr>
          <w:rFonts w:hint="eastAsia"/>
        </w:rPr>
        <w:t>)</w:t>
      </w:r>
      <w:r w:rsidR="00757D08" w:rsidRPr="00757D08">
        <w:t xml:space="preserve"> and the </w:t>
      </w:r>
      <w:bookmarkStart w:id="39" w:name="OLE_LINK88"/>
      <w:proofErr w:type="spellStart"/>
      <w:r w:rsidR="00757D08" w:rsidRPr="00757D08">
        <w:t>Viechtbauer</w:t>
      </w:r>
      <w:proofErr w:type="spellEnd"/>
      <w:r w:rsidR="00757D08" w:rsidRPr="00757D08">
        <w:t>-Cheung</w:t>
      </w:r>
      <w:bookmarkEnd w:id="39"/>
      <w:r w:rsidR="00757D08" w:rsidRPr="00757D08">
        <w:t xml:space="preserve"> influence diagnostics</w:t>
      </w:r>
      <w:r w:rsidR="000F7E34">
        <w:rPr>
          <w:rFonts w:hint="eastAsia"/>
        </w:rPr>
        <w:t xml:space="preserve"> (</w:t>
      </w:r>
      <w:proofErr w:type="spellStart"/>
      <w:r w:rsidR="000F7E34">
        <w:rPr>
          <w:rFonts w:hint="eastAsia"/>
        </w:rPr>
        <w:t>Viechtbauer</w:t>
      </w:r>
      <w:proofErr w:type="spellEnd"/>
      <w:r w:rsidR="000F7E34">
        <w:rPr>
          <w:rFonts w:hint="eastAsia"/>
        </w:rPr>
        <w:t xml:space="preserve"> &amp; Cheung, 2010)</w:t>
      </w:r>
      <w:r w:rsidR="00757D08" w:rsidRPr="00757D08">
        <w:t xml:space="preserve"> were used to identify studies that drove inconsistency in the pooled risk ratio. </w:t>
      </w:r>
      <w:r w:rsidR="002947F1" w:rsidRPr="002947F1">
        <w:t>Interpretation of any study flagged by these diagnostics was reserved for the Results and Discussion</w:t>
      </w:r>
      <w:r w:rsidR="00757D08" w:rsidRPr="00757D08">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40"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41"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41"/>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504B0CCD"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RCTs at the individual level</w:t>
      </w:r>
      <w:r w:rsidR="00124646">
        <w:rPr>
          <w:rFonts w:hint="eastAsia"/>
        </w:rPr>
        <w:t>, and</w:t>
      </w:r>
      <w:r w:rsidR="00DB0C1E" w:rsidRPr="00DB0C1E">
        <w:t xml:space="preserve"> one cluster-randomized pilot trial. The 15 studies in the main analysis were published between 1998 and 2025 and conducted in six countries</w:t>
      </w:r>
      <w:r w:rsidR="00124646">
        <w:rPr>
          <w:rFonts w:hint="eastAsia"/>
        </w:rPr>
        <w:t xml:space="preserve"> and regions</w:t>
      </w:r>
      <w:r w:rsidR="00DB0C1E" w:rsidRPr="00DB0C1E">
        <w:t xml:space="preserve">: the United States (k = 5), the United Kingdom (k = 3), New Zealand (k = 3), Australia (k = 2), the Netherlands (k = 1), and Hong Kong (k = 1). </w:t>
      </w:r>
      <w:r w:rsidR="00152991">
        <w:rPr>
          <w:rFonts w:hint="eastAsia"/>
        </w:rPr>
        <w:t xml:space="preserve">Most of studies published roughly evenly between 2010s to 2020s, with one article was published in 1990s. </w:t>
      </w:r>
      <w:r w:rsidR="00315FC0" w:rsidRPr="00315FC0">
        <w:t xml:space="preserve">Most studies targeted adolescents </w:t>
      </w:r>
      <w:r w:rsidR="00315FC0">
        <w:rPr>
          <w:rFonts w:hint="eastAsia"/>
        </w:rPr>
        <w:t xml:space="preserve">were </w:t>
      </w:r>
      <w:r w:rsidR="00315FC0" w:rsidRPr="00315FC0">
        <w:t>indicated prevention trials (12/15)</w:t>
      </w:r>
      <w:r w:rsidR="001A0DD7">
        <w:rPr>
          <w:rFonts w:hint="eastAsia"/>
        </w:rPr>
        <w:t xml:space="preserve">, and the </w:t>
      </w:r>
      <w:r w:rsidR="00315FC0" w:rsidRPr="00315FC0">
        <w:t xml:space="preserve">remaining three studies </w:t>
      </w:r>
      <w:r w:rsidR="001A0DD7">
        <w:rPr>
          <w:rFonts w:hint="eastAsia"/>
        </w:rPr>
        <w:t>were</w:t>
      </w:r>
      <w:r w:rsidR="00315FC0" w:rsidRPr="00315FC0">
        <w:t xml:space="preserve"> recruited broader/universal samples or embedded in a clinical context.</w:t>
      </w:r>
      <w:r w:rsidR="00CE205F">
        <w:rPr>
          <w:rFonts w:hint="eastAsia"/>
        </w:rPr>
        <w:t xml:space="preserve"> </w:t>
      </w:r>
      <w:r w:rsidR="00DB0C1E" w:rsidRPr="00DB0C1E">
        <w:t xml:space="preserve">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7DBEA673"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42" w:name="OLE_LINK38"/>
      <w:r w:rsidRPr="00DB0C1E">
        <w:t>2,073 participants</w:t>
      </w:r>
      <w:bookmarkEnd w:id="42"/>
      <w:r w:rsidRPr="00DB0C1E">
        <w:t xml:space="preserve"> providing post-treatment data (intervention: n = 1,024; control: n = 1,049). Sample sizes at post-treatment ranged from 22 (Ackerson et al., 1998) to 284 (O'Dea et al., 2025). Most samples were drawn from high-income contexts</w:t>
      </w:r>
      <w:r w:rsidR="00CE205F">
        <w:rPr>
          <w:rFonts w:hint="eastAsia"/>
        </w:rPr>
        <w:t>,</w:t>
      </w:r>
      <w:r w:rsidRPr="00DB0C1E">
        <w:t xml:space="preserve">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552327CF" w:rsidR="0091591B" w:rsidRPr="00474F45" w:rsidRDefault="00967ABB" w:rsidP="00474F45">
      <w:pPr>
        <w:spacing w:after="120" w:line="360" w:lineRule="auto"/>
        <w:ind w:firstLine="360"/>
        <w:jc w:val="both"/>
      </w:pPr>
      <w:r w:rsidRPr="00967ABB">
        <w:t xml:space="preserve">Recruitment pathways were heterogeneous. School-based recruitment was the most common channel (k = 7), followed by clinical referral from primary care, CAMHS, or emergency departments (k = </w:t>
      </w:r>
      <w:r w:rsidR="0086238C">
        <w:rPr>
          <w:rFonts w:hint="eastAsia"/>
        </w:rPr>
        <w:t>3</w:t>
      </w:r>
      <w:r w:rsidRPr="00967ABB">
        <w:t xml:space="preserve">), </w:t>
      </w:r>
      <w:r w:rsidR="0086238C">
        <w:rPr>
          <w:rFonts w:hint="eastAsia"/>
        </w:rPr>
        <w:t xml:space="preserve">mixed </w:t>
      </w:r>
      <w:r w:rsidR="0086238C">
        <w:t>recruitment</w:t>
      </w:r>
      <w:r w:rsidR="0086238C">
        <w:rPr>
          <w:rFonts w:hint="eastAsia"/>
        </w:rPr>
        <w:t xml:space="preserve"> pathways</w:t>
      </w:r>
      <w:r w:rsidRPr="00967ABB">
        <w:t xml:space="preserve"> (k = 2), community-based facilitator recruitment in remote settings (k = </w:t>
      </w:r>
      <w:r w:rsidR="00C30B5D">
        <w:rPr>
          <w:rFonts w:hint="eastAsia"/>
        </w:rPr>
        <w:t>1</w:t>
      </w:r>
      <w:r w:rsidR="00D6331B">
        <w:rPr>
          <w:rFonts w:hint="eastAsia"/>
        </w:rPr>
        <w:t>)</w:t>
      </w:r>
      <w:r w:rsidRPr="00967ABB">
        <w:t xml:space="preserve">, and online or social-media advertisement (k = </w:t>
      </w:r>
      <w:r w:rsidR="00C30B5D">
        <w:rPr>
          <w:rFonts w:hint="eastAsia"/>
        </w:rPr>
        <w:t>2</w:t>
      </w:r>
      <w:r w:rsidRPr="00967ABB">
        <w:t>; O'Dea 2020</w:t>
      </w:r>
      <w:r w:rsidR="00C30B5D">
        <w:rPr>
          <w:rFonts w:hint="eastAsia"/>
        </w:rPr>
        <w:t>, O</w:t>
      </w:r>
      <w:r w:rsidR="00C30B5D">
        <w:t>’</w:t>
      </w:r>
      <w:r w:rsidR="00C30B5D">
        <w:rPr>
          <w:rFonts w:hint="eastAsia"/>
        </w:rPr>
        <w:t>Dea 2025</w:t>
      </w:r>
      <w:r w:rsidRPr="00967ABB">
        <w:t>).</w:t>
      </w:r>
      <w:r w:rsidR="00D6331B">
        <w:rPr>
          <w:rFonts w:hint="eastAsia"/>
        </w:rPr>
        <w:t xml:space="preserve"> </w:t>
      </w:r>
      <w:r w:rsidR="00C30B5D">
        <w:t>M</w:t>
      </w:r>
      <w:r w:rsidR="00C30B5D">
        <w:rPr>
          <w:rFonts w:hint="eastAsia"/>
        </w:rPr>
        <w:t xml:space="preserve">ost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8E66659" w14:textId="0EB2217C" w:rsidR="00851F28" w:rsidRPr="00851F28" w:rsidRDefault="00851F28" w:rsidP="00851F28">
      <w:pPr>
        <w:spacing w:after="120" w:line="360" w:lineRule="auto"/>
        <w:ind w:firstLine="360"/>
        <w:jc w:val="both"/>
      </w:pPr>
      <w:r w:rsidRPr="00851F28">
        <w:t xml:space="preserve">The 15 trials evaluated 10 distinct intervention programs, with SPARX, Stressbusters, and Feeling Good bibliotherapy each evaluated in multiple trials. Delivery modalities spanned bibliotherapy (k = 3; Feeling Good, evaluated in Ackerson et al., 1998, Stice et al., 2010, and Rohde et al., 2015), stand-alone computer programs and serious games (k = 6; SPARX in Fleming et al., 2012, </w:t>
      </w:r>
      <w:proofErr w:type="spellStart"/>
      <w:r w:rsidRPr="00851F28">
        <w:t>Poppelaars</w:t>
      </w:r>
      <w:proofErr w:type="spellEnd"/>
      <w:r w:rsidRPr="00851F28">
        <w:t xml:space="preserve"> et al., 2016, and Bohr et al., 2023; Stressbusters in Smith et al., 2015 and Wright et al., 2020; The Journey in Stasiak et al., 2014), web-based platforms (k = 2; Grasp the Opportunity in Ip et al., 2016 and Blues Blaster in </w:t>
      </w:r>
      <w:proofErr w:type="spellStart"/>
      <w:r w:rsidRPr="00851F28">
        <w:t>Makarushka</w:t>
      </w:r>
      <w:proofErr w:type="spellEnd"/>
      <w:r w:rsidRPr="00851F28">
        <w:t xml:space="preserve">, 2011), mobile applications (k = 3; </w:t>
      </w:r>
      <w:proofErr w:type="spellStart"/>
      <w:r w:rsidRPr="00851F28">
        <w:t>BlueIce</w:t>
      </w:r>
      <w:proofErr w:type="spellEnd"/>
      <w:r w:rsidRPr="00851F28">
        <w:t xml:space="preserve"> in Stallard et al., 2024, </w:t>
      </w:r>
      <w:proofErr w:type="spellStart"/>
      <w:r w:rsidRPr="00851F28">
        <w:t>WeClick</w:t>
      </w:r>
      <w:proofErr w:type="spellEnd"/>
      <w:r w:rsidRPr="00851F28">
        <w:t xml:space="preserve"> in O'Dea et al., 2020, and </w:t>
      </w:r>
      <w:proofErr w:type="spellStart"/>
      <w:r w:rsidRPr="00851F28">
        <w:t>ClearlyMe</w:t>
      </w:r>
      <w:proofErr w:type="spellEnd"/>
      <w:r w:rsidRPr="00851F28">
        <w:t xml:space="preserve"> in O'Dea et al., 2025), and text-messaging delivery (k = 1; </w:t>
      </w:r>
      <w:proofErr w:type="spellStart"/>
      <w:r w:rsidRPr="00851F28">
        <w:t>iDOVE</w:t>
      </w:r>
      <w:proofErr w:type="spellEnd"/>
      <w:r w:rsidRPr="00851F28">
        <w:t xml:space="preserve"> in Ranney et al., 2018).</w:t>
      </w:r>
      <w:r w:rsidRPr="00851F28">
        <w:rPr>
          <w:rFonts w:ascii="SimSun" w:eastAsia="SimSun" w:hAnsi="SimSun" w:cs="SimSun"/>
          <w:sz w:val="24"/>
          <w:szCs w:val="24"/>
        </w:rPr>
        <w:t xml:space="preserve"> </w:t>
      </w:r>
      <w:r w:rsidRPr="00851F28">
        <w:t xml:space="preserve">Planned intervention length varied substantially. The shortest intervention was </w:t>
      </w:r>
      <w:proofErr w:type="spellStart"/>
      <w:r w:rsidRPr="00851F28">
        <w:t>WeClick</w:t>
      </w:r>
      <w:proofErr w:type="spellEnd"/>
      <w:r w:rsidRPr="00851F28">
        <w:t>, which consisted of a single mobile-based session of approximately one hour, whereas the longest was Grasp the Opportunity, which was delivered through web-based modules over an 8-month period. Most programs were designed to be completed within approximately 4–8 weeks</w:t>
      </w:r>
      <w:r>
        <w:rPr>
          <w:rFonts w:hint="eastAsia"/>
        </w:rPr>
        <w:t>.</w:t>
      </w:r>
    </w:p>
    <w:p w14:paraId="55544A22" w14:textId="4FC15D1B" w:rsidR="00643A0F"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The remaining programs were developed and evaluated within their original cultural and linguistic settings without explicit cross-cultural adaptation procedures.</w:t>
      </w:r>
    </w:p>
    <w:p w14:paraId="395C9E77" w14:textId="59DED77F" w:rsidR="00A6057D" w:rsidRPr="00A6057D" w:rsidRDefault="00A6057D" w:rsidP="00A6057D">
      <w:pPr>
        <w:spacing w:after="120" w:line="360" w:lineRule="auto"/>
        <w:ind w:firstLine="360"/>
        <w:jc w:val="both"/>
      </w:pPr>
      <w:r w:rsidRPr="00A6057D">
        <w:t>Effectiveness-oriented trials appeared more frequently in the later part of the evidence base. Similarly, studies embedded in specific educational, clinical, emergency department, or community settings became more common after 2012, including trials conducted in alternative education settings, school counselling contexts, CAMHS, emergency departments, and community facilitator networks. This pattern suggests a gradual broadening from relatively controlled efficacy-oriented evaluations toward more pragmatic and setting-embedded designs. However, the shift was not linear: recent studies still included controlled or online-recruited trials, and authors’ use of the terms “efficacy” and “effectiveness” did not always align neatly with the degree to which a trial was embedded in a real-world setting.</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17166134" w14:textId="77777777" w:rsidR="007D37F0" w:rsidRPr="007D37F0" w:rsidRDefault="007D37F0" w:rsidP="007D37F0">
      <w:pPr>
        <w:spacing w:after="120" w:line="360" w:lineRule="auto"/>
        <w:ind w:firstLine="360"/>
        <w:jc w:val="both"/>
      </w:pPr>
      <w:r w:rsidRPr="007D37F0">
        <w:t xml:space="preserve">Control conditions across the 15 trials included waitlist or delayed-treatment controls (k = 6; including one waitlist condition with active monitoring, </w:t>
      </w:r>
      <w:proofErr w:type="spellStart"/>
      <w:r w:rsidRPr="007D37F0">
        <w:t>Poppelaars</w:t>
      </w:r>
      <w:proofErr w:type="spellEnd"/>
      <w:r w:rsidRPr="007D37F0">
        <w:t xml:space="preserve"> et al., 2016), treatment-as-usual (k = 1; Stallard et al., 2024), attention controls (k = 5; Ip et al., 2016; O'Dea et al., 2025; Ranney et al., 2018; Stasiak et al., 2014; Wright et al., 2020), and information-only or assessment-only controls (k = 3; Stice et al., 2010; </w:t>
      </w:r>
      <w:proofErr w:type="spellStart"/>
      <w:r w:rsidRPr="007D37F0">
        <w:t>Makarushka</w:t>
      </w:r>
      <w:proofErr w:type="spellEnd"/>
      <w:r w:rsidRPr="007D37F0">
        <w:t>, 2011; Rohde et al., 2015). Waitlist or delayed-treatment conditions in two trials offered the active intervention after the waiting period, which meant that these trials did not provide eligible randomized comparative follow-up data (Ackerson et al., 1998; Smith et al., 2015). Attention-control conditions varied in content and intensity, including an anti-smoking quiz website, computerized psychoeducation matched for length and format, self-help websites, and other non-CBT comparator materials.</w:t>
      </w:r>
    </w:p>
    <w:p w14:paraId="7709032B" w14:textId="791F9BA1" w:rsidR="000A0168" w:rsidRDefault="007D37F0" w:rsidP="00A84446">
      <w:pPr>
        <w:spacing w:after="120" w:line="360" w:lineRule="auto"/>
        <w:ind w:firstLine="360"/>
        <w:jc w:val="both"/>
      </w:pPr>
      <w:r w:rsidRPr="007D37F0">
        <w:t xml:space="preserve">For the confirmatory subgroup analysis specified in Section 3.7, control conditions were collapsed into two categories according to the pre-specified scheme: passive controls and minimally active controls. Across all 15 eligible trials, passive controls included waitlist, delayed-treatment, treatment-as-usual, and assessment-only conditions (k = 8), whereas minimally active controls included attention-control and information-only conditions (k = 7).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11B2BEE1" w14:textId="3DEF7293" w:rsidR="004C617A" w:rsidRPr="004C617A" w:rsidRDefault="004C617A" w:rsidP="004C617A">
      <w:pPr>
        <w:spacing w:after="120" w:line="360" w:lineRule="auto"/>
        <w:ind w:firstLine="360"/>
        <w:jc w:val="both"/>
      </w:pPr>
      <w:r w:rsidRPr="004C617A">
        <w:t>Depressive symptoms were assessed using a range of validated depression symptom measures, including the BDI/BDI-II, CES-D/CESD-R, CDRS-R, MFQ/MFQ-C, PHQ-9/PHQ-A, and RADS-2. Most outcomes were based on self-report scales, although some studies used interviewer- or clinician-administered measures. Twelve studies reported follow-up data beyond post-treatment</w:t>
      </w:r>
      <w:r>
        <w:rPr>
          <w:rFonts w:hint="eastAsia"/>
        </w:rPr>
        <w:t xml:space="preserve">, </w:t>
      </w:r>
      <w:r w:rsidRPr="004C617A">
        <w:t>distributed across short-term (1–3 months; k = 3, N = 246), medium-term (4–6 months; k = 8, N = 1,323), and long-term (12 months or longer; k = 5, N = 845) windows. The longest follow-up extended to 24 months (Stice et al., 2010; Rohde et al., 2015).</w:t>
      </w:r>
    </w:p>
    <w:p w14:paraId="1151727E" w14:textId="77777777" w:rsidR="004C617A" w:rsidRPr="004C617A" w:rsidRDefault="004C617A" w:rsidP="004C617A">
      <w:pPr>
        <w:spacing w:after="120" w:line="360" w:lineRule="auto"/>
        <w:ind w:firstLine="360"/>
        <w:jc w:val="both"/>
      </w:pPr>
      <w:r w:rsidRPr="004C617A">
        <w:t>Most studies reported endpoint outcomes. Three studies required alternative extraction approaches: Fleming et al. (2012) and Stice et al. (2008, 2010) reported change-from-baseline scores, whereas O’Dea et al. (2020) reported a standardized between-group effect size.</w:t>
      </w:r>
    </w:p>
    <w:p w14:paraId="2C08F4C4" w14:textId="77777777" w:rsidR="004C617A" w:rsidRDefault="004C617A" w:rsidP="00DB0C1E">
      <w:pPr>
        <w:spacing w:after="120" w:line="360" w:lineRule="auto"/>
        <w:ind w:firstLine="360"/>
        <w:jc w:val="both"/>
      </w:pPr>
    </w:p>
    <w:p w14:paraId="19D1DAF4" w14:textId="77777777" w:rsidR="001A7758" w:rsidRDefault="001A7758" w:rsidP="00DB0C1E">
      <w:pPr>
        <w:spacing w:after="120" w:line="360" w:lineRule="auto"/>
        <w:ind w:firstLine="360"/>
        <w:jc w:val="both"/>
      </w:pP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5D27AF"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43"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44" w:name="OLE_LINK47"/>
      <w:bookmarkStart w:id="45" w:name="OLE_LINK8"/>
      <w:bookmarkStart w:id="46" w:name="OLE_LINK4"/>
      <w:bookmarkEnd w:id="43"/>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44"/>
    <w:p w14:paraId="5478BF9B" w14:textId="77777777" w:rsidR="007B5730" w:rsidRPr="00EA32E7" w:rsidRDefault="007B5730" w:rsidP="00130DC3">
      <w:pPr>
        <w:spacing w:after="120" w:line="360" w:lineRule="auto"/>
        <w:ind w:firstLine="360"/>
        <w:jc w:val="both"/>
      </w:pPr>
    </w:p>
    <w:bookmarkEnd w:id="45"/>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46"/>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47"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48" w:name="OLE_LINK19"/>
      <w:bookmarkStart w:id="49"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50" w:name="OLE_LINK34"/>
      <w:bookmarkStart w:id="51" w:name="OLE_LINK26"/>
      <w:bookmarkEnd w:id="48"/>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50"/>
    <w:p w14:paraId="7A1E7C5E" w14:textId="477C41B0" w:rsidR="00C61F6E" w:rsidRDefault="00C61F6E" w:rsidP="005B656D">
      <w:pPr>
        <w:spacing w:after="120" w:line="360" w:lineRule="auto"/>
        <w:jc w:val="both"/>
        <w:rPr>
          <w:b/>
          <w:bCs/>
          <w:noProof/>
        </w:rPr>
      </w:pPr>
    </w:p>
    <w:p w14:paraId="5F6EB6ED" w14:textId="0F9377D9" w:rsidR="00C61F6E" w:rsidRDefault="00C61F6E" w:rsidP="005B656D">
      <w:pPr>
        <w:spacing w:after="120" w:line="360" w:lineRule="auto"/>
        <w:jc w:val="both"/>
        <w:rPr>
          <w:b/>
          <w:bCs/>
          <w:noProof/>
        </w:rPr>
      </w:pPr>
    </w:p>
    <w:p w14:paraId="1F066A69" w14:textId="24DE8878" w:rsidR="00C61F6E" w:rsidRDefault="00C61F6E" w:rsidP="005B656D">
      <w:pPr>
        <w:spacing w:after="120" w:line="360" w:lineRule="auto"/>
        <w:jc w:val="both"/>
        <w:rPr>
          <w:b/>
          <w:bCs/>
          <w:noProof/>
        </w:rPr>
      </w:pPr>
    </w:p>
    <w:p w14:paraId="5FEFBC60" w14:textId="71501E54" w:rsidR="00C61F6E" w:rsidRDefault="00C61F6E" w:rsidP="005B656D">
      <w:pPr>
        <w:spacing w:after="120" w:line="360" w:lineRule="auto"/>
        <w:jc w:val="both"/>
        <w:rPr>
          <w:b/>
          <w:bCs/>
          <w:noProof/>
        </w:rPr>
      </w:pPr>
    </w:p>
    <w:p w14:paraId="147A2077" w14:textId="08D91BA6" w:rsidR="00C61F6E" w:rsidRDefault="00C61F6E" w:rsidP="005B656D">
      <w:pPr>
        <w:spacing w:after="120" w:line="360" w:lineRule="auto"/>
        <w:jc w:val="both"/>
        <w:rPr>
          <w:b/>
          <w:bCs/>
          <w:noProof/>
        </w:rPr>
      </w:pPr>
    </w:p>
    <w:p w14:paraId="1C73A819" w14:textId="76462E6A" w:rsidR="00C61F6E" w:rsidRDefault="00C61F6E" w:rsidP="005B656D">
      <w:pPr>
        <w:spacing w:after="120" w:line="360" w:lineRule="auto"/>
        <w:jc w:val="both"/>
        <w:rPr>
          <w:b/>
          <w:bCs/>
          <w:noProof/>
        </w:rPr>
      </w:pPr>
    </w:p>
    <w:p w14:paraId="76486A4E" w14:textId="4F69C09D" w:rsidR="00C61F6E" w:rsidRDefault="00C61F6E" w:rsidP="005B656D">
      <w:pPr>
        <w:spacing w:after="120" w:line="360" w:lineRule="auto"/>
        <w:jc w:val="both"/>
        <w:rPr>
          <w:b/>
          <w:bCs/>
          <w:noProof/>
        </w:rPr>
      </w:pPr>
    </w:p>
    <w:p w14:paraId="047F961D" w14:textId="573FC3F3" w:rsidR="00C61F6E" w:rsidRDefault="00C61F6E" w:rsidP="005B656D">
      <w:pPr>
        <w:spacing w:after="120" w:line="360" w:lineRule="auto"/>
        <w:jc w:val="both"/>
        <w:rPr>
          <w:b/>
          <w:bCs/>
          <w:noProof/>
        </w:rPr>
      </w:pPr>
    </w:p>
    <w:p w14:paraId="1B6A4CD8" w14:textId="4F2C5A30" w:rsidR="00C61F6E" w:rsidRDefault="00C61F6E" w:rsidP="005B656D">
      <w:pPr>
        <w:spacing w:after="120" w:line="360" w:lineRule="auto"/>
        <w:jc w:val="both"/>
        <w:rPr>
          <w:b/>
          <w:bCs/>
          <w:noProof/>
        </w:rPr>
      </w:pPr>
    </w:p>
    <w:p w14:paraId="2A7A8D23" w14:textId="2AA320C1" w:rsidR="00C61F6E" w:rsidRDefault="00C61F6E" w:rsidP="005B656D">
      <w:pPr>
        <w:spacing w:after="120" w:line="360" w:lineRule="auto"/>
        <w:jc w:val="both"/>
        <w:rPr>
          <w:b/>
          <w:bCs/>
          <w:noProof/>
        </w:rPr>
      </w:pPr>
    </w:p>
    <w:p w14:paraId="534272D2" w14:textId="35E8CC46"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2874A20C">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3ADDB349" w14:textId="1DC7E414" w:rsidR="005B656D" w:rsidRDefault="005B656D" w:rsidP="005B656D">
      <w:pPr>
        <w:spacing w:after="120" w:line="276" w:lineRule="auto"/>
        <w:jc w:val="both"/>
        <w:rPr>
          <w:sz w:val="16"/>
          <w:szCs w:val="16"/>
        </w:rPr>
      </w:pPr>
      <w:bookmarkStart w:id="52" w:name="OLE_LINK24"/>
      <w:r w:rsidRPr="00235A2C">
        <w:rPr>
          <w:rFonts w:hint="eastAsia"/>
          <w:i/>
          <w:iCs/>
          <w:sz w:val="16"/>
          <w:szCs w:val="16"/>
        </w:rPr>
        <w:t xml:space="preserve">Note. </w:t>
      </w:r>
      <w:r w:rsidR="00E445B7" w:rsidRPr="00235A2C">
        <w:rPr>
          <w:sz w:val="16"/>
          <w:szCs w:val="16"/>
        </w:rPr>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bookmarkEnd w:id="52"/>
    </w:p>
    <w:p w14:paraId="3EDB17CF" w14:textId="77777777" w:rsidR="00235A2C" w:rsidRPr="00235A2C" w:rsidRDefault="00235A2C" w:rsidP="005B656D">
      <w:pPr>
        <w:spacing w:after="120" w:line="276" w:lineRule="auto"/>
        <w:jc w:val="both"/>
        <w:rPr>
          <w:sz w:val="16"/>
          <w:szCs w:val="16"/>
        </w:rPr>
      </w:pPr>
    </w:p>
    <w:p w14:paraId="0DF7DDB0" w14:textId="2DEBF41C" w:rsidR="000332BE" w:rsidRPr="000332BE" w:rsidRDefault="000332BE" w:rsidP="000332BE">
      <w:pPr>
        <w:spacing w:after="120" w:line="360" w:lineRule="auto"/>
        <w:ind w:firstLine="360"/>
        <w:jc w:val="both"/>
      </w:pPr>
      <w:bookmarkStart w:id="53"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 xml:space="preserve">Whether this post-intervention effect was sustained across follow-up timepoints is examined in the </w:t>
      </w:r>
      <w:r w:rsidRPr="000332BE">
        <w:lastRenderedPageBreak/>
        <w:t>subsequent sections</w:t>
      </w:r>
      <w:r w:rsidR="00FF376F">
        <w:rPr>
          <w:rFonts w:hint="eastAsia"/>
        </w:rPr>
        <w:t>.</w:t>
      </w:r>
    </w:p>
    <w:bookmarkEnd w:id="53"/>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54" w:name="OLE_LINK37"/>
      <w:bookmarkStart w:id="55" w:name="OLE_LINK20"/>
      <w:bookmarkStart w:id="56"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57" w:name="OLE_LINK12"/>
            <w:r w:rsidRPr="007D1E2E">
              <w:rPr>
                <w:b/>
                <w:bCs/>
                <w:sz w:val="20"/>
                <w:szCs w:val="20"/>
              </w:rPr>
              <w:t>τ</w:t>
            </w:r>
            <w:r w:rsidRPr="007D1E2E">
              <w:rPr>
                <w:rFonts w:hint="eastAsia"/>
                <w:b/>
                <w:bCs/>
                <w:sz w:val="20"/>
                <w:szCs w:val="20"/>
                <w:vertAlign w:val="superscript"/>
              </w:rPr>
              <w:t>2</w:t>
            </w:r>
            <w:bookmarkEnd w:id="57"/>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58"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58"/>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59" w:name="OLE_LINK49"/>
            <w:r w:rsidRPr="007D1E2E">
              <w:rPr>
                <w:sz w:val="20"/>
                <w:szCs w:val="20"/>
              </w:rPr>
              <w:t>[−0.27, 0.80]</w:t>
            </w:r>
            <w:bookmarkEnd w:id="59"/>
          </w:p>
        </w:tc>
      </w:tr>
    </w:tbl>
    <w:bookmarkEnd w:id="54"/>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55"/>
    </w:p>
    <w:bookmarkEnd w:id="49"/>
    <w:bookmarkEnd w:id="51"/>
    <w:bookmarkEnd w:id="56"/>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60" w:name="OLE_LINK27"/>
      <w:r w:rsidRPr="00307741">
        <w:rPr>
          <w:rFonts w:hint="eastAsia"/>
          <w:b/>
          <w:bCs/>
        </w:rPr>
        <w:t>Short-term follow-up</w:t>
      </w:r>
    </w:p>
    <w:bookmarkEnd w:id="60"/>
    <w:p w14:paraId="4F496608" w14:textId="482BD33B" w:rsidR="00057441" w:rsidRDefault="00DB6FE5" w:rsidP="00057441">
      <w:pPr>
        <w:spacing w:after="120" w:line="360" w:lineRule="auto"/>
        <w:ind w:firstLine="360"/>
        <w:jc w:val="both"/>
      </w:pPr>
      <w:r>
        <w:rPr>
          <w:rFonts w:hint="eastAsia"/>
        </w:rPr>
        <w:t xml:space="preserve"> </w:t>
      </w:r>
      <w:bookmarkStart w:id="61"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62" w:name="OLE_LINK30"/>
      <w:r w:rsidR="00216DB4" w:rsidRPr="00216DB4">
        <w:t>At short-term follow-up, the pooled effect (g = 0.12) fell below the empirically derived small-effect threshold for child and adolescent psychotherapy (0.21; Nordahl-Hansen et al., 2024).</w:t>
      </w:r>
    </w:p>
    <w:bookmarkEnd w:id="62"/>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61"/>
    <w:p w14:paraId="2A48964D" w14:textId="77777777" w:rsidR="00057441" w:rsidRPr="00057441" w:rsidRDefault="00057441" w:rsidP="00057441">
      <w:pPr>
        <w:spacing w:after="120" w:line="360" w:lineRule="auto"/>
        <w:ind w:firstLine="360"/>
        <w:jc w:val="both"/>
      </w:pPr>
    </w:p>
    <w:p w14:paraId="01F22FD6" w14:textId="77777777" w:rsidR="00FB7773" w:rsidRDefault="00FB7773" w:rsidP="00950BF3">
      <w:pPr>
        <w:spacing w:after="120" w:line="360" w:lineRule="auto"/>
        <w:jc w:val="both"/>
        <w:rPr>
          <w:b/>
          <w:bCs/>
          <w:noProof/>
        </w:rPr>
      </w:pPr>
      <w:bookmarkStart w:id="63" w:name="OLE_LINK23"/>
    </w:p>
    <w:p w14:paraId="01D2EC28" w14:textId="77777777" w:rsidR="00FB7773" w:rsidRDefault="00FB7773" w:rsidP="00950BF3">
      <w:pPr>
        <w:spacing w:after="120" w:line="360" w:lineRule="auto"/>
        <w:jc w:val="both"/>
        <w:rPr>
          <w:b/>
          <w:bCs/>
          <w:noProof/>
        </w:rPr>
      </w:pPr>
    </w:p>
    <w:p w14:paraId="6FE7ADBF" w14:textId="77777777" w:rsidR="00FB7773" w:rsidRDefault="00FB7773" w:rsidP="00950BF3">
      <w:pPr>
        <w:spacing w:after="120" w:line="360" w:lineRule="auto"/>
        <w:jc w:val="both"/>
        <w:rPr>
          <w:b/>
          <w:bCs/>
          <w:noProof/>
        </w:rPr>
      </w:pPr>
    </w:p>
    <w:p w14:paraId="1F6E0232" w14:textId="77777777" w:rsidR="00FB7773" w:rsidRDefault="00FB7773" w:rsidP="00950BF3">
      <w:pPr>
        <w:spacing w:after="120" w:line="360" w:lineRule="auto"/>
        <w:jc w:val="both"/>
        <w:rPr>
          <w:b/>
          <w:bCs/>
          <w:noProof/>
        </w:rPr>
      </w:pPr>
    </w:p>
    <w:p w14:paraId="57523971" w14:textId="77777777" w:rsidR="00FB7773" w:rsidRDefault="00FB7773" w:rsidP="00950BF3">
      <w:pPr>
        <w:spacing w:after="120" w:line="360" w:lineRule="auto"/>
        <w:jc w:val="both"/>
        <w:rPr>
          <w:b/>
          <w:bCs/>
          <w:noProof/>
        </w:rPr>
      </w:pPr>
    </w:p>
    <w:p w14:paraId="6E3D8AE5" w14:textId="5A570471" w:rsidR="00DB320F" w:rsidRPr="00DB320F" w:rsidRDefault="00DB320F" w:rsidP="00950BF3">
      <w:pPr>
        <w:spacing w:after="120" w:line="360" w:lineRule="auto"/>
        <w:jc w:val="both"/>
        <w:rPr>
          <w:b/>
          <w:bCs/>
          <w:noProof/>
        </w:rPr>
      </w:pPr>
      <w:r w:rsidRPr="00843F05">
        <w:rPr>
          <w:rFonts w:hint="eastAsia"/>
          <w:b/>
          <w:bCs/>
          <w:noProof/>
        </w:rPr>
        <w:lastRenderedPageBreak/>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63"/>
    <w:p w14:paraId="5E7F687C" w14:textId="0FB6F9E7" w:rsidR="00A87283" w:rsidRDefault="00044937" w:rsidP="00950BF3">
      <w:pPr>
        <w:spacing w:after="120" w:line="360" w:lineRule="auto"/>
        <w:jc w:val="both"/>
        <w:rPr>
          <w:b/>
          <w:bCs/>
          <w:sz w:val="24"/>
          <w:szCs w:val="24"/>
        </w:rPr>
      </w:pPr>
      <w:r>
        <w:rPr>
          <w:b/>
          <w:bCs/>
          <w:noProof/>
          <w:sz w:val="24"/>
          <w:szCs w:val="24"/>
        </w:rPr>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Pr="00235A2C" w:rsidRDefault="00F351EB" w:rsidP="00F351EB">
      <w:pPr>
        <w:spacing w:after="120" w:line="276" w:lineRule="auto"/>
        <w:jc w:val="both"/>
        <w:rPr>
          <w:sz w:val="16"/>
          <w:szCs w:val="16"/>
        </w:rPr>
      </w:pPr>
      <w:bookmarkStart w:id="64" w:name="OLE_LINK32"/>
      <w:r w:rsidRPr="00235A2C">
        <w:rPr>
          <w:rFonts w:hint="eastAsia"/>
          <w:i/>
          <w:iCs/>
          <w:sz w:val="16"/>
          <w:szCs w:val="16"/>
        </w:rPr>
        <w:t>Note.</w:t>
      </w:r>
      <w:r w:rsidRPr="00235A2C">
        <w:rPr>
          <w:rFonts w:hint="eastAsia"/>
          <w:sz w:val="16"/>
          <w:szCs w:val="16"/>
        </w:rPr>
        <w:t xml:space="preserve"> </w:t>
      </w:r>
      <w:r w:rsidR="00E445B7" w:rsidRPr="00235A2C">
        <w:rPr>
          <w:sz w:val="16"/>
          <w:szCs w:val="16"/>
        </w:rPr>
        <w:t xml:space="preserve">Forest plot of unguided self-help CBT interventions versus control at short-term follow-up (post-intervention to &lt;6 months). Squares = individual effect sizes (Hedges' </w:t>
      </w:r>
      <w:r w:rsidR="00E445B7" w:rsidRPr="00235A2C">
        <w:rPr>
          <w:i/>
          <w:iCs/>
          <w:sz w:val="16"/>
          <w:szCs w:val="16"/>
        </w:rPr>
        <w:t>g</w:t>
      </w:r>
      <w:r w:rsidR="00E445B7" w:rsidRPr="00235A2C">
        <w:rPr>
          <w:sz w:val="16"/>
          <w:szCs w:val="16"/>
        </w:rPr>
        <w:t xml:space="preserve">), sized by study weight; horizontal lines = 95% CIs; diamond = pooled estimate (random-effects model, REML estimator, Hartung-Knapp adjustment); bar below diamond = 95% prediction interval. The longest available timepoint per study was used. </w:t>
      </w:r>
      <w:r w:rsidR="00E445B7" w:rsidRPr="00235A2C">
        <w:rPr>
          <w:i/>
          <w:iCs/>
          <w:sz w:val="16"/>
          <w:szCs w:val="16"/>
        </w:rPr>
        <w:t>I</w:t>
      </w:r>
      <w:r w:rsidR="00E445B7" w:rsidRPr="00235A2C">
        <w:rPr>
          <w:sz w:val="16"/>
          <w:szCs w:val="16"/>
        </w:rPr>
        <w:t>² = heterogeneity; τ² = between-study variance.</w:t>
      </w:r>
    </w:p>
    <w:bookmarkEnd w:id="64"/>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the leave-one-out sensitivity analysis.</w:t>
      </w:r>
    </w:p>
    <w:p w14:paraId="17880F04" w14:textId="77777777" w:rsidR="00E445B7" w:rsidRDefault="00E445B7" w:rsidP="00731952">
      <w:pPr>
        <w:spacing w:after="120" w:line="360" w:lineRule="auto"/>
        <w:ind w:firstLine="360"/>
        <w:jc w:val="both"/>
      </w:pPr>
      <w:r w:rsidRPr="00E445B7">
        <w:lastRenderedPageBreak/>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65"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65"/>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diamond = pooled estimate (random-effects model, REML estimator, Hartung-Knapp adjustment); bar below diamond = 95% prediction interval. The longest available timepoint per study was used. I² = </w:t>
      </w:r>
      <w:r w:rsidR="00E445B7" w:rsidRPr="00E445B7">
        <w:lastRenderedPageBreak/>
        <w:t>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66"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67" w:name="OLE_LINK52"/>
            <w:r w:rsidRPr="00581B0B">
              <w:rPr>
                <w:sz w:val="16"/>
                <w:szCs w:val="16"/>
              </w:rPr>
              <w:t>−</w:t>
            </w:r>
            <w:bookmarkEnd w:id="67"/>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68" w:name="OLE_LINK53"/>
            <w:r w:rsidRPr="00581B0B">
              <w:rPr>
                <w:rFonts w:hint="eastAsia"/>
                <w:sz w:val="16"/>
                <w:szCs w:val="16"/>
              </w:rPr>
              <w:t>.</w:t>
            </w:r>
            <w:r w:rsidR="00C323C9" w:rsidRPr="00581B0B">
              <w:rPr>
                <w:rFonts w:hint="eastAsia"/>
                <w:sz w:val="16"/>
                <w:szCs w:val="16"/>
              </w:rPr>
              <w:t>719</w:t>
            </w:r>
            <w:bookmarkEnd w:id="68"/>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69"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69"/>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70"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70"/>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71"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71"/>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66"/>
      <w:r w:rsidR="005F269D">
        <w:rPr>
          <w:rFonts w:hint="eastAsia"/>
          <w:i/>
          <w:iCs/>
        </w:rPr>
        <w:t xml:space="preserve"> </w:t>
      </w:r>
      <w:bookmarkStart w:id="72"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72"/>
    </w:p>
    <w:p w14:paraId="33E856DC" w14:textId="77777777" w:rsidR="006E03C5" w:rsidRDefault="00D450DC">
      <w:pPr>
        <w:pStyle w:val="2"/>
        <w:rPr>
          <w:rFonts w:eastAsiaTheme="minorEastAsia"/>
        </w:rPr>
      </w:pPr>
      <w:bookmarkStart w:id="73" w:name="OLE_LINK61"/>
      <w:bookmarkStart w:id="74" w:name="OLE_LINK70"/>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75"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75"/>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76"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77" w:name="OLE_LINK40"/>
      <w:bookmarkEnd w:id="76"/>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77"/>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w:t>
      </w:r>
      <w:r w:rsidRPr="009C37E9">
        <w:lastRenderedPageBreak/>
        <w:t>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78"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78"/>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79"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79"/>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47"/>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80" w:name="OLE_LINK46"/>
      <w:r w:rsidRPr="00780B81">
        <w:rPr>
          <w:b/>
          <w:bCs/>
        </w:rPr>
        <w:t>Analyses of the Pooled Post-Intervention Effect</w:t>
      </w:r>
      <w:bookmarkEnd w:id="80"/>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81"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82"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82"/>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81"/>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7D6B2F00" w14:textId="77777777" w:rsidR="00FD4E54" w:rsidRDefault="00FD4E54" w:rsidP="00177280">
      <w:pPr>
        <w:spacing w:after="120" w:line="360" w:lineRule="auto"/>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lastRenderedPageBreak/>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83" w:name="OLE_LINK60"/>
      <w:r>
        <w:t>4.</w:t>
      </w:r>
      <w:r w:rsidR="007C77E2">
        <w:rPr>
          <w:rFonts w:eastAsiaTheme="minorEastAsia" w:hint="eastAsia"/>
        </w:rPr>
        <w:t>6</w:t>
      </w:r>
      <w:r>
        <w:t xml:space="preserve">. </w:t>
      </w:r>
      <w:bookmarkStart w:id="84"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85"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86"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lastRenderedPageBreak/>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85"/>
    <w:bookmarkEnd w:id="86"/>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87" w:name="OLE_LINK50"/>
      <w:r w:rsidRPr="00204817">
        <w:rPr>
          <w:rFonts w:hint="eastAsia"/>
          <w:b/>
          <w:bCs/>
        </w:rPr>
        <w:t xml:space="preserve">Table X. Sensitivity </w:t>
      </w:r>
      <w:r w:rsidRPr="00204817">
        <w:rPr>
          <w:b/>
          <w:bCs/>
        </w:rPr>
        <w:t>Analyses of the Pooled Post-Intervention Effect</w:t>
      </w:r>
    </w:p>
    <w:bookmarkEnd w:id="87"/>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lastRenderedPageBreak/>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88"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88"/>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83"/>
    <w:bookmarkEnd w:id="84"/>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w:t>
      </w:r>
      <w:r w:rsidRPr="00D8153E">
        <w:lastRenderedPageBreak/>
        <w:t xml:space="preserve">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69D6296E">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lastRenderedPageBreak/>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5F5867F">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Pr="004B693E" w:rsidRDefault="00835B35" w:rsidP="005C752D">
      <w:pPr>
        <w:spacing w:after="120"/>
        <w:rPr>
          <w:sz w:val="16"/>
          <w:szCs w:val="16"/>
        </w:rPr>
      </w:pPr>
      <w:r w:rsidRPr="004B693E">
        <w:rPr>
          <w:i/>
          <w:iCs/>
          <w:sz w:val="16"/>
          <w:szCs w:val="16"/>
        </w:rPr>
        <w:t>Note</w:t>
      </w:r>
      <w:r w:rsidRPr="004B693E">
        <w:rPr>
          <w:sz w:val="16"/>
          <w:szCs w:val="16"/>
        </w:rPr>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73"/>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89" w:name="OLE_LINK56"/>
      <w:bookmarkStart w:id="90" w:name="OLE_LINK41"/>
      <w:bookmarkStart w:id="91" w:name="OLE_LINK58"/>
      <w:bookmarkEnd w:id="74"/>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w:t>
      </w:r>
      <w:r w:rsidRPr="00894D18">
        <w:lastRenderedPageBreak/>
        <w:t xml:space="preserve">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89"/>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90"/>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91"/>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7652F55B" w:rsidR="004974B7" w:rsidRPr="00454331" w:rsidRDefault="00CB0E6D" w:rsidP="006D6210">
      <w:pPr>
        <w:spacing w:after="120" w:line="360" w:lineRule="auto"/>
        <w:ind w:firstLine="360"/>
        <w:jc w:val="both"/>
      </w:pPr>
      <w:bookmarkStart w:id="92" w:name="OLE_LINK21"/>
      <w:r w:rsidRPr="00CB0E6D">
        <w:t xml:space="preserve">This meta-analysis examined the effects of unguided self-help cognitive behavioral therapy (CBT) on depressive symptoms in adolescents.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93" w:name="OLE_LINK59"/>
      <w:bookmarkStart w:id="94" w:name="OLE_LINK100"/>
      <w:bookmarkEnd w:id="92"/>
      <w:r>
        <w:t>5.1. Summary of Findings</w:t>
      </w:r>
    </w:p>
    <w:p w14:paraId="27F3FEC8" w14:textId="5334BCA5" w:rsidR="00614AF4" w:rsidRPr="00614AF4" w:rsidRDefault="00614AF4" w:rsidP="003100EF">
      <w:pPr>
        <w:spacing w:after="120" w:line="360" w:lineRule="auto"/>
        <w:ind w:firstLine="360"/>
        <w:jc w:val="both"/>
      </w:pPr>
      <w:r w:rsidRPr="00614AF4">
        <w:rPr>
          <w:b/>
          <w:bCs/>
        </w:rPr>
        <w:t>Research trends.</w:t>
      </w:r>
      <w:r w:rsidR="00736B8D" w:rsidRPr="00736B8D">
        <w:t xml:space="preserve"> Several descriptive trends emerged from the eligible trials. First, comparable studies were sparse before around 2010, after which trials appeared more regularly. Second, trials became more effectiveness-oriented over time, and the recruitment setting shifted. Educational settings predominated through 2016. From 2018 onward, trials moved into clinical, emergency-department, and community settings, while a separate strand (O'Dea 2020, 2025) recruited fully online. The pattern was not linear, and the online trials </w:t>
      </w:r>
      <w:proofErr w:type="gramStart"/>
      <w:r w:rsidR="00736B8D" w:rsidRPr="00736B8D">
        <w:t>in particular sat</w:t>
      </w:r>
      <w:proofErr w:type="gramEnd"/>
      <w:r w:rsidR="00736B8D" w:rsidRPr="00736B8D">
        <w:t xml:space="preserve"> outside any institutional setting. Third, studies from 2020 onward more often used mobile applications. Fourth, larger trials became more common in later years, although sample size did not increase in a strictly linear manner. Finally, trials from 2018 onward relied on fully automated support with no human contact, with the small Bohr 2023 pilot the only exception.</w:t>
      </w:r>
    </w:p>
    <w:p w14:paraId="6A495EF3" w14:textId="5126ED34"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w:t>
      </w:r>
      <w:r w:rsidRPr="00447393">
        <w:rPr>
          <w:i/>
          <w:iCs/>
        </w:rPr>
        <w:t xml:space="preserve">g </w:t>
      </w:r>
      <w:r w:rsidRPr="0006772F">
        <w:t xml:space="preserve">= 0.27, 95% CI [0.06, 0.47]). Against the empirically derived benchmarks for psychotherapy trials in children and adolescents (small = 0.21, medium = 0.34; Nordahl-Hansen et al., 2024), this effect </w:t>
      </w:r>
      <w:r w:rsidR="008C148B">
        <w:rPr>
          <w:rFonts w:hint="eastAsia"/>
        </w:rPr>
        <w:t>exceeds</w:t>
      </w:r>
      <w:r w:rsidRPr="0006772F">
        <w:t xml:space="preserve"> the upper part of the small range and approach</w:t>
      </w:r>
      <w:r w:rsidR="008C148B">
        <w:rPr>
          <w:rFonts w:hint="eastAsia"/>
        </w:rPr>
        <w:t>ing</w:t>
      </w:r>
      <w:r w:rsidRPr="0006772F">
        <w:t xml:space="preserve">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4B030A08"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w:t>
      </w:r>
      <w:r w:rsidRPr="00447393">
        <w:rPr>
          <w:i/>
          <w:iCs/>
        </w:rPr>
        <w:t>g</w:t>
      </w:r>
      <w:r w:rsidRPr="0006772F">
        <w:t xml:space="preserve"> = 0.21 at post-intervention to </w:t>
      </w:r>
      <w:r w:rsidRPr="00447393">
        <w:rPr>
          <w:i/>
          <w:iCs/>
        </w:rPr>
        <w:t xml:space="preserve">g </w:t>
      </w:r>
      <w:r w:rsidRPr="0006772F">
        <w:t xml:space="preserve">=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w:t>
      </w:r>
      <w:r w:rsidR="00736B8D">
        <w:rPr>
          <w:rFonts w:hint="eastAsia"/>
        </w:rPr>
        <w:t xml:space="preserve">overall </w:t>
      </w:r>
      <w:r w:rsidRPr="0006772F">
        <w:t>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0BB246EE" w:rsidR="0006772F" w:rsidRPr="0006772F" w:rsidRDefault="0006772F" w:rsidP="0006772F">
      <w:pPr>
        <w:spacing w:after="120" w:line="360" w:lineRule="auto"/>
        <w:ind w:firstLine="360"/>
        <w:jc w:val="both"/>
      </w:pPr>
      <w:r w:rsidRPr="0006772F">
        <w:t xml:space="preserve">For the moderators that were tested, none of the subgroup analyses produced a statistically significant between-group difference (all </w:t>
      </w:r>
      <w:r w:rsidRPr="00447393">
        <w:rPr>
          <w:i/>
          <w:iCs/>
        </w:rPr>
        <w:t xml:space="preserve">p </w:t>
      </w:r>
      <w:r w:rsidRPr="0006772F">
        <w:t>for the between-group test &gt; .1</w:t>
      </w:r>
      <w:r w:rsidR="00072915">
        <w:rPr>
          <w:rFonts w:hint="eastAsia"/>
        </w:rPr>
        <w:t>6</w:t>
      </w:r>
      <w:r w:rsidRPr="0006772F">
        <w:t xml:space="preserve">). </w:t>
      </w:r>
      <w:r w:rsidR="008C6117">
        <w:rPr>
          <w:rFonts w:hint="eastAsia"/>
        </w:rPr>
        <w:t>However, t</w:t>
      </w:r>
      <w:r w:rsidRPr="0006772F">
        <w: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w:t>
      </w:r>
      <w:r w:rsidR="00BE1B95">
        <w:rPr>
          <w:rFonts w:hint="eastAsia"/>
        </w:rPr>
        <w:t>s</w:t>
      </w:r>
      <w:r w:rsidRPr="0006772F">
        <w:t xml:space="preserve"> </w:t>
      </w:r>
      <w:proofErr w:type="gramStart"/>
      <w:r w:rsidRPr="0006772F">
        <w:t>was</w:t>
      </w:r>
      <w:proofErr w:type="gramEnd"/>
      <w:r w:rsidRPr="0006772F">
        <w:t xml:space="preserve"> not </w:t>
      </w:r>
      <w:r w:rsidR="00BE1B95">
        <w:rPr>
          <w:rFonts w:hint="eastAsia"/>
        </w:rPr>
        <w:t>independent to each other</w:t>
      </w:r>
      <w:r w:rsidRPr="0006772F">
        <w:t>,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w:t>
      </w:r>
      <w:r w:rsidRPr="00C30FB0">
        <w:rPr>
          <w:i/>
          <w:iCs/>
        </w:rPr>
        <w:t xml:space="preserve">g </w:t>
      </w:r>
      <w:r w:rsidRPr="0006772F">
        <w:t>= 0.31 with human contact versus g = 0.26 without), echoing the adult finding of Tong et al. (2024) that support level did not meaningfully change outcomes. Baseline severity was the one dimension that diverged from prior work, as discussed below</w:t>
      </w:r>
      <w:r w:rsidR="00C30FB0">
        <w:rPr>
          <w:rFonts w:hint="eastAsia"/>
        </w:rPr>
        <w:t xml:space="preserve"> in 5.5.2</w:t>
      </w:r>
      <w:r w:rsidRPr="0006772F">
        <w:t>.</w:t>
      </w:r>
    </w:p>
    <w:p w14:paraId="0BE2CB77" w14:textId="08280EED" w:rsidR="0064448D" w:rsidRPr="006D6210" w:rsidRDefault="0006772F" w:rsidP="00C40EA7">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retained participants well even when their intended dose was relatively high.</w:t>
      </w:r>
      <w:bookmarkEnd w:id="93"/>
    </w:p>
    <w:bookmarkEnd w:id="94"/>
    <w:p w14:paraId="2314C40D" w14:textId="4EAC2D40" w:rsidR="000C3784" w:rsidRDefault="001F5182">
      <w:pPr>
        <w:pStyle w:val="2"/>
      </w:pPr>
      <w:r w:rsidRPr="001F5182">
        <w:t>5.3. Interpretation of Subgroup, Sensitivity, and Meta-Regression Findings</w:t>
      </w:r>
    </w:p>
    <w:p w14:paraId="355A16CF" w14:textId="152D8CF6" w:rsidR="0006772F" w:rsidRPr="00D56604" w:rsidRDefault="00EE1AD5" w:rsidP="00EE1AD5">
      <w:pPr>
        <w:pStyle w:val="3"/>
        <w:rPr>
          <w:rFonts w:eastAsiaTheme="minorEastAsia"/>
        </w:rPr>
      </w:pPr>
      <w:bookmarkStart w:id="95" w:name="OLE_LINK17"/>
      <w:r w:rsidRPr="00EE1AD5">
        <w:t>5.3.</w:t>
      </w:r>
      <w:bookmarkEnd w:id="95"/>
      <w:r w:rsidR="00D56604">
        <w:rPr>
          <w:rFonts w:eastAsiaTheme="minorEastAsia" w:hint="eastAsia"/>
        </w:rPr>
        <w:t>1 Contextual</w:t>
      </w:r>
      <w:r w:rsidR="00045918">
        <w:rPr>
          <w:rFonts w:eastAsiaTheme="minorEastAsia" w:hint="eastAsia"/>
        </w:rPr>
        <w:t xml:space="preserve"> dependence</w:t>
      </w:r>
      <w:r w:rsidR="00D56604">
        <w:rPr>
          <w:rFonts w:eastAsiaTheme="minorEastAsia" w:hint="eastAsia"/>
        </w:rPr>
        <w:t xml:space="preserve"> in observed effects</w:t>
      </w:r>
    </w:p>
    <w:p w14:paraId="551AB409" w14:textId="25D83310" w:rsidR="006C2324" w:rsidRDefault="00E61DE1" w:rsidP="0030037E">
      <w:pPr>
        <w:spacing w:after="120" w:line="360" w:lineRule="auto"/>
        <w:ind w:firstLine="360"/>
        <w:jc w:val="both"/>
      </w:pPr>
      <w:r w:rsidRPr="00E61DE1">
        <w:t>The trials fell into two broad groups. The first was a small set recruited from clinical services (Ranney et al., 2018; Wright et al., 2020; Stallard et al., 2024). These trials were embedded in routine clinical care, which makes them realistic but also demanding, because they enrolled severe or help-seeking adolescents and used active comparators. As a group they gave uniformly small effects (</w:t>
      </w:r>
      <w:r w:rsidRPr="00E61DE1">
        <w:rPr>
          <w:i/>
          <w:iCs/>
        </w:rPr>
        <w:t>g</w:t>
      </w:r>
      <w:r w:rsidRPr="00E61DE1">
        <w:t xml:space="preserve"> = 0.02 to 0.21) and sat at the bottom of the range. Within this group the contextual </w:t>
      </w:r>
      <w:r w:rsidR="00045918">
        <w:t>dependence</w:t>
      </w:r>
      <w:r w:rsidRPr="00E61DE1">
        <w:t xml:space="preserve"> was hard to see. Only three trials were available, and although they had a clearly defined, high-need population</w:t>
      </w:r>
      <w:r>
        <w:t>—</w:t>
      </w:r>
      <w:r w:rsidRPr="00E61DE1">
        <w:t xml:space="preserve">a feature that went with larger effects elsewhere, they still produced small effects. </w:t>
      </w:r>
      <w:r>
        <w:rPr>
          <w:rFonts w:hint="eastAsia"/>
        </w:rPr>
        <w:t>Also, t</w:t>
      </w:r>
      <w:r w:rsidRPr="00E61DE1">
        <w:t xml:space="preserve">heir active comparators, and delivery that mostly took place outside a fixed setting, likely pulled in the opposite direction. </w:t>
      </w:r>
    </w:p>
    <w:p w14:paraId="393DD9F4" w14:textId="158EF236" w:rsidR="0030037E" w:rsidRDefault="00E61DE1" w:rsidP="006C2324">
      <w:pPr>
        <w:spacing w:after="120" w:line="360" w:lineRule="auto"/>
        <w:ind w:firstLine="360"/>
        <w:jc w:val="both"/>
      </w:pPr>
      <w:r w:rsidRPr="00E61DE1">
        <w:t>The second group was the trials run in general settings such as schools, communities, and online platforms, where effects ranged widely.</w:t>
      </w:r>
      <w:r w:rsidR="006C2324">
        <w:rPr>
          <w:rFonts w:hint="eastAsia"/>
        </w:rPr>
        <w:t xml:space="preserve"> </w:t>
      </w:r>
      <w:r w:rsidR="0030037E" w:rsidRPr="0030037E">
        <w:t xml:space="preserve">Within this second group, a contextual </w:t>
      </w:r>
      <w:r w:rsidR="00045918">
        <w:t>dependence</w:t>
      </w:r>
      <w:r w:rsidR="0030037E" w:rsidRPr="0030037E">
        <w:t xml:space="preserve"> appeared. Larger effects tended to occur with a bounded setting, a clearly defined or high-need target group, and a close fit between the program and its intended users. The clearest cases at the high end were the three trials in which the program was used at school (Fleming et al., 2012; Smith et al., 2015; Stasiak et al., 2014), which gave the largest effects </w:t>
      </w:r>
      <w:proofErr w:type="gramStart"/>
      <w:r w:rsidR="0030037E" w:rsidRPr="0030037E">
        <w:t>a</w:t>
      </w:r>
      <w:proofErr w:type="gramEnd"/>
      <w:r w:rsidR="00BC338F" w:rsidRPr="00BC338F">
        <w:t xml:space="preserve"> </w:t>
      </w:r>
      <w:r w:rsidR="00BC338F" w:rsidRPr="00BC338F">
        <w:t>apart from Ackerson et al. (1998), whose estimate should be interpreted cautiously because it was based on a small completer-only sample</w:t>
      </w:r>
      <w:r w:rsidR="00BC338F">
        <w:rPr>
          <w:rFonts w:hint="eastAsia"/>
        </w:rPr>
        <w:t>.</w:t>
      </w:r>
      <w:r w:rsidR="0030037E" w:rsidRPr="0030037E">
        <w:t xml:space="preserve"> Smaller or null effects were more common when recruitment was broad and online and when use was highly autonomous, that is, closer to real-world self-directed use. </w:t>
      </w:r>
      <w:r w:rsidR="0046486E">
        <w:rPr>
          <w:rFonts w:hint="eastAsia"/>
        </w:rPr>
        <w:t>It is also worth noting that no</w:t>
      </w:r>
      <w:r w:rsidR="0030037E" w:rsidRPr="0030037E">
        <w:t xml:space="preserve"> single feature explains this </w:t>
      </w:r>
      <w:r w:rsidR="00045918">
        <w:t>dependence</w:t>
      </w:r>
      <w:r w:rsidR="0030037E" w:rsidRPr="0030037E">
        <w:t xml:space="preserve">. </w:t>
      </w:r>
      <w:r w:rsidR="0046486E">
        <w:rPr>
          <w:rFonts w:hint="eastAsia"/>
        </w:rPr>
        <w:t xml:space="preserve">For example, </w:t>
      </w:r>
      <w:r w:rsidR="00BC338F">
        <w:rPr>
          <w:rFonts w:hint="eastAsia"/>
        </w:rPr>
        <w:t>s</w:t>
      </w:r>
      <w:r w:rsidR="0030037E" w:rsidRPr="0030037E">
        <w:t xml:space="preserve">ome of the largest effects came from passive-comparator trials, but passive-comparator trials </w:t>
      </w:r>
      <w:r w:rsidR="0030037E" w:rsidRPr="0030037E">
        <w:lastRenderedPageBreak/>
        <w:t>also produced some of the smallest and null effects. The variation therefore seems to depend on how the population, the setting, the comparator, the program fit, and the degree of autonomous use combined within each trial.</w:t>
      </w:r>
    </w:p>
    <w:p w14:paraId="08110C8A" w14:textId="736ACE3B" w:rsidR="00154104" w:rsidRPr="00154104" w:rsidRDefault="00154104" w:rsidP="00154104">
      <w:pPr>
        <w:spacing w:after="120" w:line="360" w:lineRule="auto"/>
        <w:ind w:firstLine="360"/>
        <w:jc w:val="both"/>
        <w:rPr>
          <w:rFonts w:hint="eastAsia"/>
        </w:rPr>
      </w:pPr>
      <w:r w:rsidRPr="00154104">
        <w:t xml:space="preserve">Two within-program comparisons make this concrete, because they hold the program constant and change only the context. The clearer one is SPARX, tested by Fleming et al. (2012) and </w:t>
      </w:r>
      <w:proofErr w:type="spellStart"/>
      <w:r w:rsidRPr="00154104">
        <w:t>Poppelaars</w:t>
      </w:r>
      <w:proofErr w:type="spellEnd"/>
      <w:r w:rsidRPr="00154104">
        <w:t xml:space="preserve"> et al. (2016). Both used a computer </w:t>
      </w:r>
      <w:proofErr w:type="gramStart"/>
      <w:r w:rsidRPr="00154104">
        <w:t>program</w:t>
      </w:r>
      <w:proofErr w:type="gramEnd"/>
      <w:r w:rsidRPr="00154104">
        <w:t xml:space="preserve"> and both used a waitlist comparator. </w:t>
      </w:r>
      <w:r w:rsidR="00212F77" w:rsidRPr="00212F77">
        <w:t>Fleming et al. recruited a small, high-need sample in alternative education settings, where the program was completed on site during class time with minimal non-therapeutic support, and reported a very large effect (g = 1.51). This large effect may partly reflect the fit between SPARX and this implementation context: whole-class or opt-out recruitment and on-site use may have reduced the need for individual help-seeking and made engagement easier for this group.</w:t>
      </w:r>
      <w:r w:rsidR="00BC338F">
        <w:rPr>
          <w:rFonts w:hint="eastAsia"/>
        </w:rPr>
        <w:t xml:space="preserve"> </w:t>
      </w:r>
      <w:proofErr w:type="spellStart"/>
      <w:r w:rsidRPr="00154104">
        <w:t>Poppelaars</w:t>
      </w:r>
      <w:proofErr w:type="spellEnd"/>
      <w:r w:rsidRPr="00154104">
        <w:t xml:space="preserve"> et al. recruited a larger, milder, all-female sample from mainstream schools and gave the same program for home </w:t>
      </w:r>
      <w:proofErr w:type="gramStart"/>
      <w:r w:rsidRPr="00154104">
        <w:t>use, and</w:t>
      </w:r>
      <w:proofErr w:type="gramEnd"/>
      <w:r w:rsidRPr="00154104">
        <w:t xml:space="preserve"> reported a null effect (g = −0.01). Because the program, the delivery format, and the comparator are the same, the difference points to the population and the place of use, not to the program. </w:t>
      </w:r>
      <w:r w:rsidR="00AD15F5">
        <w:rPr>
          <w:rFonts w:hint="eastAsia"/>
        </w:rPr>
        <w:t>However,</w:t>
      </w:r>
      <w:r w:rsidR="00102DA3">
        <w:rPr>
          <w:rFonts w:hint="eastAsia"/>
        </w:rPr>
        <w:t xml:space="preserve"> it is also worth noting that</w:t>
      </w:r>
      <w:r w:rsidR="00AD15F5">
        <w:rPr>
          <w:rFonts w:hint="eastAsia"/>
        </w:rPr>
        <w:t xml:space="preserve"> </w:t>
      </w:r>
      <w:r w:rsidRPr="00154104">
        <w:t xml:space="preserve">Fleming et al. sample was very small (n = 30), so its estimate </w:t>
      </w:r>
      <w:r w:rsidR="00AD15F5">
        <w:rPr>
          <w:rFonts w:hint="eastAsia"/>
        </w:rPr>
        <w:t>should be taken with caution.</w:t>
      </w:r>
    </w:p>
    <w:p w14:paraId="111ABD9D" w14:textId="04EC5057" w:rsidR="00154104" w:rsidRPr="00154104" w:rsidRDefault="00154104" w:rsidP="00154104">
      <w:pPr>
        <w:spacing w:after="120" w:line="360" w:lineRule="auto"/>
        <w:ind w:firstLine="360"/>
        <w:jc w:val="both"/>
      </w:pPr>
      <w:r w:rsidRPr="00154104">
        <w:t xml:space="preserve">The second comparison is Stressbusters, tested by Smith et al. (2015) and Wright et al. (2020). Smith et al. recruited a school sample with mild-to-moderate symptoms, used a passive comparator, and reported a large effect (g = 0.82). Wright et al. recruited a clinically referred sample with severe symptoms, used an attention control, and reported a small effect (g = 0.11). Here three things differ at the same time: the comparator, the setting, and the </w:t>
      </w:r>
      <w:r w:rsidR="00B71BE8">
        <w:rPr>
          <w:rFonts w:hint="eastAsia"/>
        </w:rPr>
        <w:t>clinical-or-general setting</w:t>
      </w:r>
      <w:r w:rsidRPr="00154104">
        <w:t xml:space="preserve">. </w:t>
      </w:r>
    </w:p>
    <w:p w14:paraId="49E8DB58" w14:textId="5A00911C" w:rsidR="00154104" w:rsidRPr="00154104" w:rsidRDefault="00154104" w:rsidP="00154104">
      <w:pPr>
        <w:spacing w:after="120" w:line="360" w:lineRule="auto"/>
        <w:ind w:firstLine="360"/>
        <w:jc w:val="both"/>
      </w:pPr>
      <w:r w:rsidRPr="00154104">
        <w:t>The two O'Dea trials show the same logic from the screening side. O'Dea et al. (2020) recruited fully online with no exclusion criteria and used a waitlist comparator (g = −0.17). O'Dea et al. (2025) added a symptom-based screen and youth co-design and used an attention control (g = 0.35). A waitlist usually raises the apparent effect, so the comparator difference would predict the opposite order</w:t>
      </w:r>
      <w:r w:rsidR="00F94CA4">
        <w:rPr>
          <w:rFonts w:hint="eastAsia"/>
        </w:rPr>
        <w:t>,</w:t>
      </w:r>
      <w:r w:rsidRPr="00154104">
        <w:t xml:space="preserve"> </w:t>
      </w:r>
      <w:r w:rsidR="00F94CA4">
        <w:rPr>
          <w:rFonts w:hint="eastAsia"/>
        </w:rPr>
        <w:t>thus</w:t>
      </w:r>
      <w:r w:rsidRPr="00154104">
        <w:t xml:space="preserve"> higher result for the 2025 trial therefore points to screening and design rather than to the comparator. O'Dea et al. (2020) was the only included trial with no exclusion criteria.</w:t>
      </w:r>
    </w:p>
    <w:p w14:paraId="0533985D" w14:textId="77777777" w:rsidR="00154104" w:rsidRDefault="00154104" w:rsidP="00154104">
      <w:pPr>
        <w:spacing w:after="120" w:line="360" w:lineRule="auto"/>
        <w:ind w:firstLine="360"/>
        <w:jc w:val="both"/>
      </w:pPr>
      <w:r w:rsidRPr="00154104">
        <w:t>Taken together, these comparisons support one reading. The effect of unguided self-help CBT is not a fixed value attached to one program or one component. It depends on who is reached, how severe their symptoms are, what they are compared against, and how closely the trial matches real-world autonomous use. Delivery format changed over time, from bibliotherapy in the earliest trials, to stand-alone computer programs, to mobile applications in the most recent trials. Because the era and the usual deployment style changed together, delivery format is better read as a marker of when and how a trial was run than as a separate cause.</w:t>
      </w:r>
    </w:p>
    <w:p w14:paraId="4E9E095E" w14:textId="1364B5F2" w:rsidR="00AD3EA4" w:rsidRDefault="00DB1337" w:rsidP="00F94CA4">
      <w:pPr>
        <w:spacing w:after="120" w:line="360" w:lineRule="auto"/>
        <w:ind w:firstLine="360"/>
        <w:jc w:val="both"/>
        <w:rPr>
          <w:rFonts w:hint="eastAsia"/>
        </w:rPr>
      </w:pPr>
      <w:r>
        <w:rPr>
          <w:rFonts w:hint="eastAsia"/>
        </w:rPr>
        <w:lastRenderedPageBreak/>
        <w:t>Another t</w:t>
      </w:r>
      <w:r w:rsidR="00AD3EA4" w:rsidRPr="00AD3EA4">
        <w:t>wo cautions follow. First, a small symptom-reduction effect in a severe or clinically referred sample does not mean that these trials contribute less. Second, symptom reduction may understate the value of unguided self-help for other outcomes commonly understood as intervention effects, such as preventing depressive disorder onset, although this value also appears to depend on the implementation context. To illustrate, in the efficacy trial by Stice et al. (2008, 2010), Feeling Good bibliotherapy did not show a sustained advantage for depressive symptoms, but two-year major/minor depressive disorder onset was about 3% in the bibliotherapy condition, compared with about 14% in therapist-led</w:t>
      </w:r>
      <w:r w:rsidR="00B7783D">
        <w:rPr>
          <w:rFonts w:hint="eastAsia"/>
        </w:rPr>
        <w:t xml:space="preserve"> </w:t>
      </w:r>
      <w:r w:rsidR="00B7783D">
        <w:t>cognitive</w:t>
      </w:r>
      <w:r w:rsidR="00B7783D">
        <w:rPr>
          <w:rFonts w:hint="eastAsia"/>
        </w:rPr>
        <w:t>-behavioral (CB)</w:t>
      </w:r>
      <w:r w:rsidR="00AD3EA4" w:rsidRPr="00AD3EA4">
        <w:t xml:space="preserve"> group, 15% in therapist-led supportive-expressive therapy, and 23% in the brochure control condition. The authors suggested that one possible advantage of bibliotherapy was that participants could return to the book when symptoms worsened. The present meta-analysis primarily captures symptom effect sizes and therefore cannot fully represent other forms of preventive value.</w:t>
      </w:r>
    </w:p>
    <w:p w14:paraId="205F6638" w14:textId="214320B4" w:rsidR="00BA511C" w:rsidRPr="00091E4E" w:rsidRDefault="0006772F" w:rsidP="00091E4E">
      <w:pPr>
        <w:pStyle w:val="3"/>
        <w:rPr>
          <w:rFonts w:eastAsiaTheme="minorEastAsia" w:hint="eastAsia"/>
        </w:rPr>
      </w:pPr>
      <w:bookmarkStart w:id="96" w:name="OLE_LINK86"/>
      <w:r w:rsidRPr="0006772F">
        <w:t>5.2.2. Why no moderator reached significance, and what the heterogeneity reflects</w:t>
      </w:r>
      <w:bookmarkEnd w:id="96"/>
    </w:p>
    <w:p w14:paraId="1A0486D8" w14:textId="5FBD9144" w:rsidR="00091E4E" w:rsidRPr="00EB3EA3" w:rsidRDefault="00091E4E" w:rsidP="00091E4E">
      <w:pPr>
        <w:spacing w:after="120" w:line="360" w:lineRule="auto"/>
        <w:ind w:firstLine="420"/>
        <w:jc w:val="both"/>
        <w:rPr>
          <w:rFonts w:hint="eastAsia"/>
        </w:rPr>
      </w:pPr>
      <w:r w:rsidRPr="00091E4E">
        <w:t>The subgroup results in Section 4.5 may look reassuring at first, but this impression is misleading. The overall analysis showed substantial and statistically significant heterogeneity (</w:t>
      </w:r>
      <w:r w:rsidRPr="00091E4E">
        <w:rPr>
          <w:i/>
          <w:iCs/>
        </w:rPr>
        <w:t>I</w:t>
      </w:r>
      <w:r w:rsidRPr="00091E4E">
        <w:t xml:space="preserve">² = 63%, </w:t>
      </w:r>
      <w:r w:rsidRPr="00091E4E">
        <w:rPr>
          <w:i/>
          <w:iCs/>
        </w:rPr>
        <w:t>τ</w:t>
      </w:r>
      <w:r w:rsidRPr="00091E4E">
        <w:t xml:space="preserve">² = 0.055, </w:t>
      </w:r>
      <w:proofErr w:type="gramStart"/>
      <w:r w:rsidRPr="00091E4E">
        <w:rPr>
          <w:i/>
          <w:iCs/>
        </w:rPr>
        <w:t>Q</w:t>
      </w:r>
      <w:r w:rsidRPr="00091E4E">
        <w:t>(</w:t>
      </w:r>
      <w:proofErr w:type="gramEnd"/>
      <w:r w:rsidRPr="00091E4E">
        <w:t xml:space="preserve">13) = 35.34, </w:t>
      </w:r>
      <w:r w:rsidRPr="00091E4E">
        <w:rPr>
          <w:i/>
          <w:iCs/>
        </w:rPr>
        <w:t>p</w:t>
      </w:r>
      <w:r w:rsidRPr="00091E4E">
        <w:t xml:space="preserve"> &lt; .001). At the same time, </w:t>
      </w:r>
      <w:r>
        <w:rPr>
          <w:rFonts w:hint="eastAsia"/>
        </w:rPr>
        <w:t>n</w:t>
      </w:r>
      <w:r w:rsidRPr="00091E4E">
        <w:t>o single moderator explained the heterogeneity on its own</w:t>
      </w:r>
      <w:r>
        <w:rPr>
          <w:rFonts w:hint="eastAsia"/>
        </w:rPr>
        <w:t>. T</w:t>
      </w:r>
      <w:r w:rsidRPr="00091E4E">
        <w:t>he test for subgroup differences was never significant (all p &gt; .16), and most subgroup contrasts ran in the expected direction, with interpersonal skills training the only exception. Three considerations account for why.</w:t>
      </w:r>
    </w:p>
    <w:p w14:paraId="5204A9A7" w14:textId="0EA4A269" w:rsidR="00091E4E" w:rsidRDefault="00091E4E" w:rsidP="00921B1E">
      <w:pPr>
        <w:spacing w:after="120" w:line="360" w:lineRule="auto"/>
        <w:ind w:firstLine="420"/>
        <w:jc w:val="both"/>
      </w:pPr>
      <w:r w:rsidRPr="00091E4E">
        <w:t>The first and most important is confounding. The trials with the largest effects tended to fall in the same subgroups. The four largest effects came from Fleming et al. (2012,</w:t>
      </w:r>
      <w:r w:rsidRPr="00B30C6E">
        <w:rPr>
          <w:i/>
          <w:iCs/>
        </w:rPr>
        <w:t xml:space="preserve"> g</w:t>
      </w:r>
      <w:r w:rsidRPr="00091E4E">
        <w:t xml:space="preserve"> = 1.51), Ackerson et al. (1998, </w:t>
      </w:r>
      <w:r w:rsidRPr="00B30C6E">
        <w:rPr>
          <w:i/>
          <w:iCs/>
        </w:rPr>
        <w:t>g</w:t>
      </w:r>
      <w:r w:rsidRPr="00091E4E">
        <w:t xml:space="preserve"> = 1.01), Smith et al. (2015, </w:t>
      </w:r>
      <w:r w:rsidRPr="00B30C6E">
        <w:rPr>
          <w:i/>
          <w:iCs/>
        </w:rPr>
        <w:t>g</w:t>
      </w:r>
      <w:r w:rsidRPr="00091E4E">
        <w:t xml:space="preserve"> = 0.82), and Stasiak et al. (2014, </w:t>
      </w:r>
      <w:r w:rsidRPr="00B30C6E">
        <w:rPr>
          <w:i/>
          <w:iCs/>
        </w:rPr>
        <w:t>g</w:t>
      </w:r>
      <w:r w:rsidRPr="00091E4E">
        <w:t xml:space="preserve"> = 0.53). As Table X shows, the higher-effect level of almost every moderator is simply the level that happens to contain these trials, and the size of the apparent advantage tracks how many of the four </w:t>
      </w:r>
      <w:proofErr w:type="gramStart"/>
      <w:r w:rsidRPr="00091E4E">
        <w:t>fall</w:t>
      </w:r>
      <w:proofErr w:type="gramEnd"/>
      <w:r w:rsidRPr="00091E4E">
        <w:t xml:space="preserve"> on that side. Homework, present in all four, showed the widest gap. Interpersonal skills training, where the four were split two and two, showed none, and baseline severity, where they were spread across levels, also showed none. The advantage of a level therefore cannot be attributed to the moderator itself. The same trials also drive the heterogeneity: the level that holds them is the more heterogeneous one, with a wider and less precise confidence interval, whereas the cleaner level gives a smaller but tighter and often significant effect. A larger subgroup effect here is thus a marker of a few influential trials, not of a robust moderator.</w:t>
      </w:r>
      <w:r>
        <w:rPr>
          <w:rFonts w:hint="eastAsia"/>
        </w:rPr>
        <w:t xml:space="preserve"> What</w:t>
      </w:r>
      <w:r>
        <w:t>’</w:t>
      </w:r>
      <w:r>
        <w:rPr>
          <w:rFonts w:hint="eastAsia"/>
        </w:rPr>
        <w:t>s more, s</w:t>
      </w:r>
      <w:r w:rsidRPr="00091E4E">
        <w:t>even of the fourteen trials belong to three program families: Feeling Good (three trials), SPARX (two), and Stressbusters (two). Trials that share a program also share its component profile and much of its design, so several feature contrasts are partly contrasts between programs rather than between the feature itself. This lowers the effective number of independent units below fourteen and adds to the confounding already described.</w:t>
      </w:r>
    </w:p>
    <w:p w14:paraId="515D4544" w14:textId="77777777" w:rsidR="00EA066C" w:rsidRDefault="00EA066C" w:rsidP="00921B1E">
      <w:pPr>
        <w:spacing w:after="120" w:line="360" w:lineRule="auto"/>
        <w:ind w:firstLine="420"/>
        <w:jc w:val="both"/>
      </w:pPr>
    </w:p>
    <w:p w14:paraId="1AF6E954" w14:textId="77777777" w:rsidR="00EA066C" w:rsidRDefault="00EA066C" w:rsidP="00921B1E">
      <w:pPr>
        <w:spacing w:after="120" w:line="360" w:lineRule="auto"/>
        <w:ind w:firstLine="420"/>
        <w:jc w:val="both"/>
      </w:pPr>
    </w:p>
    <w:p w14:paraId="03F01E69" w14:textId="77777777" w:rsidR="00EA066C" w:rsidRDefault="00EA066C" w:rsidP="00921B1E">
      <w:pPr>
        <w:spacing w:after="120" w:line="360" w:lineRule="auto"/>
        <w:ind w:firstLine="420"/>
        <w:jc w:val="both"/>
      </w:pPr>
    </w:p>
    <w:p w14:paraId="6B199805" w14:textId="77B2F2A5" w:rsidR="00EA066C" w:rsidRPr="00EA066C" w:rsidRDefault="00EA066C" w:rsidP="00EA066C">
      <w:pPr>
        <w:spacing w:after="120" w:line="360" w:lineRule="auto"/>
        <w:jc w:val="both"/>
        <w:rPr>
          <w:rFonts w:hint="eastAsia"/>
          <w:b/>
          <w:bCs/>
        </w:rPr>
      </w:pPr>
      <w:r w:rsidRPr="00EA066C">
        <w:rPr>
          <w:b/>
          <w:bCs/>
        </w:rPr>
        <w:t>Table X. Higher-effect level of each moderator and the large trials it contains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2409"/>
        <w:gridCol w:w="3544"/>
        <w:gridCol w:w="703"/>
      </w:tblGrid>
      <w:tr w:rsidR="002942AA" w14:paraId="73C6CB69" w14:textId="77777777" w:rsidTr="00EA066C">
        <w:trPr>
          <w:jc w:val="center"/>
        </w:trPr>
        <w:tc>
          <w:tcPr>
            <w:tcW w:w="2694" w:type="dxa"/>
            <w:tcBorders>
              <w:top w:val="single" w:sz="8" w:space="0" w:color="auto"/>
              <w:bottom w:val="single" w:sz="4" w:space="0" w:color="auto"/>
            </w:tcBorders>
          </w:tcPr>
          <w:p w14:paraId="47FB8F08" w14:textId="0F8B2CB5" w:rsidR="002942AA" w:rsidRPr="00EA066C" w:rsidRDefault="002942AA" w:rsidP="00EA066C">
            <w:pPr>
              <w:spacing w:after="120" w:line="360" w:lineRule="auto"/>
              <w:rPr>
                <w:rFonts w:hint="eastAsia"/>
                <w:b/>
                <w:bCs/>
              </w:rPr>
            </w:pPr>
            <w:r w:rsidRPr="00EA066C">
              <w:rPr>
                <w:rFonts w:hint="eastAsia"/>
                <w:b/>
                <w:bCs/>
              </w:rPr>
              <w:t>Moderator</w:t>
            </w:r>
          </w:p>
        </w:tc>
        <w:tc>
          <w:tcPr>
            <w:tcW w:w="2409" w:type="dxa"/>
            <w:tcBorders>
              <w:top w:val="single" w:sz="8" w:space="0" w:color="auto"/>
              <w:bottom w:val="single" w:sz="4" w:space="0" w:color="auto"/>
            </w:tcBorders>
          </w:tcPr>
          <w:p w14:paraId="18AAF722" w14:textId="14644A2A" w:rsidR="002942AA" w:rsidRPr="00EA066C" w:rsidRDefault="00EA066C" w:rsidP="00EA066C">
            <w:pPr>
              <w:spacing w:after="120" w:line="360" w:lineRule="auto"/>
              <w:rPr>
                <w:rFonts w:hint="eastAsia"/>
                <w:b/>
                <w:bCs/>
              </w:rPr>
            </w:pPr>
            <w:r w:rsidRPr="00EA066C">
              <w:rPr>
                <w:b/>
                <w:bCs/>
              </w:rPr>
              <w:t>Higher-effect level</w:t>
            </w:r>
          </w:p>
        </w:tc>
        <w:tc>
          <w:tcPr>
            <w:tcW w:w="3544" w:type="dxa"/>
            <w:tcBorders>
              <w:top w:val="single" w:sz="8" w:space="0" w:color="auto"/>
              <w:bottom w:val="single" w:sz="4" w:space="0" w:color="auto"/>
            </w:tcBorders>
          </w:tcPr>
          <w:p w14:paraId="28F9BC26" w14:textId="0C96CB4B" w:rsidR="002942AA" w:rsidRPr="00EA066C" w:rsidRDefault="00EA066C" w:rsidP="00EA066C">
            <w:pPr>
              <w:spacing w:after="120" w:line="360" w:lineRule="auto"/>
              <w:rPr>
                <w:rFonts w:hint="eastAsia"/>
                <w:b/>
                <w:bCs/>
              </w:rPr>
            </w:pPr>
            <w:r w:rsidRPr="00EA066C">
              <w:rPr>
                <w:b/>
                <w:bCs/>
              </w:rPr>
              <w:t>Largest trials at that level</w:t>
            </w:r>
          </w:p>
        </w:tc>
        <w:tc>
          <w:tcPr>
            <w:tcW w:w="703" w:type="dxa"/>
            <w:tcBorders>
              <w:top w:val="single" w:sz="8" w:space="0" w:color="auto"/>
              <w:bottom w:val="single" w:sz="4" w:space="0" w:color="auto"/>
            </w:tcBorders>
          </w:tcPr>
          <w:p w14:paraId="71D782EE" w14:textId="54040B12" w:rsidR="002942AA" w:rsidRPr="00EA066C" w:rsidRDefault="00EA066C" w:rsidP="00EA066C">
            <w:pPr>
              <w:spacing w:after="120" w:line="360" w:lineRule="auto"/>
              <w:rPr>
                <w:rFonts w:hint="eastAsia"/>
                <w:b/>
                <w:bCs/>
              </w:rPr>
            </w:pPr>
            <w:r w:rsidRPr="00EA066C">
              <w:rPr>
                <w:rFonts w:hint="eastAsia"/>
                <w:b/>
                <w:bCs/>
              </w:rPr>
              <w:t>n</w:t>
            </w:r>
          </w:p>
        </w:tc>
      </w:tr>
      <w:tr w:rsidR="002942AA" w14:paraId="4118EA6F" w14:textId="77777777" w:rsidTr="00EA066C">
        <w:trPr>
          <w:jc w:val="center"/>
        </w:trPr>
        <w:tc>
          <w:tcPr>
            <w:tcW w:w="2694" w:type="dxa"/>
            <w:tcBorders>
              <w:top w:val="single" w:sz="4" w:space="0" w:color="auto"/>
              <w:bottom w:val="nil"/>
            </w:tcBorders>
          </w:tcPr>
          <w:p w14:paraId="2C766B2A" w14:textId="435B5B41" w:rsidR="002942AA" w:rsidRDefault="002942AA" w:rsidP="00EA066C">
            <w:pPr>
              <w:spacing w:after="120" w:line="360" w:lineRule="auto"/>
              <w:rPr>
                <w:rFonts w:hint="eastAsia"/>
              </w:rPr>
            </w:pPr>
            <w:r>
              <w:rPr>
                <w:rFonts w:hint="eastAsia"/>
              </w:rPr>
              <w:t>Control type</w:t>
            </w:r>
          </w:p>
        </w:tc>
        <w:tc>
          <w:tcPr>
            <w:tcW w:w="2409" w:type="dxa"/>
            <w:tcBorders>
              <w:top w:val="single" w:sz="4" w:space="0" w:color="auto"/>
              <w:bottom w:val="nil"/>
            </w:tcBorders>
          </w:tcPr>
          <w:p w14:paraId="55F9F303" w14:textId="66B2A727" w:rsidR="002942AA" w:rsidRDefault="00D42252" w:rsidP="00EA066C">
            <w:pPr>
              <w:spacing w:after="120" w:line="360" w:lineRule="auto"/>
              <w:rPr>
                <w:rFonts w:hint="eastAsia"/>
              </w:rPr>
            </w:pPr>
            <w:r>
              <w:rPr>
                <w:rFonts w:hint="eastAsia"/>
              </w:rPr>
              <w:t>Passive</w:t>
            </w:r>
          </w:p>
        </w:tc>
        <w:tc>
          <w:tcPr>
            <w:tcW w:w="3544" w:type="dxa"/>
            <w:tcBorders>
              <w:top w:val="single" w:sz="4" w:space="0" w:color="auto"/>
              <w:bottom w:val="nil"/>
            </w:tcBorders>
          </w:tcPr>
          <w:p w14:paraId="7C264301" w14:textId="17CC97A1" w:rsidR="002942AA" w:rsidRDefault="00D42252" w:rsidP="00EA066C">
            <w:pPr>
              <w:spacing w:after="120" w:line="360" w:lineRule="auto"/>
              <w:rPr>
                <w:rFonts w:hint="eastAsia"/>
              </w:rPr>
            </w:pPr>
            <w:r>
              <w:rPr>
                <w:rFonts w:hint="eastAsia"/>
              </w:rPr>
              <w:t>Ackerson; Fleming; Smith;</w:t>
            </w:r>
          </w:p>
        </w:tc>
        <w:tc>
          <w:tcPr>
            <w:tcW w:w="703" w:type="dxa"/>
            <w:tcBorders>
              <w:top w:val="single" w:sz="4" w:space="0" w:color="auto"/>
              <w:bottom w:val="nil"/>
            </w:tcBorders>
          </w:tcPr>
          <w:p w14:paraId="70ECA23D" w14:textId="522A1312" w:rsidR="002942AA" w:rsidRDefault="00D42252" w:rsidP="00EA066C">
            <w:pPr>
              <w:spacing w:after="120" w:line="360" w:lineRule="auto"/>
              <w:rPr>
                <w:rFonts w:hint="eastAsia"/>
              </w:rPr>
            </w:pPr>
            <w:r>
              <w:rPr>
                <w:rFonts w:hint="eastAsia"/>
              </w:rPr>
              <w:t>3</w:t>
            </w:r>
          </w:p>
        </w:tc>
      </w:tr>
      <w:tr w:rsidR="002942AA" w14:paraId="265FEBAD" w14:textId="77777777" w:rsidTr="00EA066C">
        <w:trPr>
          <w:jc w:val="center"/>
        </w:trPr>
        <w:tc>
          <w:tcPr>
            <w:tcW w:w="2694" w:type="dxa"/>
            <w:tcBorders>
              <w:top w:val="nil"/>
            </w:tcBorders>
          </w:tcPr>
          <w:p w14:paraId="73E669EE" w14:textId="2BAD13BA" w:rsidR="002942AA" w:rsidRDefault="002942AA" w:rsidP="00EA066C">
            <w:pPr>
              <w:spacing w:after="120" w:line="360" w:lineRule="auto"/>
              <w:rPr>
                <w:rFonts w:hint="eastAsia"/>
              </w:rPr>
            </w:pPr>
            <w:r>
              <w:rPr>
                <w:rFonts w:hint="eastAsia"/>
              </w:rPr>
              <w:t>Baseline severity</w:t>
            </w:r>
          </w:p>
        </w:tc>
        <w:tc>
          <w:tcPr>
            <w:tcW w:w="2409" w:type="dxa"/>
            <w:tcBorders>
              <w:top w:val="nil"/>
            </w:tcBorders>
          </w:tcPr>
          <w:p w14:paraId="697AC5D8" w14:textId="611F00A4" w:rsidR="002942AA" w:rsidRDefault="00D42252" w:rsidP="00EA066C">
            <w:pPr>
              <w:spacing w:after="120" w:line="360" w:lineRule="auto"/>
              <w:rPr>
                <w:rFonts w:hint="eastAsia"/>
              </w:rPr>
            </w:pPr>
            <w:r>
              <w:rPr>
                <w:rFonts w:hint="eastAsia"/>
              </w:rPr>
              <w:t>Low</w:t>
            </w:r>
          </w:p>
        </w:tc>
        <w:tc>
          <w:tcPr>
            <w:tcW w:w="3544" w:type="dxa"/>
            <w:tcBorders>
              <w:top w:val="nil"/>
            </w:tcBorders>
          </w:tcPr>
          <w:p w14:paraId="19F20B49" w14:textId="226000CE" w:rsidR="002942AA" w:rsidRDefault="00D42252" w:rsidP="00EA066C">
            <w:pPr>
              <w:spacing w:after="120" w:line="360" w:lineRule="auto"/>
              <w:rPr>
                <w:rFonts w:hint="eastAsia"/>
              </w:rPr>
            </w:pPr>
            <w:r>
              <w:rPr>
                <w:rFonts w:hint="eastAsia"/>
              </w:rPr>
              <w:t>Ackerson; Smith; Stasiak;</w:t>
            </w:r>
          </w:p>
        </w:tc>
        <w:tc>
          <w:tcPr>
            <w:tcW w:w="703" w:type="dxa"/>
            <w:tcBorders>
              <w:top w:val="nil"/>
            </w:tcBorders>
          </w:tcPr>
          <w:p w14:paraId="2604EF60" w14:textId="580BA09F" w:rsidR="002942AA" w:rsidRDefault="00D42252" w:rsidP="00EA066C">
            <w:pPr>
              <w:spacing w:after="120" w:line="360" w:lineRule="auto"/>
              <w:rPr>
                <w:rFonts w:hint="eastAsia"/>
              </w:rPr>
            </w:pPr>
            <w:r>
              <w:rPr>
                <w:rFonts w:hint="eastAsia"/>
              </w:rPr>
              <w:t>3</w:t>
            </w:r>
          </w:p>
        </w:tc>
      </w:tr>
      <w:tr w:rsidR="002942AA" w14:paraId="213F1BB1" w14:textId="77777777" w:rsidTr="00EA066C">
        <w:trPr>
          <w:jc w:val="center"/>
        </w:trPr>
        <w:tc>
          <w:tcPr>
            <w:tcW w:w="2694" w:type="dxa"/>
          </w:tcPr>
          <w:p w14:paraId="48E10F5C" w14:textId="4A82CA1D" w:rsidR="002942AA" w:rsidRDefault="002942AA" w:rsidP="00EA066C">
            <w:pPr>
              <w:spacing w:after="120" w:line="360" w:lineRule="auto"/>
              <w:rPr>
                <w:rFonts w:hint="eastAsia"/>
              </w:rPr>
            </w:pPr>
            <w:r>
              <w:rPr>
                <w:rFonts w:hint="eastAsia"/>
              </w:rPr>
              <w:t>Human contact</w:t>
            </w:r>
          </w:p>
        </w:tc>
        <w:tc>
          <w:tcPr>
            <w:tcW w:w="2409" w:type="dxa"/>
          </w:tcPr>
          <w:p w14:paraId="7D170925" w14:textId="549C374A" w:rsidR="002942AA" w:rsidRDefault="00D42252" w:rsidP="00EA066C">
            <w:pPr>
              <w:spacing w:after="120" w:line="360" w:lineRule="auto"/>
              <w:rPr>
                <w:rFonts w:hint="eastAsia"/>
              </w:rPr>
            </w:pPr>
            <w:r>
              <w:rPr>
                <w:rFonts w:hint="eastAsia"/>
              </w:rPr>
              <w:t>Yes</w:t>
            </w:r>
          </w:p>
        </w:tc>
        <w:tc>
          <w:tcPr>
            <w:tcW w:w="3544" w:type="dxa"/>
          </w:tcPr>
          <w:p w14:paraId="3A5E8B3C" w14:textId="7205D9FF" w:rsidR="002942AA" w:rsidRDefault="00D42252" w:rsidP="00EA066C">
            <w:pPr>
              <w:spacing w:after="120" w:line="360" w:lineRule="auto"/>
              <w:rPr>
                <w:rFonts w:hint="eastAsia"/>
              </w:rPr>
            </w:pPr>
            <w:r>
              <w:rPr>
                <w:rFonts w:hint="eastAsia"/>
              </w:rPr>
              <w:t>Ackerson; Fleming</w:t>
            </w:r>
          </w:p>
        </w:tc>
        <w:tc>
          <w:tcPr>
            <w:tcW w:w="703" w:type="dxa"/>
          </w:tcPr>
          <w:p w14:paraId="77C6D0A4" w14:textId="6588FB0E" w:rsidR="002942AA" w:rsidRDefault="00D42252" w:rsidP="00EA066C">
            <w:pPr>
              <w:spacing w:after="120" w:line="360" w:lineRule="auto"/>
              <w:rPr>
                <w:rFonts w:hint="eastAsia"/>
              </w:rPr>
            </w:pPr>
            <w:r>
              <w:rPr>
                <w:rFonts w:hint="eastAsia"/>
              </w:rPr>
              <w:t>2</w:t>
            </w:r>
          </w:p>
        </w:tc>
      </w:tr>
      <w:tr w:rsidR="002942AA" w14:paraId="00B77156" w14:textId="77777777" w:rsidTr="00EA066C">
        <w:trPr>
          <w:jc w:val="center"/>
        </w:trPr>
        <w:tc>
          <w:tcPr>
            <w:tcW w:w="2694" w:type="dxa"/>
          </w:tcPr>
          <w:p w14:paraId="0D160F60" w14:textId="4B17C705" w:rsidR="002942AA" w:rsidRDefault="002942AA" w:rsidP="00EA066C">
            <w:pPr>
              <w:spacing w:after="120" w:line="360" w:lineRule="auto"/>
              <w:rPr>
                <w:rFonts w:hint="eastAsia"/>
              </w:rPr>
            </w:pPr>
            <w:r>
              <w:rPr>
                <w:rFonts w:hint="eastAsia"/>
              </w:rPr>
              <w:t>Relaxation</w:t>
            </w:r>
          </w:p>
        </w:tc>
        <w:tc>
          <w:tcPr>
            <w:tcW w:w="2409" w:type="dxa"/>
          </w:tcPr>
          <w:p w14:paraId="22588096" w14:textId="48FC30B0" w:rsidR="002942AA" w:rsidRDefault="00D42252" w:rsidP="00EA066C">
            <w:pPr>
              <w:spacing w:after="120" w:line="360" w:lineRule="auto"/>
              <w:rPr>
                <w:rFonts w:hint="eastAsia"/>
              </w:rPr>
            </w:pPr>
            <w:r>
              <w:rPr>
                <w:rFonts w:hint="eastAsia"/>
              </w:rPr>
              <w:t>Present</w:t>
            </w:r>
          </w:p>
        </w:tc>
        <w:tc>
          <w:tcPr>
            <w:tcW w:w="3544" w:type="dxa"/>
          </w:tcPr>
          <w:p w14:paraId="0268E477" w14:textId="7D1D699A" w:rsidR="002942AA" w:rsidRDefault="00D42252" w:rsidP="00EA066C">
            <w:pPr>
              <w:spacing w:after="120" w:line="360" w:lineRule="auto"/>
              <w:rPr>
                <w:rFonts w:hint="eastAsia"/>
              </w:rPr>
            </w:pPr>
            <w:r>
              <w:rPr>
                <w:rFonts w:hint="eastAsia"/>
              </w:rPr>
              <w:t>Fleming; Stasiak</w:t>
            </w:r>
          </w:p>
        </w:tc>
        <w:tc>
          <w:tcPr>
            <w:tcW w:w="703" w:type="dxa"/>
          </w:tcPr>
          <w:p w14:paraId="3849C280" w14:textId="1CA26E77" w:rsidR="002942AA" w:rsidRDefault="00D42252" w:rsidP="00EA066C">
            <w:pPr>
              <w:spacing w:after="120" w:line="360" w:lineRule="auto"/>
              <w:rPr>
                <w:rFonts w:hint="eastAsia"/>
              </w:rPr>
            </w:pPr>
            <w:r>
              <w:rPr>
                <w:rFonts w:hint="eastAsia"/>
              </w:rPr>
              <w:t>2</w:t>
            </w:r>
          </w:p>
        </w:tc>
      </w:tr>
      <w:tr w:rsidR="002942AA" w14:paraId="4B10FC1C" w14:textId="77777777" w:rsidTr="00EA066C">
        <w:trPr>
          <w:jc w:val="center"/>
        </w:trPr>
        <w:tc>
          <w:tcPr>
            <w:tcW w:w="2694" w:type="dxa"/>
          </w:tcPr>
          <w:p w14:paraId="188392A3" w14:textId="15A64065" w:rsidR="002942AA" w:rsidRDefault="00D42252" w:rsidP="00EA066C">
            <w:pPr>
              <w:spacing w:after="120" w:line="360" w:lineRule="auto"/>
              <w:rPr>
                <w:rFonts w:hint="eastAsia"/>
              </w:rPr>
            </w:pPr>
            <w:r>
              <w:rPr>
                <w:rFonts w:hint="eastAsia"/>
              </w:rPr>
              <w:t>Problem-solving</w:t>
            </w:r>
          </w:p>
        </w:tc>
        <w:tc>
          <w:tcPr>
            <w:tcW w:w="2409" w:type="dxa"/>
          </w:tcPr>
          <w:p w14:paraId="0A9D3902" w14:textId="637C1264" w:rsidR="002942AA" w:rsidRDefault="00D42252" w:rsidP="00EA066C">
            <w:pPr>
              <w:spacing w:after="120" w:line="360" w:lineRule="auto"/>
              <w:rPr>
                <w:rFonts w:hint="eastAsia"/>
              </w:rPr>
            </w:pPr>
            <w:r>
              <w:rPr>
                <w:rFonts w:hint="eastAsia"/>
              </w:rPr>
              <w:t>Present</w:t>
            </w:r>
          </w:p>
        </w:tc>
        <w:tc>
          <w:tcPr>
            <w:tcW w:w="3544" w:type="dxa"/>
          </w:tcPr>
          <w:p w14:paraId="6D4F66BD" w14:textId="26625B3B" w:rsidR="002942AA" w:rsidRDefault="00BB1264" w:rsidP="00EA066C">
            <w:pPr>
              <w:spacing w:after="120" w:line="360" w:lineRule="auto"/>
              <w:rPr>
                <w:rFonts w:hint="eastAsia"/>
              </w:rPr>
            </w:pPr>
            <w:r>
              <w:rPr>
                <w:rFonts w:hint="eastAsia"/>
              </w:rPr>
              <w:t>Fleming; Stasiak; Smith</w:t>
            </w:r>
          </w:p>
        </w:tc>
        <w:tc>
          <w:tcPr>
            <w:tcW w:w="703" w:type="dxa"/>
          </w:tcPr>
          <w:p w14:paraId="4CA0ACC6" w14:textId="2652B290" w:rsidR="002942AA" w:rsidRDefault="00BB1264" w:rsidP="00EA066C">
            <w:pPr>
              <w:spacing w:after="120" w:line="360" w:lineRule="auto"/>
              <w:rPr>
                <w:rFonts w:hint="eastAsia"/>
              </w:rPr>
            </w:pPr>
            <w:r>
              <w:rPr>
                <w:rFonts w:hint="eastAsia"/>
              </w:rPr>
              <w:t>3</w:t>
            </w:r>
          </w:p>
        </w:tc>
      </w:tr>
      <w:tr w:rsidR="002942AA" w14:paraId="1DF75739" w14:textId="77777777" w:rsidTr="00EA066C">
        <w:trPr>
          <w:jc w:val="center"/>
        </w:trPr>
        <w:tc>
          <w:tcPr>
            <w:tcW w:w="2694" w:type="dxa"/>
          </w:tcPr>
          <w:p w14:paraId="65A4ADF7" w14:textId="5ED16217" w:rsidR="002942AA" w:rsidRDefault="00D42252" w:rsidP="00EA066C">
            <w:pPr>
              <w:spacing w:after="120" w:line="360" w:lineRule="auto"/>
              <w:rPr>
                <w:rFonts w:hint="eastAsia"/>
              </w:rPr>
            </w:pPr>
            <w:r>
              <w:rPr>
                <w:rFonts w:hint="eastAsia"/>
              </w:rPr>
              <w:t>Homework</w:t>
            </w:r>
          </w:p>
        </w:tc>
        <w:tc>
          <w:tcPr>
            <w:tcW w:w="2409" w:type="dxa"/>
          </w:tcPr>
          <w:p w14:paraId="79B2B6DE" w14:textId="451A21F3" w:rsidR="002942AA" w:rsidRDefault="00D42252" w:rsidP="00EA066C">
            <w:pPr>
              <w:spacing w:after="120" w:line="360" w:lineRule="auto"/>
              <w:rPr>
                <w:rFonts w:hint="eastAsia"/>
              </w:rPr>
            </w:pPr>
            <w:r>
              <w:rPr>
                <w:rFonts w:hint="eastAsia"/>
              </w:rPr>
              <w:t>Present</w:t>
            </w:r>
          </w:p>
        </w:tc>
        <w:tc>
          <w:tcPr>
            <w:tcW w:w="3544" w:type="dxa"/>
          </w:tcPr>
          <w:p w14:paraId="231C00F9" w14:textId="4D892334" w:rsidR="002942AA" w:rsidRDefault="00BB1264" w:rsidP="00EA066C">
            <w:pPr>
              <w:spacing w:after="120" w:line="360" w:lineRule="auto"/>
              <w:rPr>
                <w:rFonts w:hint="eastAsia"/>
              </w:rPr>
            </w:pPr>
            <w:r>
              <w:rPr>
                <w:rFonts w:hint="eastAsia"/>
              </w:rPr>
              <w:t>Ackerson; Fleming; Stasiak; Smith</w:t>
            </w:r>
          </w:p>
        </w:tc>
        <w:tc>
          <w:tcPr>
            <w:tcW w:w="703" w:type="dxa"/>
          </w:tcPr>
          <w:p w14:paraId="581E5031" w14:textId="21186D31" w:rsidR="002942AA" w:rsidRDefault="00BB1264" w:rsidP="00EA066C">
            <w:pPr>
              <w:spacing w:after="120" w:line="360" w:lineRule="auto"/>
              <w:rPr>
                <w:rFonts w:hint="eastAsia"/>
              </w:rPr>
            </w:pPr>
            <w:r>
              <w:rPr>
                <w:rFonts w:hint="eastAsia"/>
              </w:rPr>
              <w:t>4</w:t>
            </w:r>
          </w:p>
        </w:tc>
      </w:tr>
      <w:tr w:rsidR="002942AA" w14:paraId="6E0C2BDB" w14:textId="77777777" w:rsidTr="00EA066C">
        <w:trPr>
          <w:jc w:val="center"/>
        </w:trPr>
        <w:tc>
          <w:tcPr>
            <w:tcW w:w="2694" w:type="dxa"/>
          </w:tcPr>
          <w:p w14:paraId="34D9DD01" w14:textId="23365E8F" w:rsidR="002942AA" w:rsidRDefault="00D42252" w:rsidP="00EA066C">
            <w:pPr>
              <w:spacing w:after="120" w:line="360" w:lineRule="auto"/>
              <w:rPr>
                <w:rFonts w:hint="eastAsia"/>
              </w:rPr>
            </w:pPr>
            <w:r>
              <w:rPr>
                <w:rFonts w:hint="eastAsia"/>
              </w:rPr>
              <w:t>Relapse prevention</w:t>
            </w:r>
          </w:p>
        </w:tc>
        <w:tc>
          <w:tcPr>
            <w:tcW w:w="2409" w:type="dxa"/>
          </w:tcPr>
          <w:p w14:paraId="25004B27" w14:textId="401B1D5A" w:rsidR="002942AA" w:rsidRDefault="00D42252" w:rsidP="00EA066C">
            <w:pPr>
              <w:spacing w:after="120" w:line="360" w:lineRule="auto"/>
              <w:rPr>
                <w:rFonts w:hint="eastAsia"/>
              </w:rPr>
            </w:pPr>
            <w:r>
              <w:rPr>
                <w:rFonts w:hint="eastAsia"/>
              </w:rPr>
              <w:t>Present</w:t>
            </w:r>
          </w:p>
        </w:tc>
        <w:tc>
          <w:tcPr>
            <w:tcW w:w="3544" w:type="dxa"/>
          </w:tcPr>
          <w:p w14:paraId="2913F39B" w14:textId="3BF38758" w:rsidR="002942AA" w:rsidRDefault="00BB1264" w:rsidP="00EA066C">
            <w:pPr>
              <w:spacing w:after="120" w:line="360" w:lineRule="auto"/>
              <w:rPr>
                <w:rFonts w:hint="eastAsia"/>
              </w:rPr>
            </w:pPr>
            <w:r>
              <w:rPr>
                <w:rFonts w:hint="eastAsia"/>
              </w:rPr>
              <w:t>Ackerson; Stasiak; Smith</w:t>
            </w:r>
          </w:p>
        </w:tc>
        <w:tc>
          <w:tcPr>
            <w:tcW w:w="703" w:type="dxa"/>
          </w:tcPr>
          <w:p w14:paraId="174FDE34" w14:textId="089C041A" w:rsidR="002942AA" w:rsidRDefault="00BB1264" w:rsidP="00EA066C">
            <w:pPr>
              <w:spacing w:after="120" w:line="360" w:lineRule="auto"/>
              <w:rPr>
                <w:rFonts w:hint="eastAsia"/>
              </w:rPr>
            </w:pPr>
            <w:r>
              <w:rPr>
                <w:rFonts w:hint="eastAsia"/>
              </w:rPr>
              <w:t>3</w:t>
            </w:r>
          </w:p>
        </w:tc>
      </w:tr>
      <w:tr w:rsidR="002942AA" w14:paraId="5900C61F" w14:textId="77777777" w:rsidTr="00EA066C">
        <w:trPr>
          <w:jc w:val="center"/>
        </w:trPr>
        <w:tc>
          <w:tcPr>
            <w:tcW w:w="2694" w:type="dxa"/>
          </w:tcPr>
          <w:p w14:paraId="63FB6EE3" w14:textId="486AEB41" w:rsidR="002942AA" w:rsidRDefault="00D42252" w:rsidP="00EA066C">
            <w:pPr>
              <w:spacing w:after="120" w:line="360" w:lineRule="auto"/>
              <w:rPr>
                <w:rFonts w:hint="eastAsia"/>
              </w:rPr>
            </w:pPr>
            <w:r>
              <w:rPr>
                <w:rFonts w:hint="eastAsia"/>
              </w:rPr>
              <w:t>Interpersonal skills training</w:t>
            </w:r>
          </w:p>
        </w:tc>
        <w:tc>
          <w:tcPr>
            <w:tcW w:w="2409" w:type="dxa"/>
          </w:tcPr>
          <w:p w14:paraId="3FD9DDE5" w14:textId="11D328BE" w:rsidR="002942AA" w:rsidRDefault="00D42252" w:rsidP="00EA066C">
            <w:pPr>
              <w:spacing w:after="120" w:line="360" w:lineRule="auto"/>
              <w:rPr>
                <w:rFonts w:hint="eastAsia"/>
              </w:rPr>
            </w:pPr>
            <w:r>
              <w:rPr>
                <w:rFonts w:hint="eastAsia"/>
              </w:rPr>
              <w:t>Absent</w:t>
            </w:r>
          </w:p>
        </w:tc>
        <w:tc>
          <w:tcPr>
            <w:tcW w:w="3544" w:type="dxa"/>
          </w:tcPr>
          <w:p w14:paraId="176AD2AE" w14:textId="1F93D785" w:rsidR="002942AA" w:rsidRDefault="00BB1264" w:rsidP="00EA066C">
            <w:pPr>
              <w:spacing w:after="120" w:line="360" w:lineRule="auto"/>
              <w:rPr>
                <w:rFonts w:hint="eastAsia"/>
              </w:rPr>
            </w:pPr>
            <w:r>
              <w:rPr>
                <w:rFonts w:hint="eastAsia"/>
              </w:rPr>
              <w:t>Fleming; Stasiak</w:t>
            </w:r>
          </w:p>
        </w:tc>
        <w:tc>
          <w:tcPr>
            <w:tcW w:w="703" w:type="dxa"/>
          </w:tcPr>
          <w:p w14:paraId="24227575" w14:textId="05BFCE67" w:rsidR="002942AA" w:rsidRDefault="00BB1264" w:rsidP="00EA066C">
            <w:pPr>
              <w:spacing w:after="120" w:line="360" w:lineRule="auto"/>
              <w:rPr>
                <w:rFonts w:hint="eastAsia"/>
              </w:rPr>
            </w:pPr>
            <w:r>
              <w:rPr>
                <w:rFonts w:hint="eastAsia"/>
              </w:rPr>
              <w:t>2</w:t>
            </w:r>
          </w:p>
        </w:tc>
      </w:tr>
    </w:tbl>
    <w:p w14:paraId="45B7BB07" w14:textId="2FF9C47A" w:rsidR="00921B1E" w:rsidRDefault="00921B1E" w:rsidP="002942AA">
      <w:pPr>
        <w:spacing w:after="120" w:line="360" w:lineRule="auto"/>
        <w:jc w:val="both"/>
        <w:rPr>
          <w:rFonts w:hint="eastAsia"/>
        </w:rPr>
      </w:pPr>
    </w:p>
    <w:p w14:paraId="1317C3B6" w14:textId="68B81C82" w:rsidR="009B4D1F" w:rsidRDefault="00091E4E" w:rsidP="00EA066C">
      <w:pPr>
        <w:spacing w:after="120" w:line="360" w:lineRule="auto"/>
        <w:jc w:val="both"/>
      </w:pPr>
      <w:r>
        <w:tab/>
      </w:r>
      <w:r w:rsidRPr="00091E4E">
        <w:t>The second consideration is statistical power. The number of included trials was small (</w:t>
      </w:r>
      <w:r w:rsidRPr="00B30C6E">
        <w:rPr>
          <w:i/>
          <w:iCs/>
        </w:rPr>
        <w:t>k</w:t>
      </w:r>
      <w:r w:rsidRPr="00091E4E">
        <w:t xml:space="preserve"> = 14</w:t>
      </w:r>
      <w:proofErr w:type="gramStart"/>
      <w:r w:rsidRPr="00091E4E">
        <w:t>), and</w:t>
      </w:r>
      <w:proofErr w:type="gramEnd"/>
      <w:r w:rsidRPr="00091E4E">
        <w:t xml:space="preserve"> splitting them into subgroups left as few as five trials on one side. The Hartung-Knapp adjustment widens the confidence intervals further, which makes a real between-group difference even harder to detect. A non-significant subgroup test under these conditions is uninformative. </w:t>
      </w:r>
    </w:p>
    <w:p w14:paraId="1C30EDB7" w14:textId="27414625" w:rsidR="00B30C6E" w:rsidRPr="009B4D1F" w:rsidRDefault="00B30C6E" w:rsidP="00EA066C">
      <w:pPr>
        <w:spacing w:after="120" w:line="360" w:lineRule="auto"/>
        <w:ind w:firstLine="420"/>
        <w:jc w:val="both"/>
        <w:rPr>
          <w:rFonts w:hint="eastAsia"/>
        </w:rPr>
      </w:pPr>
      <w:r w:rsidRPr="00B30C6E">
        <w:t xml:space="preserve">Finally, the significant overall heterogeneity means that the trial effects were more dispersed around the pooled estimate than would be expected from sampling error alone. The observed effects ranged from −0.17 to 1.51, and the prediction interval [−0.27, 0.80] suggests that the true effect in a new setting could range from slightly negative to large. This dispersion was not reducible to any single moderator. Some of the visible spread and many of the apparent subgroup advantages came from a small number of high-effect trials, but statistical heterogeneity is weighted by study precision, so these trials should not be assumed to be the sole drivers of </w:t>
      </w:r>
      <w:r w:rsidRPr="00283152">
        <w:rPr>
          <w:i/>
          <w:iCs/>
        </w:rPr>
        <w:t>Q</w:t>
      </w:r>
      <w:r w:rsidRPr="00B30C6E">
        <w:t xml:space="preserve"> or </w:t>
      </w:r>
      <w:r w:rsidRPr="00283152">
        <w:rPr>
          <w:i/>
          <w:iCs/>
        </w:rPr>
        <w:t>I</w:t>
      </w:r>
      <w:r w:rsidRPr="00B30C6E">
        <w:t>². More plausibly, the heterogeneity reflects several features varying together, including study size, deployment context, intervention family, and possible small-study bias. Because the small, high-effect trials were also those conducted under more favorable deployment conditions, the present evidence can describe this pattern but cannot separate it into independent moderator effects.</w:t>
      </w:r>
    </w:p>
    <w:p w14:paraId="21028A38" w14:textId="5CA0F6DA" w:rsidR="00EE1AD5" w:rsidRDefault="0006772F" w:rsidP="00EE1AD5">
      <w:pPr>
        <w:pStyle w:val="3"/>
        <w:rPr>
          <w:rFonts w:eastAsiaTheme="minorEastAsia"/>
        </w:rPr>
      </w:pPr>
      <w:r w:rsidRPr="0006772F">
        <w:lastRenderedPageBreak/>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 xml:space="preserve">The main post-intervention result was robust to the planned and post-hoc checks. The leave-one-out analysis showed that omitting any single trial, including the outlier, left the pooled effect close to the original estimate (range </w:t>
      </w:r>
      <w:r w:rsidRPr="00A45E1D">
        <w:rPr>
          <w:i/>
          <w:iCs/>
        </w:rPr>
        <w:t xml:space="preserve">g </w:t>
      </w:r>
      <w:r w:rsidRPr="0006772F">
        <w:t>= 0.20 to 0.30), with all confidence intervals continuing to exclude zero. The planned sensitivity analyses pointed in the same direction: restricting to peer-reviewed journal articles (</w:t>
      </w:r>
      <w:r w:rsidRPr="00A45E1D">
        <w:rPr>
          <w:i/>
          <w:iCs/>
        </w:rPr>
        <w:t>g</w:t>
      </w:r>
      <w:r w:rsidRPr="0006772F">
        <w:t xml:space="preserve"> = 0.27), excluding high-risk-of-bias trials (</w:t>
      </w:r>
      <w:r w:rsidRPr="00A45E1D">
        <w:rPr>
          <w:i/>
          <w:iCs/>
        </w:rPr>
        <w:t>g</w:t>
      </w:r>
      <w:r w:rsidRPr="0006772F">
        <w:t xml:space="preserve"> = 0.22), and restricting to trials in which depression was the primary target (</w:t>
      </w:r>
      <w:r w:rsidRPr="00A45E1D">
        <w:rPr>
          <w:i/>
          <w:iCs/>
        </w:rPr>
        <w:t>g</w:t>
      </w:r>
      <w:r w:rsidRPr="0006772F">
        <w:t xml:space="preserve"> = 0.35) all preserved a small positive effect. The two post-hoc checks, restricting to endpoint-based effect sizes (</w:t>
      </w:r>
      <w:r w:rsidRPr="00A45E1D">
        <w:rPr>
          <w:i/>
          <w:iCs/>
        </w:rPr>
        <w:t>g</w:t>
      </w:r>
      <w:r w:rsidRPr="0006772F">
        <w:t xml:space="preserve"> = 0.22) and adding the cluster trial under a range of assumed intraclass correlation values (</w:t>
      </w:r>
      <w:r w:rsidRPr="00A45E1D">
        <w:rPr>
          <w:i/>
          <w:iCs/>
        </w:rPr>
        <w:t>g</w:t>
      </w:r>
      <w:r w:rsidRPr="0006772F">
        <w:t xml:space="preserve">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363109">
        <w:rPr>
          <w:i/>
          <w:iCs/>
        </w:rPr>
        <w:t>t</w:t>
      </w:r>
      <w:r w:rsidRPr="0006772F">
        <w:t>(</w:t>
      </w:r>
      <w:proofErr w:type="gramEnd"/>
      <w:r w:rsidRPr="0006772F">
        <w:t xml:space="preserve">12) = 1.82, </w:t>
      </w:r>
      <w:r w:rsidRPr="00363109">
        <w:rPr>
          <w:i/>
          <w:iCs/>
        </w:rPr>
        <w:t>p</w:t>
      </w:r>
      <w:r w:rsidRPr="0006772F">
        <w:t xml:space="preserve"> = .093) and the modified test for standardized mean differences (Pustejovsky &amp; Rodgers, 2019; </w:t>
      </w:r>
      <w:r w:rsidRPr="00363109">
        <w:rPr>
          <w:i/>
          <w:iCs/>
        </w:rPr>
        <w:t>t</w:t>
      </w:r>
      <w:r w:rsidRPr="0006772F">
        <w:t xml:space="preserve">(12) = 1.66, </w:t>
      </w:r>
      <w:r w:rsidRPr="00363109">
        <w:rPr>
          <w:i/>
          <w:iCs/>
        </w:rPr>
        <w:t>p</w:t>
      </w:r>
      <w:r w:rsidRPr="0006772F">
        <w:t xml:space="preserve">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w:t>
      </w:r>
      <w:r w:rsidRPr="00363109">
        <w:rPr>
          <w:i/>
          <w:iCs/>
        </w:rPr>
        <w:t xml:space="preserve">g </w:t>
      </w:r>
      <w:r w:rsidRPr="0006772F">
        <w:t xml:space="preserve">= 0.27 to </w:t>
      </w:r>
      <w:r w:rsidRPr="00363109">
        <w:rPr>
          <w:i/>
          <w:iCs/>
        </w:rPr>
        <w:t>g</w:t>
      </w:r>
      <w:r w:rsidRPr="0006772F">
        <w:t xml:space="preserve"> = 0.21, with the confidence interval then crossing zero (95% CI [−0.04, 0.47]). Small-study effects therefore cannot be ruled out, and the pooled effect should be interpreted with that uncertainty in mind.</w:t>
      </w:r>
    </w:p>
    <w:p w14:paraId="14F3D5D3" w14:textId="304B56D1"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r w:rsidR="00363109">
        <w:rPr>
          <w:rFonts w:hint="eastAsia"/>
        </w:rPr>
        <w:t xml:space="preserve"> and excluded it in the main analysis</w:t>
      </w:r>
      <w:r w:rsidRPr="0006772F">
        <w:t>.</w:t>
      </w:r>
    </w:p>
    <w:p w14:paraId="4B5DB2A5" w14:textId="77777777" w:rsidR="00434E1C" w:rsidRPr="00434E1C" w:rsidRDefault="00434E1C" w:rsidP="00434E1C">
      <w:pPr>
        <w:pStyle w:val="3"/>
      </w:pPr>
      <w:r w:rsidRPr="00434E1C">
        <w:t>5.2.4. Acceptability</w:t>
      </w:r>
    </w:p>
    <w:p w14:paraId="649B36A9" w14:textId="4567F9B7" w:rsidR="00434E1C" w:rsidRPr="00434E1C" w:rsidRDefault="00434E1C" w:rsidP="00434E1C">
      <w:pPr>
        <w:spacing w:after="120" w:line="360" w:lineRule="auto"/>
        <w:ind w:firstLine="360"/>
        <w:jc w:val="both"/>
      </w:pPr>
      <w:r w:rsidRPr="00434E1C">
        <w:t xml:space="preserve">The acceptability finding fits the same deployment </w:t>
      </w:r>
      <w:r w:rsidR="00045918">
        <w:t>dependence</w:t>
      </w:r>
      <w:r w:rsidRPr="00434E1C">
        <w:t xml:space="preserve">.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t>
      </w:r>
      <w:r w:rsidRPr="00434E1C">
        <w:lastRenderedPageBreak/>
        <w:t>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64FA31F1" w:rsidR="0006772F" w:rsidRPr="0006772F" w:rsidRDefault="00434E1C" w:rsidP="00434E1C">
      <w:pPr>
        <w:spacing w:after="120" w:line="360" w:lineRule="auto"/>
        <w:ind w:firstLine="360"/>
        <w:jc w:val="both"/>
        <w:rPr>
          <w:rFonts w:hint="eastAsia"/>
        </w:rPr>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w:t>
      </w:r>
      <w:r w:rsidRPr="008F7D0A">
        <w:rPr>
          <w:i/>
          <w:iCs/>
        </w:rPr>
        <w:t>I</w:t>
      </w:r>
      <w:r w:rsidRPr="00434E1C">
        <w:t xml:space="preserve">² = 13.6%). Reading the trials in context, the highest differential dropout occurred in the recent, large, naturalistic mobile trials, of which O'Dea et al. (2025) is the clearest example. By contrast, trials conducted in </w:t>
      </w:r>
      <w:proofErr w:type="gramStart"/>
      <w:r w:rsidRPr="00434E1C">
        <w:t>clinical</w:t>
      </w:r>
      <w:proofErr w:type="gramEnd"/>
      <w:r w:rsidRPr="00434E1C">
        <w:t xml:space="preserve"> or school settings</w:t>
      </w:r>
      <w:r w:rsidR="00F930B1">
        <w:rPr>
          <w:rFonts w:hint="eastAsia"/>
        </w:rPr>
        <w:t xml:space="preserve"> </w:t>
      </w:r>
      <w:r w:rsidRPr="00434E1C">
        <w:t>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r w:rsidR="00376AA2">
        <w:rPr>
          <w:rFonts w:hint="eastAsia"/>
        </w:rPr>
        <w:t xml:space="preserve"> </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w:t>
      </w:r>
      <w:r w:rsidRPr="00F930B1">
        <w:rPr>
          <w:i/>
          <w:iCs/>
        </w:rPr>
        <w:t>k</w:t>
      </w:r>
      <w:r w:rsidRPr="00C46AEA">
        <w:t xml:space="preserve"> = 3), </w:t>
      </w:r>
      <w:r w:rsidRPr="00C46AEA">
        <w:rPr>
          <w:i/>
          <w:iCs/>
        </w:rPr>
        <w:t>SPARX</w:t>
      </w:r>
      <w:r w:rsidRPr="00C46AEA">
        <w:t xml:space="preserve"> (</w:t>
      </w:r>
      <w:r w:rsidRPr="00F930B1">
        <w:rPr>
          <w:i/>
          <w:iCs/>
        </w:rPr>
        <w:t>k</w:t>
      </w:r>
      <w:r w:rsidRPr="00C46AEA">
        <w:t xml:space="preserve"> = 2), and </w:t>
      </w:r>
      <w:r w:rsidRPr="00C46AEA">
        <w:rPr>
          <w:i/>
          <w:iCs/>
        </w:rPr>
        <w:lastRenderedPageBreak/>
        <w:t>Stressbusters</w:t>
      </w:r>
      <w:r w:rsidRPr="00C46AEA">
        <w:t xml:space="preserve"> (</w:t>
      </w:r>
      <w:r w:rsidRPr="00F930B1">
        <w:rPr>
          <w:i/>
          <w:iCs/>
        </w:rPr>
        <w:t xml:space="preserve">k </w:t>
      </w:r>
      <w:r w:rsidRPr="00C46AEA">
        <w:t xml:space="preserve">=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6C81C80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structural feature of the field rather than poor conduct of individual trials, because blinding of participants and personnel is barely feasible in</w:t>
      </w:r>
      <w:r w:rsidR="00915C37">
        <w:rPr>
          <w:rFonts w:hint="eastAsia"/>
        </w:rPr>
        <w:t xml:space="preserve"> psychological setting, </w:t>
      </w:r>
      <w:r w:rsidR="00915C37">
        <w:t>especially</w:t>
      </w:r>
      <w:r w:rsidR="00915C37">
        <w:rPr>
          <w:rFonts w:hint="eastAsia"/>
        </w:rPr>
        <w:t xml:space="preserve"> in</w:t>
      </w:r>
      <w:r w:rsidRPr="00C46AEA">
        <w:t xml:space="preserve">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4729A40C" w14:textId="23874BE2" w:rsidR="00E26AE9" w:rsidRPr="003860E3" w:rsidRDefault="003860E3" w:rsidP="00E26AE9">
      <w:pPr>
        <w:spacing w:after="120" w:line="360" w:lineRule="auto"/>
        <w:ind w:firstLine="360"/>
        <w:jc w:val="both"/>
        <w:rPr>
          <w:rFonts w:hint="eastAsia"/>
        </w:rPr>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w:t>
      </w:r>
      <w:proofErr w:type="gramStart"/>
      <w:r>
        <w:rPr>
          <w:rFonts w:hint="eastAsia"/>
        </w:rPr>
        <w:t>publicly</w:t>
      </w:r>
      <w:proofErr w:type="gramEnd"/>
      <w:r>
        <w:rPr>
          <w:rFonts w:hint="eastAsia"/>
        </w:rPr>
        <w:t xml:space="preserve">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r w:rsidR="00E26AE9">
        <w:rPr>
          <w:rFonts w:hint="eastAsia"/>
        </w:rPr>
        <w:t>.</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 xml:space="preserve">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w:t>
      </w:r>
      <w:r w:rsidRPr="00C46AEA">
        <w:lastRenderedPageBreak/>
        <w:t>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BBBDDF" w:rsidR="00C46AEA" w:rsidRPr="00C46AEA" w:rsidRDefault="00C46AEA" w:rsidP="00C46AEA">
      <w:pPr>
        <w:spacing w:after="120" w:line="360" w:lineRule="auto"/>
        <w:ind w:firstLine="360"/>
        <w:jc w:val="both"/>
      </w:pPr>
      <w:r w:rsidRPr="00C46AEA">
        <w:t xml:space="preserve">Second, build supportive structure into the intervention rather than treating it as a feature of the research setting. The trials with the lowest dropout and the largest effects were typically those with a </w:t>
      </w:r>
      <w:r w:rsidR="00635E5E">
        <w:rPr>
          <w:rFonts w:hint="eastAsia"/>
        </w:rPr>
        <w:t>fixed setting like school</w:t>
      </w:r>
      <w:r w:rsidRPr="00C46AEA">
        <w:t xml:space="preserve">. These conditions are usually present during a trial and absent during real deployment. If a structured setting reliably </w:t>
      </w:r>
      <w:proofErr w:type="gramStart"/>
      <w:r w:rsidRPr="00C46AEA">
        <w:t>improve</w:t>
      </w:r>
      <w:proofErr w:type="gramEnd"/>
      <w:r w:rsidRPr="00C46AEA">
        <w:t xml:space="preser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0A86CC5" w14:textId="024C7AA9" w:rsidR="002F44C5" w:rsidRPr="00C46AEA" w:rsidRDefault="002F44C5" w:rsidP="00C46AEA">
      <w:pPr>
        <w:spacing w:after="120" w:line="360" w:lineRule="auto"/>
        <w:ind w:firstLine="360"/>
        <w:jc w:val="both"/>
        <w:rPr>
          <w:rFonts w:hint="eastAsia"/>
        </w:rPr>
      </w:pPr>
      <w:r w:rsidRPr="002F44C5">
        <w:t>Fourth, future trials should account for the changing digital help-seeking context created by generative AI. Most included trials were designed before large language models became widely available. This matters because newer conversational AI systems differ from earlier rule-based or retrieval-based mental health chatbots: rather than following largely pre-specified dialogue paths, they can provide more open-ended, immediate, and personalized interaction</w:t>
      </w:r>
      <w:r>
        <w:rPr>
          <w:rFonts w:hint="eastAsia"/>
        </w:rPr>
        <w:t xml:space="preserve"> (Li et al., 2023)</w:t>
      </w:r>
      <w:r w:rsidRPr="002F44C5">
        <w:t>. Recent survey evidence suggests that AI chatbots, especially ChatGPT, are already widely used by adolescents, while systematic reviews indicate that generative AI chatbots are promising but still insufficiently evaluated in adolescent and young-adult mental health contexts</w:t>
      </w:r>
      <w:r>
        <w:rPr>
          <w:rFonts w:hint="eastAsia"/>
        </w:rPr>
        <w:t xml:space="preserve"> (Pew Research Center, 2025; Clark et al., 2025)</w:t>
      </w:r>
      <w:r w:rsidRPr="002F44C5">
        <w:t>. This changed context may affect how adolescents experience unguided self-help CBT. Structured, self-paced CBT programs now coexist with more interactive and lower-effort forms of digital emotional support, which may alter expectations for immediacy, personalization, and engagement. Future trials should therefore consider generative AI as part of the broader digital environment when designing interventions and interpreting adherence, engagement, and dropout</w:t>
      </w:r>
      <w:r>
        <w:rPr>
          <w:rFonts w:hint="eastAsia"/>
        </w:rPr>
        <w:t xml:space="preserve"> (Feng et al., 2025)</w:t>
      </w:r>
      <w:r w:rsidRPr="002F44C5">
        <w:t>.</w:t>
      </w:r>
    </w:p>
    <w:p w14:paraId="00C0A49E" w14:textId="3CD07142" w:rsidR="00824877" w:rsidRPr="00094538" w:rsidRDefault="00824877" w:rsidP="00094538">
      <w:pPr>
        <w:pStyle w:val="3"/>
      </w:pPr>
      <w:bookmarkStart w:id="97" w:name="OLE_LINK87"/>
      <w:r w:rsidRPr="00824877">
        <w:t>5.4.2. For researchers conducting meta-analyses of psychological interventions</w:t>
      </w:r>
    </w:p>
    <w:p w14:paraId="4878B3C9" w14:textId="2504A5F8" w:rsidR="00FD0D01" w:rsidRPr="00C63515" w:rsidRDefault="00C46AEA" w:rsidP="0084720D">
      <w:pPr>
        <w:spacing w:after="120" w:line="360" w:lineRule="auto"/>
        <w:ind w:firstLine="360"/>
        <w:jc w:val="both"/>
        <w:rPr>
          <w:rFonts w:hint="eastAsia"/>
        </w:rPr>
      </w:pPr>
      <w:r w:rsidRPr="00C46AEA">
        <w:t xml:space="preserve">Two suggestions are offered for researchers undertaking similar work, including meta-analyses of psychological interventions more broadly. The first is to follow the groups doing frontier methodological </w:t>
      </w:r>
      <w:r w:rsidRPr="00C46AEA">
        <w:lastRenderedPageBreak/>
        <w:t xml:space="preserve">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r w:rsidR="008E39C8">
        <w:rPr>
          <w:rFonts w:hint="eastAsia"/>
        </w:rPr>
        <w:t xml:space="preserve"> </w:t>
      </w:r>
      <w:r w:rsidR="00330755" w:rsidRPr="00330755">
        <w:t>All in all, the researchers of the similar should bear in mind that</w:t>
      </w:r>
      <w:r w:rsidR="00330755">
        <w:rPr>
          <w:rFonts w:hint="eastAsia"/>
        </w:rPr>
        <w:t xml:space="preserve"> </w:t>
      </w:r>
      <w:r w:rsidR="00330755" w:rsidRPr="00330755">
        <w:t xml:space="preserve">psychological interventions are quite different from regular medical interventions that are more prevalent for meta-analysis work, many </w:t>
      </w:r>
      <w:proofErr w:type="gramStart"/>
      <w:r w:rsidR="00330755" w:rsidRPr="00330755">
        <w:t>standard</w:t>
      </w:r>
      <w:proofErr w:type="gramEnd"/>
      <w:r w:rsidR="00330755" w:rsidRPr="00330755">
        <w:t xml:space="preserve"> are not compatible with our works, so additional interpretive work is needed.</w:t>
      </w:r>
    </w:p>
    <w:bookmarkEnd w:id="40"/>
    <w:bookmarkEnd w:id="97"/>
    <w:p w14:paraId="3CD756E0" w14:textId="77777777" w:rsidR="00013C4F" w:rsidRDefault="00013C4F" w:rsidP="00013C4F">
      <w:pPr>
        <w:pStyle w:val="2"/>
      </w:pPr>
      <w:r>
        <w:t>5.6. Conclusion</w:t>
      </w:r>
    </w:p>
    <w:p w14:paraId="34CA77D7" w14:textId="77777777" w:rsidR="00C51F14" w:rsidRDefault="00013C4F" w:rsidP="009E10A8">
      <w:pPr>
        <w:spacing w:after="120" w:line="360" w:lineRule="auto"/>
        <w:ind w:firstLine="360"/>
        <w:jc w:val="both"/>
      </w:pPr>
      <w:bookmarkStart w:id="98" w:name="OLE_LINK99"/>
      <w:r>
        <w:rPr>
          <w:rFonts w:asciiTheme="minorEastAsia" w:hAnsiTheme="minorEastAsia" w:hint="eastAsia"/>
        </w:rPr>
        <w:t>T</w:t>
      </w:r>
      <w:r w:rsidRPr="00824877">
        <w:t>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w:t>
      </w:r>
      <w:r w:rsidRPr="00330755">
        <w:rPr>
          <w:i/>
          <w:iCs/>
        </w:rPr>
        <w:t>g</w:t>
      </w:r>
      <w:r w:rsidRPr="00824877">
        <w:t xml:space="preserve"> = 0.27), an effect that reached the upper part of the small range by current benchmarks for this population and that proved robust to leave-one-out and sensitivity analyses, although small-study effects could not be entirely ruled out. </w:t>
      </w:r>
    </w:p>
    <w:p w14:paraId="6113CFA5" w14:textId="77777777" w:rsidR="00C51F14" w:rsidRDefault="00013C4F" w:rsidP="009E10A8">
      <w:pPr>
        <w:spacing w:after="120" w:line="360" w:lineRule="auto"/>
        <w:ind w:firstLine="360"/>
        <w:jc w:val="both"/>
      </w:pPr>
      <w:r w:rsidRPr="00824877">
        <w:t>The answer to the second question is more tentative. The pooled follow-up effects were smaller but still positive, yet because they were drawn from shifting subsets of trials rather than from the same trials measured repeatedly, the durability of the effect is promising rather than established.</w:t>
      </w:r>
      <w:r w:rsidR="00330755">
        <w:rPr>
          <w:rFonts w:hint="eastAsia"/>
        </w:rPr>
        <w:t xml:space="preserve"> </w:t>
      </w:r>
    </w:p>
    <w:p w14:paraId="3A7851F2" w14:textId="77777777" w:rsidR="00C51F14" w:rsidRDefault="00C51F14" w:rsidP="00C51F14">
      <w:pPr>
        <w:spacing w:after="120" w:line="360" w:lineRule="auto"/>
        <w:ind w:firstLine="360"/>
        <w:jc w:val="both"/>
      </w:pPr>
      <w:r w:rsidRPr="00C51F14">
        <w:t xml:space="preserve">The answer to the third question is the most informative part of this work, even though no single moderator reached statistical significance. The effect of unguided self-help CBT does not appear to reside in any one program, any one component, or any one form of minimal support. Rather, it appears to be </w:t>
      </w:r>
      <w:proofErr w:type="gramStart"/>
      <w:r w:rsidRPr="00C51F14">
        <w:t>context-dependent</w:t>
      </w:r>
      <w:proofErr w:type="gramEnd"/>
      <w:r w:rsidRPr="00C51F14">
        <w:t xml:space="preserve">. Among trials conducted outside routine clinical services, larger effects tended to occur with a bounded setting, a clearly defined or high-need target group, and a close fit between the program and its intended users. By contrast, the clinically embedded trials produced uniformly small effects, even </w:t>
      </w:r>
      <w:r w:rsidRPr="00C51F14">
        <w:lastRenderedPageBreak/>
        <w:t>though they enrolled clearly defined, high-need adolescents. This likely reflects the fact that these studies also involved more severe or help-seeking samples, more active comparators, and less bounded delivery contexts.</w:t>
      </w:r>
    </w:p>
    <w:p w14:paraId="70690A8A" w14:textId="20D96E15" w:rsidR="00C51F14" w:rsidRDefault="00C51F14" w:rsidP="00C51F14">
      <w:pPr>
        <w:spacing w:after="120" w:line="360" w:lineRule="auto"/>
        <w:ind w:firstLine="360"/>
        <w:jc w:val="both"/>
      </w:pPr>
      <w:r w:rsidRPr="00C51F14">
        <w:t>The same logic helps explain the acceptability findings and the apparent subgroup contrasts. Dropout was highest in more naturalistic and autonomous mobile trials, whereas school- or clinic-based studies tended to retain participants better. Similarly, apparent subgroup differences were partly shaped by a small set of influential high-effect trials and by correlated study features, rather than by any single moderator such as comparator type. The practical implication is that the field faces an accessibility-effectiveness tension: unguided formats may increase reach, but their effects and retention appear to weaken when they move closer to fully autonomous real-world use.</w:t>
      </w:r>
    </w:p>
    <w:p w14:paraId="2FC7CE43" w14:textId="2FF8A3C9" w:rsidR="00F207B2" w:rsidRPr="00C51F14" w:rsidRDefault="00F207B2" w:rsidP="00C51F14">
      <w:pPr>
        <w:spacing w:after="120" w:line="360" w:lineRule="auto"/>
        <w:ind w:firstLine="360"/>
        <w:jc w:val="both"/>
      </w:pPr>
      <w:r w:rsidRPr="00F207B2">
        <w:t xml:space="preserve">The practical implication is </w:t>
      </w:r>
      <w:r>
        <w:rPr>
          <w:rFonts w:hint="eastAsia"/>
        </w:rPr>
        <w:t>that fu</w:t>
      </w:r>
      <w:r w:rsidRPr="00F207B2">
        <w:t>ture work should therefore focus on designing unguided interventions around concrete users and embedding enough structure to support engagement without losing the accessibility that makes these formats valuable.</w:t>
      </w:r>
    </w:p>
    <w:bookmarkEnd w:id="98"/>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99"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65F4B048" w14:textId="121EE627" w:rsidR="007F3E55" w:rsidRPr="007F3E55" w:rsidRDefault="007F3E55">
      <w:pPr>
        <w:spacing w:after="120" w:line="360" w:lineRule="auto"/>
        <w:ind w:left="720" w:hanging="720"/>
      </w:pPr>
      <w:proofErr w:type="spellStart"/>
      <w:r w:rsidRPr="007F3E55">
        <w:t>Baujat</w:t>
      </w:r>
      <w:proofErr w:type="spellEnd"/>
      <w:r w:rsidRPr="007F3E55">
        <w:t xml:space="preserve">, B., Mahé, C., </w:t>
      </w:r>
      <w:proofErr w:type="spellStart"/>
      <w:r w:rsidRPr="007F3E55">
        <w:t>Pignon</w:t>
      </w:r>
      <w:proofErr w:type="spellEnd"/>
      <w:r w:rsidRPr="007F3E55">
        <w:t xml:space="preserve">, J.-P., &amp; Hill, C. (2002). A graphical method for exploring heterogeneity in meta-analyses: Application to a meta-analysis of 65 trials. </w:t>
      </w:r>
      <w:r w:rsidRPr="007F3E55">
        <w:rPr>
          <w:i/>
          <w:iCs/>
        </w:rPr>
        <w:t>Statistics in Medicine, 21</w:t>
      </w:r>
      <w:r w:rsidRPr="007F3E55">
        <w:t xml:space="preserve">(18), 2641–2652. </w:t>
      </w:r>
      <w:hyperlink r:id="rId22" w:tgtFrame="_new" w:history="1">
        <w:r w:rsidRPr="007F3E55">
          <w:rPr>
            <w:rStyle w:val="a5"/>
          </w:rPr>
          <w:t>https://doi.org/10.1002/sim.1221</w:t>
        </w:r>
      </w:hyperlink>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9828123" w14:textId="2EF17A3B" w:rsidR="008F7D0A" w:rsidRPr="008F7D0A" w:rsidRDefault="008F7D0A">
      <w:pPr>
        <w:spacing w:after="120" w:line="360" w:lineRule="auto"/>
        <w:ind w:left="720" w:hanging="720"/>
        <w:rPr>
          <w:rFonts w:hint="eastAsia"/>
        </w:rPr>
      </w:pPr>
      <w:r w:rsidRPr="008F7D0A">
        <w:t xml:space="preserve">Bohr, Y., Litwin, L., Hankey, J. R., McCague, H., </w:t>
      </w:r>
      <w:proofErr w:type="spellStart"/>
      <w:r w:rsidRPr="008F7D0A">
        <w:t>Singoorie</w:t>
      </w:r>
      <w:proofErr w:type="spellEnd"/>
      <w:r w:rsidRPr="008F7D0A">
        <w:t xml:space="preserve">, C., Lucassen, M. F. G., Shepherd, M., &amp; Barnhardt, J. (2023). Evaluating the utility of a psychoeducational serious game (SPARX) in protecting Inuit youth from depression: Pilot randomized controlled trial. </w:t>
      </w:r>
      <w:r w:rsidRPr="008F7D0A">
        <w:rPr>
          <w:i/>
          <w:iCs/>
        </w:rPr>
        <w:t>JMIR Serious Games, 11</w:t>
      </w:r>
      <w:r w:rsidRPr="008F7D0A">
        <w:t xml:space="preserve">, Article e38493. </w:t>
      </w:r>
      <w:hyperlink r:id="rId23" w:tgtFrame="_new" w:history="1">
        <w:r w:rsidRPr="008F7D0A">
          <w:rPr>
            <w:rStyle w:val="a5"/>
          </w:rPr>
          <w:t>https://doi.org/10.2196/38493</w:t>
        </w:r>
      </w:hyperlink>
    </w:p>
    <w:p w14:paraId="0BBBA6D6" w14:textId="4F4B2851" w:rsid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w:t>
      </w:r>
      <w:r w:rsidRPr="00DD2E35">
        <w:lastRenderedPageBreak/>
        <w:t xml:space="preserve">not an absolute measure of heterogeneity. </w:t>
      </w:r>
      <w:r w:rsidRPr="00DD2E35">
        <w:rPr>
          <w:i/>
          <w:iCs/>
        </w:rPr>
        <w:t>Research Synthesis Methods, 8</w:t>
      </w:r>
      <w:r w:rsidRPr="00DD2E35">
        <w:t xml:space="preserve">(1), 5–18. </w:t>
      </w:r>
      <w:hyperlink r:id="rId24" w:history="1">
        <w:r w:rsidRPr="00DD2E35">
          <w:rPr>
            <w:rStyle w:val="a5"/>
          </w:rPr>
          <w:t>https://doi.org/10.1002/jrsm.1230</w:t>
        </w:r>
      </w:hyperlink>
    </w:p>
    <w:p w14:paraId="08DFEECC" w14:textId="4D2AD9CA" w:rsidR="0056192E" w:rsidRPr="00DD2E35" w:rsidRDefault="0056192E">
      <w:pPr>
        <w:spacing w:after="120" w:line="360" w:lineRule="auto"/>
        <w:ind w:left="720" w:hanging="720"/>
      </w:pPr>
      <w:r w:rsidRPr="0056192E">
        <w:t xml:space="preserve">Clark, A. (2025). The ability of AI therapy bots to set limits with distressed adolescents: Simulation-based comparison study. </w:t>
      </w:r>
      <w:r w:rsidRPr="0056192E">
        <w:rPr>
          <w:i/>
          <w:iCs/>
        </w:rPr>
        <w:t>JMIR Mental Health, 12</w:t>
      </w:r>
      <w:r w:rsidRPr="0056192E">
        <w:t>, e78414.</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w:t>
      </w:r>
      <w:proofErr w:type="spellStart"/>
      <w:r w:rsidRPr="00013C4F">
        <w:t>Dijke</w:t>
      </w:r>
      <w:proofErr w:type="spellEnd"/>
      <w:r w:rsidRPr="00013C4F">
        <w:t xml:space="preserv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w:t>
      </w:r>
      <w:proofErr w:type="spellStart"/>
      <w:r w:rsidRPr="00B72CF8">
        <w:t>Nüesch</w:t>
      </w:r>
      <w:proofErr w:type="spellEnd"/>
      <w:r w:rsidRPr="00B72CF8">
        <w:t xml:space="preserve">, E., </w:t>
      </w:r>
      <w:proofErr w:type="spellStart"/>
      <w:r w:rsidRPr="00B72CF8">
        <w:t>Rutjes</w:t>
      </w:r>
      <w:proofErr w:type="spellEnd"/>
      <w:r w:rsidRPr="00B72CF8">
        <w:t xml:space="preserve">, A. W., Johnston, B. C., Reichenbach, S., Trelle, S., Guyatt, G. H., &amp; </w:t>
      </w:r>
      <w:proofErr w:type="spellStart"/>
      <w:r w:rsidRPr="00B72CF8">
        <w:t>Jüni</w:t>
      </w:r>
      <w:proofErr w:type="spellEnd"/>
      <w:r w:rsidRPr="00B72CF8">
        <w:t xml:space="preserve">,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Default="00874DC1">
      <w:pPr>
        <w:spacing w:after="120" w:line="360" w:lineRule="auto"/>
        <w:ind w:left="720" w:hanging="720"/>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6C938CBB" w14:textId="621BD96E" w:rsidR="00D4058C" w:rsidRDefault="00D4058C">
      <w:pPr>
        <w:spacing w:after="120" w:line="360" w:lineRule="auto"/>
        <w:ind w:left="720" w:hanging="720"/>
      </w:pPr>
      <w:r w:rsidRPr="00D4058C">
        <w:t xml:space="preserve">Feng, X., Tian, L., Ho, G. W. K., Yorke, J., &amp; Hui, V. (2025). The effectiveness of AI chatbots in alleviating mental distress and promoting health behaviors among adolescents and young adults: Systematic review and meta-analysis. </w:t>
      </w:r>
      <w:r w:rsidRPr="00D4058C">
        <w:rPr>
          <w:i/>
          <w:iCs/>
        </w:rPr>
        <w:t>Journal of Medical Internet Research, 27</w:t>
      </w:r>
      <w:r w:rsidRPr="00D4058C">
        <w:t>, e79850.</w:t>
      </w:r>
    </w:p>
    <w:p w14:paraId="14A636AD" w14:textId="1E868F56" w:rsidR="008F7D0A" w:rsidRPr="00874DC1" w:rsidRDefault="008F7D0A">
      <w:pPr>
        <w:spacing w:after="120" w:line="360" w:lineRule="auto"/>
        <w:ind w:left="720" w:hanging="720"/>
      </w:pPr>
      <w:r w:rsidRPr="008F7D0A">
        <w:t xml:space="preserve">Fleming, T., Dixon, R., Frampton, C., &amp; Merry, S. (2012). A pragmatic randomized controlled trial of computerized CBT (SPARX) for symptoms of depression among adolescents excluded from mainstream education. </w:t>
      </w:r>
      <w:proofErr w:type="spellStart"/>
      <w:r w:rsidRPr="008F7D0A">
        <w:rPr>
          <w:i/>
          <w:iCs/>
        </w:rPr>
        <w:t>Behavioural</w:t>
      </w:r>
      <w:proofErr w:type="spellEnd"/>
      <w:r w:rsidRPr="008F7D0A">
        <w:rPr>
          <w:i/>
          <w:iCs/>
        </w:rPr>
        <w:t xml:space="preserve"> and Cognitive Psychotherapy, 40</w:t>
      </w:r>
      <w:r w:rsidRPr="008F7D0A">
        <w:t xml:space="preserve">(5), 529–541. </w:t>
      </w:r>
      <w:hyperlink r:id="rId25" w:tgtFrame="_new" w:history="1">
        <w:r w:rsidRPr="008F7D0A">
          <w:rPr>
            <w:rStyle w:val="a5"/>
          </w:rPr>
          <w:t>https://doi.org/10.1017/S1352465811000695</w:t>
        </w:r>
      </w:hyperlink>
    </w:p>
    <w:p w14:paraId="5C210A37" w14:textId="77777777" w:rsidR="000C3784" w:rsidRDefault="00D450DC">
      <w:pPr>
        <w:spacing w:after="120" w:line="360" w:lineRule="auto"/>
        <w:ind w:left="720" w:hanging="720"/>
      </w:pPr>
      <w:r>
        <w:rPr>
          <w:rFonts w:eastAsia="Times New Roman"/>
        </w:rPr>
        <w:lastRenderedPageBreak/>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6"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7"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8"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w:t>
      </w:r>
      <w:proofErr w:type="spellStart"/>
      <w:r w:rsidRPr="00B72CF8">
        <w:t>Ostinelli</w:t>
      </w:r>
      <w:proofErr w:type="spellEnd"/>
      <w:r w:rsidRPr="00B72CF8">
        <w:t xml:space="preserve">, E. G., </w:t>
      </w:r>
      <w:proofErr w:type="spellStart"/>
      <w:r w:rsidRPr="00B72CF8">
        <w:t>Karyotaki</w:t>
      </w:r>
      <w:proofErr w:type="spellEnd"/>
      <w:r w:rsidRPr="00B72CF8">
        <w:t xml:space="preserve">,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9"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lastRenderedPageBreak/>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proofErr w:type="spellStart"/>
      <w:r w:rsidRPr="00871D9C">
        <w:t>IntHout</w:t>
      </w:r>
      <w:proofErr w:type="spellEnd"/>
      <w:r w:rsidRPr="00871D9C">
        <w:t>, J., Ioannidis, J. P. A., &amp; Borm, G. F. (2014). The Hartung-Knapp-</w:t>
      </w:r>
      <w:proofErr w:type="spellStart"/>
      <w:r w:rsidRPr="00871D9C">
        <w:t>Sidik</w:t>
      </w:r>
      <w:proofErr w:type="spellEnd"/>
      <w:r w:rsidRPr="00871D9C">
        <w:t xml:space="preserve">-Jonkman method for random effects meta-analysis is straightforward and considerably outperforms the standard </w:t>
      </w:r>
      <w:proofErr w:type="spellStart"/>
      <w:r w:rsidRPr="00871D9C">
        <w:t>DerSimonian</w:t>
      </w:r>
      <w:proofErr w:type="spellEnd"/>
      <w:r w:rsidRPr="00871D9C">
        <w:t xml:space="preserve">-Laird method. </w:t>
      </w:r>
      <w:r w:rsidRPr="00871D9C">
        <w:rPr>
          <w:i/>
          <w:iCs/>
        </w:rPr>
        <w:t>BMC Medical Research Methodology, 14</w:t>
      </w:r>
      <w:r w:rsidRPr="00871D9C">
        <w:t xml:space="preserve">, Article 25. </w:t>
      </w:r>
      <w:hyperlink r:id="rId30" w:tgtFrame="_new" w:history="1">
        <w:r w:rsidRPr="00871D9C">
          <w:rPr>
            <w:rStyle w:val="a5"/>
          </w:rPr>
          <w:t>https://doi.org/10.1186/1471-2288-14-25</w:t>
        </w:r>
      </w:hyperlink>
    </w:p>
    <w:p w14:paraId="3DD45CA7" w14:textId="1FDB7931" w:rsidR="00092C7B" w:rsidRDefault="00092C7B">
      <w:pPr>
        <w:spacing w:after="120" w:line="360" w:lineRule="auto"/>
        <w:ind w:left="720" w:hanging="720"/>
      </w:pPr>
      <w:proofErr w:type="spellStart"/>
      <w:r w:rsidRPr="00092C7B">
        <w:t>IntHout</w:t>
      </w:r>
      <w:proofErr w:type="spellEnd"/>
      <w:r w:rsidRPr="00092C7B">
        <w:t xml:space="preserve">, J., Ioannidis, J. P. A., Rovers, M. M., &amp; Goeman, J. J. (2016). Plea for routinely presenting prediction intervals in meta-analysis. </w:t>
      </w:r>
      <w:r w:rsidRPr="00092C7B">
        <w:rPr>
          <w:i/>
          <w:iCs/>
        </w:rPr>
        <w:t>BMJ Open, 6</w:t>
      </w:r>
      <w:r w:rsidRPr="00092C7B">
        <w:t xml:space="preserve">(7), Article e010247. </w:t>
      </w:r>
      <w:hyperlink r:id="rId31" w:history="1">
        <w:r w:rsidRPr="00092C7B">
          <w:rPr>
            <w:rStyle w:val="a5"/>
          </w:rPr>
          <w:t>https://doi.org/10.1136/bmjopen-2015-010247</w:t>
        </w:r>
      </w:hyperlink>
    </w:p>
    <w:p w14:paraId="2C3CF207" w14:textId="7B45F3A9" w:rsidR="008F7D0A" w:rsidRPr="00871D9C" w:rsidRDefault="008F7D0A">
      <w:pPr>
        <w:spacing w:after="120" w:line="360" w:lineRule="auto"/>
        <w:ind w:left="720" w:hanging="720"/>
      </w:pPr>
      <w:r w:rsidRPr="008F7D0A">
        <w:t xml:space="preserve">Ip, P., Chim, D., Chan, K. L., Li, T. M. H., Ho, F. K. W., Van Voorhees, B. W., Tiwari, A., Tsang, A., Chan, C. W. L., Ho, M., Tso, W., &amp; Wong, W. H. S. (2016). Effectiveness of a culturally attuned internet-based depression prevention program for Chinese adolescents: A randomized controlled trial. </w:t>
      </w:r>
      <w:r w:rsidRPr="008F7D0A">
        <w:rPr>
          <w:i/>
          <w:iCs/>
        </w:rPr>
        <w:t>Depression and Anxiety, 33</w:t>
      </w:r>
      <w:r w:rsidRPr="008F7D0A">
        <w:t>(12), 1123–1131. https://doi.org/10.1002/da.22554</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696D4FE0" w:rsidR="00871D9C" w:rsidRPr="0056192E" w:rsidRDefault="00871D9C">
      <w:pPr>
        <w:spacing w:after="120" w:line="360" w:lineRule="auto"/>
        <w:ind w:left="720" w:hanging="720"/>
        <w:rPr>
          <w:lang w:val="de-DE"/>
        </w:rPr>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 xml:space="preserve">(1), 83–98. </w:t>
      </w:r>
      <w:hyperlink r:id="rId32" w:history="1">
        <w:r w:rsidR="000E5C44" w:rsidRPr="0056192E">
          <w:rPr>
            <w:rStyle w:val="a5"/>
            <w:lang w:val="de-DE"/>
          </w:rPr>
          <w:t>https://doi.org/10.1002/jrsm.1316</w:t>
        </w:r>
      </w:hyperlink>
    </w:p>
    <w:p w14:paraId="7B85860A" w14:textId="61213CF4" w:rsidR="000E5C44" w:rsidRDefault="000E5C44">
      <w:pPr>
        <w:spacing w:after="120" w:line="360" w:lineRule="auto"/>
        <w:ind w:left="720" w:hanging="720"/>
      </w:pPr>
      <w:r w:rsidRPr="0056192E">
        <w:rPr>
          <w:lang w:val="de-DE"/>
        </w:rPr>
        <w:t xml:space="preserve">Li, H., Zhang, R., Lee, Y.-C., Kraut, R. E., &amp; Mohr, D. C. (2023). </w:t>
      </w:r>
      <w:r w:rsidRPr="000E5C44">
        <w:t xml:space="preserve">Systematic review and meta-analysis of AI-based conversational agents for promoting mental health and well-being. </w:t>
      </w:r>
      <w:proofErr w:type="spellStart"/>
      <w:r w:rsidRPr="000E5C44">
        <w:rPr>
          <w:i/>
          <w:iCs/>
        </w:rPr>
        <w:t>npj</w:t>
      </w:r>
      <w:proofErr w:type="spellEnd"/>
      <w:r w:rsidRPr="000E5C44">
        <w:rPr>
          <w:i/>
          <w:iCs/>
        </w:rPr>
        <w:t xml:space="preserve"> Digital Medicine, 6</w:t>
      </w:r>
      <w:r w:rsidRPr="000E5C44">
        <w:t>, 236.</w:t>
      </w:r>
    </w:p>
    <w:p w14:paraId="021D45B8" w14:textId="1465A276" w:rsidR="00360F8D" w:rsidRPr="00874DC1" w:rsidRDefault="00360F8D">
      <w:pPr>
        <w:spacing w:after="120" w:line="360" w:lineRule="auto"/>
        <w:ind w:left="720" w:hanging="720"/>
        <w:rPr>
          <w:rFonts w:hint="eastAsia"/>
        </w:rPr>
      </w:pPr>
      <w:proofErr w:type="spellStart"/>
      <w:r w:rsidRPr="00360F8D">
        <w:t>Makarushka</w:t>
      </w:r>
      <w:proofErr w:type="spellEnd"/>
      <w:r w:rsidRPr="00360F8D">
        <w:t xml:space="preserve">, M. M. (2011). </w:t>
      </w:r>
      <w:r w:rsidRPr="00360F8D">
        <w:rPr>
          <w:i/>
          <w:iCs/>
        </w:rPr>
        <w:t>Efficacy of an internet-based intervention targeted to adolescents with subthreshold depression</w:t>
      </w:r>
      <w:r w:rsidRPr="00360F8D">
        <w:t xml:space="preserve"> [Doctoral dissertation, University of Oregon]. University of Oregon </w:t>
      </w:r>
      <w:r w:rsidRPr="00360F8D">
        <w:lastRenderedPageBreak/>
        <w:t xml:space="preserve">Scholars’ Bank. </w:t>
      </w:r>
      <w:hyperlink r:id="rId33" w:tgtFrame="_new" w:history="1">
        <w:r w:rsidRPr="00360F8D">
          <w:rPr>
            <w:rStyle w:val="a5"/>
          </w:rPr>
          <w:t>https://scholarsbank.uoregon.edu/items/e471dd46-3322-4abc-91fa-b12a59a5be7b</w:t>
        </w:r>
      </w:hyperlink>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4"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100" w:name="OLE_LINK67"/>
      <w:r w:rsidRPr="00A35027">
        <w:t>McAuley</w:t>
      </w:r>
      <w:bookmarkEnd w:id="100"/>
      <w:r w:rsidRPr="00A35027">
        <w:t xml:space="preserve">, L., Pham, B., Tugwell, P., &amp; Moher, D. (2000). Does the inclusion of grey literature influence estimates of intervention effectiveness </w:t>
      </w:r>
      <w:proofErr w:type="gramStart"/>
      <w:r w:rsidRPr="00A35027">
        <w:t>reported</w:t>
      </w:r>
      <w:proofErr w:type="gramEnd"/>
      <w:r w:rsidRPr="00A35027">
        <w:t xml:space="preserve">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35"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039AC872" w:rsid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xml:space="preserve">, D. S. (2024). Redefining effect size interpretations for psychotherapy RCTs in depression. Journal of Psychiatric Research, 169, 38–41. </w:t>
      </w:r>
      <w:hyperlink r:id="rId36" w:history="1">
        <w:r w:rsidR="00360F8D" w:rsidRPr="00B75D1B">
          <w:rPr>
            <w:rStyle w:val="a5"/>
          </w:rPr>
          <w:t>https://doi.org/10.1016/j.jpsychires.2023.11.009</w:t>
        </w:r>
      </w:hyperlink>
    </w:p>
    <w:p w14:paraId="5D5763C9" w14:textId="5B64CB25" w:rsidR="00360F8D" w:rsidRDefault="00360F8D">
      <w:pPr>
        <w:spacing w:after="120" w:line="360" w:lineRule="auto"/>
        <w:ind w:left="720" w:hanging="720"/>
      </w:pPr>
      <w:r w:rsidRPr="00360F8D">
        <w:t xml:space="preserve">O’Dea, B., Han, J., </w:t>
      </w:r>
      <w:proofErr w:type="spellStart"/>
      <w:r w:rsidRPr="00360F8D">
        <w:t>Batterham</w:t>
      </w:r>
      <w:proofErr w:type="spellEnd"/>
      <w:r w:rsidRPr="00360F8D">
        <w:t xml:space="preserve">, P. J., Achilles, M. R., </w:t>
      </w:r>
      <w:proofErr w:type="spellStart"/>
      <w:r w:rsidRPr="00360F8D">
        <w:t>Calear</w:t>
      </w:r>
      <w:proofErr w:type="spellEnd"/>
      <w:r w:rsidRPr="00360F8D">
        <w:t xml:space="preserve">, A. L., Werner-Seidler, A., Parker, B., Shand, F., &amp; Christensen, H. (2020). A </w:t>
      </w:r>
      <w:proofErr w:type="spellStart"/>
      <w:r w:rsidRPr="00360F8D">
        <w:t>randomised</w:t>
      </w:r>
      <w:proofErr w:type="spellEnd"/>
      <w:r w:rsidRPr="00360F8D">
        <w:t xml:space="preserve"> controlled trial of a relationship-</w:t>
      </w:r>
      <w:proofErr w:type="spellStart"/>
      <w:r w:rsidRPr="00360F8D">
        <w:t>focussed</w:t>
      </w:r>
      <w:proofErr w:type="spellEnd"/>
      <w:r w:rsidRPr="00360F8D">
        <w:t xml:space="preserve"> mobile phone application for improving adolescents’ mental health. </w:t>
      </w:r>
      <w:r w:rsidRPr="00360F8D">
        <w:rPr>
          <w:i/>
          <w:iCs/>
        </w:rPr>
        <w:t>Journal of Child Psychology and Psychiatry, 61</w:t>
      </w:r>
      <w:r w:rsidRPr="00360F8D">
        <w:t xml:space="preserve">(8), 899–913. </w:t>
      </w:r>
      <w:hyperlink r:id="rId37" w:tgtFrame="_new" w:history="1">
        <w:r w:rsidRPr="00360F8D">
          <w:rPr>
            <w:rStyle w:val="a5"/>
          </w:rPr>
          <w:t>https://doi.org/10.1111/jcpp.13294</w:t>
        </w:r>
      </w:hyperlink>
    </w:p>
    <w:p w14:paraId="7BDC573D" w14:textId="4E914914" w:rsidR="00360F8D" w:rsidRPr="00360F8D" w:rsidRDefault="00360F8D">
      <w:pPr>
        <w:spacing w:after="120" w:line="360" w:lineRule="auto"/>
        <w:ind w:left="720" w:hanging="720"/>
        <w:rPr>
          <w:rFonts w:hint="eastAsia"/>
        </w:rPr>
      </w:pPr>
      <w:r w:rsidRPr="00360F8D">
        <w:t xml:space="preserve">O’Dea, B., Li, S. H., Subotic-Kerry, M., Achilles, M. R., Mackinnon, A. J., </w:t>
      </w:r>
      <w:proofErr w:type="spellStart"/>
      <w:r w:rsidRPr="00360F8D">
        <w:t>Batterham</w:t>
      </w:r>
      <w:proofErr w:type="spellEnd"/>
      <w:r w:rsidRPr="00360F8D">
        <w:t xml:space="preserve">, P. J., Christensen, H., Roberts, A., </w:t>
      </w:r>
      <w:proofErr w:type="spellStart"/>
      <w:r w:rsidRPr="00360F8D">
        <w:t>Nagendraprasad</w:t>
      </w:r>
      <w:proofErr w:type="spellEnd"/>
      <w:r w:rsidRPr="00360F8D">
        <w:t xml:space="preserve">, K., Dudley, Z., Gillham, B., &amp; Werner-Seidler, A. (2025). </w:t>
      </w:r>
      <w:r w:rsidRPr="00360F8D">
        <w:rPr>
          <w:i/>
          <w:iCs/>
        </w:rPr>
        <w:t xml:space="preserve">The </w:t>
      </w:r>
      <w:proofErr w:type="spellStart"/>
      <w:r w:rsidRPr="00360F8D">
        <w:rPr>
          <w:i/>
          <w:iCs/>
        </w:rPr>
        <w:t>MobiliseMe</w:t>
      </w:r>
      <w:proofErr w:type="spellEnd"/>
      <w:r w:rsidRPr="00360F8D">
        <w:rPr>
          <w:i/>
          <w:iCs/>
        </w:rPr>
        <w:t xml:space="preserve"> study: A </w:t>
      </w:r>
      <w:proofErr w:type="spellStart"/>
      <w:r w:rsidRPr="00360F8D">
        <w:rPr>
          <w:i/>
          <w:iCs/>
        </w:rPr>
        <w:t>randomised</w:t>
      </w:r>
      <w:proofErr w:type="spellEnd"/>
      <w:r w:rsidRPr="00360F8D">
        <w:rPr>
          <w:i/>
          <w:iCs/>
        </w:rPr>
        <w:t xml:space="preserve"> controlled efficacy trial of a cognitive </w:t>
      </w:r>
      <w:proofErr w:type="spellStart"/>
      <w:r w:rsidRPr="00360F8D">
        <w:rPr>
          <w:i/>
          <w:iCs/>
        </w:rPr>
        <w:t>behavioural</w:t>
      </w:r>
      <w:proofErr w:type="spellEnd"/>
      <w:r w:rsidRPr="00360F8D">
        <w:rPr>
          <w:i/>
          <w:iCs/>
        </w:rPr>
        <w:t xml:space="preserve"> therapy smartphone application (</w:t>
      </w:r>
      <w:proofErr w:type="spellStart"/>
      <w:r w:rsidRPr="00360F8D">
        <w:rPr>
          <w:i/>
          <w:iCs/>
        </w:rPr>
        <w:t>ClearlyMe</w:t>
      </w:r>
      <w:proofErr w:type="spellEnd"/>
      <w:r w:rsidRPr="00360F8D">
        <w:rPr>
          <w:i/>
          <w:iCs/>
        </w:rPr>
        <w:t>®) for reducing depressive symptoms in adolescents</w:t>
      </w:r>
      <w:r w:rsidRPr="00360F8D">
        <w:t xml:space="preserve">. </w:t>
      </w:r>
      <w:proofErr w:type="spellStart"/>
      <w:r w:rsidRPr="00360F8D">
        <w:t>medRxiv</w:t>
      </w:r>
      <w:proofErr w:type="spellEnd"/>
      <w:r w:rsidRPr="00360F8D">
        <w:t xml:space="preserve">. </w:t>
      </w:r>
      <w:hyperlink r:id="rId38" w:tgtFrame="_new" w:history="1">
        <w:r w:rsidRPr="00360F8D">
          <w:rPr>
            <w:rStyle w:val="a5"/>
          </w:rPr>
          <w:t>https://doi.org/10.1101/2024.11.17.24317363</w:t>
        </w:r>
      </w:hyperlink>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w:t>
      </w:r>
      <w:r>
        <w:rPr>
          <w:rFonts w:eastAsia="Times New Roman"/>
        </w:rPr>
        <w:lastRenderedPageBreak/>
        <w:t xml:space="preserve">(2021).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w:t>
      </w:r>
      <w:proofErr w:type="spellStart"/>
      <w:r w:rsidRPr="00742840">
        <w:t>Fuggle</w:t>
      </w:r>
      <w:proofErr w:type="spellEnd"/>
      <w:r w:rsidRPr="00742840">
        <w:t xml:space="preserve">, P., Kelvin, R., Naqvi, 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39"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40" w:history="1">
        <w:r w:rsidRPr="00C13038">
          <w:rPr>
            <w:rStyle w:val="a5"/>
          </w:rPr>
          <w:t>https://doi.org/10.1016/j.jclinepi.2007.11.010</w:t>
        </w:r>
      </w:hyperlink>
    </w:p>
    <w:p w14:paraId="16AB883D" w14:textId="2FEF268A" w:rsidR="00D4058C" w:rsidRDefault="00D4058C" w:rsidP="00AB7F1D">
      <w:pPr>
        <w:spacing w:after="120" w:line="360" w:lineRule="auto"/>
        <w:ind w:left="720" w:hanging="720"/>
      </w:pPr>
      <w:r w:rsidRPr="00D4058C">
        <w:t xml:space="preserve">Pew Research Center. (2025, December 9). </w:t>
      </w:r>
      <w:r w:rsidRPr="00D4058C">
        <w:rPr>
          <w:i/>
          <w:iCs/>
        </w:rPr>
        <w:t>Teens, social media and AI chatbots 2025</w:t>
      </w:r>
      <w:r w:rsidRPr="00D4058C">
        <w:t>.</w:t>
      </w:r>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64A54CEA" w14:textId="2472E223" w:rsidR="00360F8D" w:rsidRDefault="00360F8D">
      <w:pPr>
        <w:spacing w:after="120" w:line="360" w:lineRule="auto"/>
        <w:ind w:left="720" w:hanging="720"/>
      </w:pPr>
      <w:proofErr w:type="spellStart"/>
      <w:r w:rsidRPr="00360F8D">
        <w:t>Poppelaars</w:t>
      </w:r>
      <w:proofErr w:type="spellEnd"/>
      <w:r w:rsidRPr="00360F8D">
        <w:t xml:space="preserve">, M., Tak, Y. R., </w:t>
      </w:r>
      <w:proofErr w:type="spellStart"/>
      <w:r w:rsidRPr="00360F8D">
        <w:t>Lichtwarck</w:t>
      </w:r>
      <w:proofErr w:type="spellEnd"/>
      <w:r w:rsidRPr="00360F8D">
        <w:t xml:space="preserve">-Aschoff, A., Engels, R. C. M. E., Lobel, A., Merry, S. N., Lucassen, M. F. G., &amp; </w:t>
      </w:r>
      <w:proofErr w:type="spellStart"/>
      <w:r w:rsidRPr="00360F8D">
        <w:t>Granic</w:t>
      </w:r>
      <w:proofErr w:type="spellEnd"/>
      <w:r w:rsidRPr="00360F8D">
        <w:t xml:space="preserve">, I. (2016). A randomized controlled trial comparing two cognitive-behavioral programs for adolescent girls with subclinical depression: A school-based program (Op Volle Kracht) and a computerized program (SPARX). </w:t>
      </w:r>
      <w:proofErr w:type="spellStart"/>
      <w:r w:rsidRPr="00360F8D">
        <w:rPr>
          <w:i/>
          <w:iCs/>
        </w:rPr>
        <w:t>Behaviour</w:t>
      </w:r>
      <w:proofErr w:type="spellEnd"/>
      <w:r w:rsidRPr="00360F8D">
        <w:rPr>
          <w:i/>
          <w:iCs/>
        </w:rPr>
        <w:t xml:space="preserve"> Research and Therapy, 80</w:t>
      </w:r>
      <w:r w:rsidRPr="00360F8D">
        <w:t xml:space="preserve">, 33–42. </w:t>
      </w:r>
      <w:hyperlink r:id="rId41" w:tgtFrame="_new" w:history="1">
        <w:r w:rsidRPr="00360F8D">
          <w:rPr>
            <w:rStyle w:val="a5"/>
          </w:rPr>
          <w:t>https://doi.org/10.1016/j.brat.2016.03.005</w:t>
        </w:r>
      </w:hyperlink>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19E11DE5" w14:textId="3728A81B" w:rsidR="000D175C" w:rsidRDefault="000D175C" w:rsidP="008A0D89">
      <w:pPr>
        <w:spacing w:after="120" w:line="360" w:lineRule="auto"/>
        <w:ind w:left="720" w:hanging="720"/>
      </w:pPr>
      <w:r w:rsidRPr="000D175C">
        <w:t xml:space="preserve">Ranney, M. L., Pittman, S. K., </w:t>
      </w:r>
      <w:proofErr w:type="spellStart"/>
      <w:r w:rsidRPr="000D175C">
        <w:t>Dunsiger</w:t>
      </w:r>
      <w:proofErr w:type="spellEnd"/>
      <w:r w:rsidRPr="000D175C">
        <w:t xml:space="preserve">, S., Guthrie, K. M., Spirito, A., Boyer, E. W., &amp; Cunningham, R. M. (2018). Emergency department text messaging for adolescent violence and depression prevention: A pilot randomized controlled trial. </w:t>
      </w:r>
      <w:r w:rsidRPr="000D175C">
        <w:rPr>
          <w:i/>
          <w:iCs/>
        </w:rPr>
        <w:t>Psychological Services, 15</w:t>
      </w:r>
      <w:r w:rsidRPr="000D175C">
        <w:t xml:space="preserve">(4), 419–428. </w:t>
      </w:r>
      <w:hyperlink r:id="rId42" w:tgtFrame="_new" w:history="1">
        <w:r w:rsidRPr="000D175C">
          <w:rPr>
            <w:rStyle w:val="a5"/>
          </w:rPr>
          <w:t>https://doi.org/10.1037/ser0000193</w:t>
        </w:r>
      </w:hyperlink>
    </w:p>
    <w:p w14:paraId="6AC3F193" w14:textId="52894920" w:rsidR="008A0D89" w:rsidRPr="008074FA" w:rsidRDefault="008A0D89" w:rsidP="008A0D89">
      <w:pPr>
        <w:spacing w:after="120" w:line="360" w:lineRule="auto"/>
        <w:ind w:left="720" w:hanging="720"/>
      </w:pPr>
      <w:proofErr w:type="spellStart"/>
      <w:r w:rsidRPr="008A0D89">
        <w:lastRenderedPageBreak/>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43"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44"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5A6618D9" w14:textId="3DEAD08A" w:rsidR="000D175C" w:rsidRDefault="000D175C">
      <w:pPr>
        <w:spacing w:after="120" w:line="360" w:lineRule="auto"/>
        <w:ind w:left="720" w:hanging="720"/>
      </w:pPr>
      <w:r w:rsidRPr="000D175C">
        <w:t xml:space="preserve">Rohde, P., Stice, E., Shaw, H., &amp; </w:t>
      </w:r>
      <w:proofErr w:type="spellStart"/>
      <w:r w:rsidRPr="000D175C">
        <w:t>Brière</w:t>
      </w:r>
      <w:proofErr w:type="spellEnd"/>
      <w:r w:rsidRPr="000D175C">
        <w:t xml:space="preserve">, F. N. (2014). Indicated cognitive behavioral group depression prevention compared to bibliotherapy and brochure control: Acute effects of an effectiveness trial with adolescents. </w:t>
      </w:r>
      <w:r w:rsidRPr="000D175C">
        <w:rPr>
          <w:i/>
          <w:iCs/>
        </w:rPr>
        <w:t>Journal of Consulting and Clinical Psychology, 82</w:t>
      </w:r>
      <w:r w:rsidRPr="000D175C">
        <w:t xml:space="preserve">(1), 65–74. </w:t>
      </w:r>
      <w:hyperlink r:id="rId45" w:history="1">
        <w:r w:rsidRPr="00B75D1B">
          <w:rPr>
            <w:rStyle w:val="a5"/>
          </w:rPr>
          <w:t>https://doi.org/10.1037/a0034640</w:t>
        </w:r>
      </w:hyperlink>
    </w:p>
    <w:p w14:paraId="5B66E687" w14:textId="22D49564" w:rsidR="000D175C" w:rsidRPr="000D175C" w:rsidRDefault="000D175C">
      <w:pPr>
        <w:spacing w:after="120" w:line="360" w:lineRule="auto"/>
        <w:ind w:left="720" w:hanging="720"/>
        <w:rPr>
          <w:rFonts w:hint="eastAsia"/>
        </w:rPr>
      </w:pPr>
      <w:r w:rsidRPr="000D175C">
        <w:t xml:space="preserve">Rohde, P., Stice, E., Shaw, H., &amp; Gau, J. M. (2015). Effectiveness trial of an indicated cognitive-behavioral group adolescent depression prevention program versus bibliotherapy and brochure control at 1- and 2-year follow-up. </w:t>
      </w:r>
      <w:r w:rsidRPr="000D175C">
        <w:rPr>
          <w:i/>
          <w:iCs/>
        </w:rPr>
        <w:t>Journal of Consulting and Clinical Psychology, 83</w:t>
      </w:r>
      <w:r w:rsidRPr="000D175C">
        <w:t>(4), 736–747. https://doi.org/10.1037/ccp0000022</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7EDCAF35" w14:textId="536A72C0" w:rsidR="000D175C" w:rsidRDefault="000D175C">
      <w:pPr>
        <w:spacing w:after="120" w:line="360" w:lineRule="auto"/>
        <w:ind w:left="720" w:hanging="720"/>
      </w:pPr>
      <w:r w:rsidRPr="000D175C">
        <w:t xml:space="preserve">Smith, P., Scott, R., </w:t>
      </w:r>
      <w:proofErr w:type="spellStart"/>
      <w:r w:rsidRPr="000D175C">
        <w:t>Eshkevari</w:t>
      </w:r>
      <w:proofErr w:type="spellEnd"/>
      <w:r w:rsidRPr="000D175C">
        <w:t xml:space="preserve">, E., Jatta, F., Leigh, E., Harris, V., Robinson, A., Abeles, P., Proudfoot, J., Verduyn, C., &amp; Yule, W. (2015). </w:t>
      </w:r>
      <w:proofErr w:type="spellStart"/>
      <w:r w:rsidRPr="000D175C">
        <w:t>Computerised</w:t>
      </w:r>
      <w:proofErr w:type="spellEnd"/>
      <w:r w:rsidRPr="000D175C">
        <w:t xml:space="preserve"> CBT for depressed adolescents: </w:t>
      </w:r>
      <w:proofErr w:type="spellStart"/>
      <w:r w:rsidRPr="000D175C">
        <w:t>Randomised</w:t>
      </w:r>
      <w:proofErr w:type="spellEnd"/>
      <w:r w:rsidRPr="000D175C">
        <w:t xml:space="preserve"> controlled trial. </w:t>
      </w:r>
      <w:proofErr w:type="spellStart"/>
      <w:r w:rsidRPr="000D175C">
        <w:rPr>
          <w:i/>
          <w:iCs/>
        </w:rPr>
        <w:t>Behaviour</w:t>
      </w:r>
      <w:proofErr w:type="spellEnd"/>
      <w:r w:rsidRPr="000D175C">
        <w:rPr>
          <w:i/>
          <w:iCs/>
        </w:rPr>
        <w:t xml:space="preserve"> Research and Therapy, 73</w:t>
      </w:r>
      <w:r w:rsidRPr="000D175C">
        <w:t xml:space="preserve">, 104–110. </w:t>
      </w:r>
      <w:hyperlink r:id="rId46" w:tgtFrame="_new" w:history="1">
        <w:r w:rsidRPr="000D175C">
          <w:rPr>
            <w:rStyle w:val="a5"/>
          </w:rPr>
          <w:t>https://doi.org/10.1016/j.brat.2015.07.009</w:t>
        </w:r>
      </w:hyperlink>
    </w:p>
    <w:p w14:paraId="5E330F41" w14:textId="77777777" w:rsidR="000D175C" w:rsidRPr="000D175C" w:rsidRDefault="000D175C" w:rsidP="000D175C">
      <w:pPr>
        <w:spacing w:after="120" w:line="360" w:lineRule="auto"/>
        <w:ind w:left="720" w:hanging="720"/>
      </w:pPr>
      <w:r w:rsidRPr="000D175C">
        <w:t>Stallard, P., Whittle, K., Moore, E., Medina-Lara, A., Morrish, N., Cliffe, B., Rhodes, S., &amp; Taylor, G. (2024). Clinical effectiveness and safety of adding a self-harm prevention app (</w:t>
      </w:r>
      <w:proofErr w:type="spellStart"/>
      <w:r w:rsidRPr="000D175C">
        <w:t>BlueIce</w:t>
      </w:r>
      <w:proofErr w:type="spellEnd"/>
      <w:r w:rsidRPr="000D175C">
        <w:t xml:space="preserve">) to specialist mental health care for adolescents who repeatedly self-harm: A single blind </w:t>
      </w:r>
      <w:proofErr w:type="spellStart"/>
      <w:r w:rsidRPr="000D175C">
        <w:t>randomised</w:t>
      </w:r>
      <w:proofErr w:type="spellEnd"/>
      <w:r w:rsidRPr="000D175C">
        <w:t xml:space="preserve"> controlled trial (the BASH study). </w:t>
      </w:r>
      <w:r w:rsidRPr="000D175C">
        <w:rPr>
          <w:i/>
          <w:iCs/>
        </w:rPr>
        <w:t>Psychiatry Research, 339</w:t>
      </w:r>
      <w:r w:rsidRPr="000D175C">
        <w:t xml:space="preserve">, Article 116017. </w:t>
      </w:r>
      <w:hyperlink r:id="rId47" w:tgtFrame="_new" w:history="1">
        <w:r w:rsidRPr="000D175C">
          <w:rPr>
            <w:rStyle w:val="a5"/>
          </w:rPr>
          <w:t>https://doi.org/10.1016/j.psychres.2024.116017</w:t>
        </w:r>
      </w:hyperlink>
    </w:p>
    <w:p w14:paraId="4C139D8B" w14:textId="6D270D2C" w:rsidR="000D175C" w:rsidRPr="000D175C" w:rsidRDefault="000D175C" w:rsidP="000D175C">
      <w:pPr>
        <w:spacing w:after="120" w:line="360" w:lineRule="auto"/>
        <w:ind w:left="720" w:hanging="720"/>
        <w:rPr>
          <w:rFonts w:hint="eastAsia"/>
        </w:rPr>
      </w:pPr>
      <w:r w:rsidRPr="000D175C">
        <w:t xml:space="preserve">Stasiak, K., Hatcher, S., Frampton, C., &amp; Merry, S. N. (2014). A pilot double blind randomized </w:t>
      </w:r>
      <w:proofErr w:type="gramStart"/>
      <w:r w:rsidRPr="000D175C">
        <w:t xml:space="preserve">placebo </w:t>
      </w:r>
      <w:r w:rsidRPr="000D175C">
        <w:lastRenderedPageBreak/>
        <w:t>controlled</w:t>
      </w:r>
      <w:proofErr w:type="gramEnd"/>
      <w:r w:rsidRPr="000D175C">
        <w:t xml:space="preserve"> trial of a prototype computer-based cognitive </w:t>
      </w:r>
      <w:proofErr w:type="spellStart"/>
      <w:r w:rsidRPr="000D175C">
        <w:t>behavioural</w:t>
      </w:r>
      <w:proofErr w:type="spellEnd"/>
      <w:r w:rsidRPr="000D175C">
        <w:t xml:space="preserve"> therapy program for adolescents with symptoms of depression. </w:t>
      </w:r>
      <w:proofErr w:type="spellStart"/>
      <w:r w:rsidRPr="000D175C">
        <w:rPr>
          <w:i/>
          <w:iCs/>
        </w:rPr>
        <w:t>Behavioural</w:t>
      </w:r>
      <w:proofErr w:type="spellEnd"/>
      <w:r w:rsidRPr="000D175C">
        <w:rPr>
          <w:i/>
          <w:iCs/>
        </w:rPr>
        <w:t xml:space="preserve"> and Cognitive Psychotherapy, 42</w:t>
      </w:r>
      <w:r w:rsidRPr="000D175C">
        <w:t xml:space="preserve">(4), 385–401. </w:t>
      </w:r>
      <w:hyperlink r:id="rId48" w:tgtFrame="_new" w:history="1">
        <w:r w:rsidRPr="000D175C">
          <w:rPr>
            <w:rStyle w:val="a5"/>
          </w:rPr>
          <w:t>https://doi.org/10.1017/S1352465812001087</w:t>
        </w:r>
      </w:hyperlink>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514664DF" w14:textId="77777777" w:rsidR="000D175C" w:rsidRPr="000D175C" w:rsidRDefault="000D175C" w:rsidP="000D175C">
      <w:pPr>
        <w:spacing w:after="120" w:line="360" w:lineRule="auto"/>
        <w:ind w:left="720" w:hanging="720"/>
      </w:pPr>
      <w:r w:rsidRPr="000D175C">
        <w:t xml:space="preserve">Stice, E., Rohde, P., Seeley, J. R., &amp; Gau, J. M. (2008). Brief cognitive-behavioral depression prevention program for high-risk adolescents outperforms two alternative interventions: A randomized efficacy trial. </w:t>
      </w:r>
      <w:r w:rsidRPr="000D175C">
        <w:rPr>
          <w:i/>
          <w:iCs/>
        </w:rPr>
        <w:t>Journal of Consulting and Clinical Psychology, 76</w:t>
      </w:r>
      <w:r w:rsidRPr="000D175C">
        <w:t>(4), 595–606. https://doi.org/10.1037/a0012645</w:t>
      </w:r>
    </w:p>
    <w:p w14:paraId="13B9DEFC" w14:textId="7FBFEFA1" w:rsidR="000D175C" w:rsidRPr="000D175C" w:rsidRDefault="000D175C" w:rsidP="000D175C">
      <w:pPr>
        <w:spacing w:after="120" w:line="360" w:lineRule="auto"/>
        <w:ind w:left="720" w:hanging="720"/>
        <w:rPr>
          <w:rFonts w:hint="eastAsia"/>
        </w:rPr>
      </w:pPr>
      <w:r w:rsidRPr="000D175C">
        <w:t xml:space="preserve">Stice, E., Rohde, P., Gau, J. M., &amp; Wade, E. (2010). Efficacy trial of a brief cognitive-behavioral depression prevention program for high-risk adolescents: Effects at 1- and 2-year follow-up. </w:t>
      </w:r>
      <w:r w:rsidRPr="000D175C">
        <w:rPr>
          <w:i/>
          <w:iCs/>
        </w:rPr>
        <w:t>Journal of Consulting and Clinical Psychology, 78</w:t>
      </w:r>
      <w:r w:rsidRPr="000D175C">
        <w:t>(6), 856–867. https://doi.org/10.1037/a0020544</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471F8058" w14:textId="0A414C44" w:rsidR="007A02BA" w:rsidRPr="007A02BA" w:rsidRDefault="007A02BA">
      <w:pPr>
        <w:spacing w:after="120" w:line="360" w:lineRule="auto"/>
        <w:ind w:left="720" w:hanging="720"/>
      </w:pPr>
      <w:proofErr w:type="spellStart"/>
      <w:r w:rsidRPr="007A02BA">
        <w:t>Viechtbauer</w:t>
      </w:r>
      <w:proofErr w:type="spellEnd"/>
      <w:r w:rsidRPr="007A02BA">
        <w:t xml:space="preserve">, W. (2005). Bias and efficiency of meta-analytic variance estimators in the random-effects model. </w:t>
      </w:r>
      <w:r w:rsidRPr="007A02BA">
        <w:rPr>
          <w:i/>
          <w:iCs/>
        </w:rPr>
        <w:t>Journal of Educational and Behavioral Statistics, 30</w:t>
      </w:r>
      <w:r w:rsidRPr="007A02BA">
        <w:t xml:space="preserve">(3), 261–293. </w:t>
      </w:r>
      <w:hyperlink r:id="rId49" w:history="1">
        <w:r w:rsidRPr="007A02BA">
          <w:rPr>
            <w:rStyle w:val="a5"/>
          </w:rPr>
          <w:t>https://doi.org/10.3102/10769986030003261</w:t>
        </w:r>
      </w:hyperlink>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6F2E8ED3" w14:textId="2BBEC2C0" w:rsidR="007F3E55" w:rsidRPr="007F3E55" w:rsidRDefault="007F3E55">
      <w:pPr>
        <w:spacing w:after="120" w:line="360" w:lineRule="auto"/>
        <w:ind w:left="720" w:hanging="720"/>
      </w:pPr>
      <w:proofErr w:type="spellStart"/>
      <w:r w:rsidRPr="00235A2C">
        <w:t>Viechtbauer</w:t>
      </w:r>
      <w:proofErr w:type="spellEnd"/>
      <w:r w:rsidRPr="00235A2C">
        <w:t xml:space="preserve">, W., &amp; Cheung, M. W.-L. (2010). </w:t>
      </w:r>
      <w:r w:rsidRPr="007F3E55">
        <w:t xml:space="preserve">Outlier and influence diagnostics for meta-analysis. </w:t>
      </w:r>
      <w:r w:rsidRPr="007F3E55">
        <w:rPr>
          <w:i/>
          <w:iCs/>
        </w:rPr>
        <w:t>Research Synthesis Methods, 1</w:t>
      </w:r>
      <w:r w:rsidRPr="007F3E55">
        <w:t xml:space="preserve">(2), 112–125. </w:t>
      </w:r>
      <w:hyperlink r:id="rId50" w:tgtFrame="_new" w:history="1">
        <w:r w:rsidRPr="007F3E55">
          <w:rPr>
            <w:rStyle w:val="a5"/>
          </w:rPr>
          <w:t>https://doi.org/10.1002/jrsm.11</w:t>
        </w:r>
      </w:hyperlink>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w:t>
      </w:r>
      <w:r w:rsidRPr="00742840">
        <w:lastRenderedPageBreak/>
        <w:t xml:space="preserve">interventions for mental health among adolescents and college students. </w:t>
      </w:r>
      <w:r w:rsidRPr="00742840">
        <w:rPr>
          <w:i/>
          <w:iCs/>
        </w:rPr>
        <w:t>Internet Interventions, 34</w:t>
      </w:r>
      <w:r w:rsidRPr="00742840">
        <w:t xml:space="preserve">, Article 100690. </w:t>
      </w:r>
      <w:hyperlink r:id="rId51"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505EF9AA" w14:textId="77777777" w:rsidR="000D175C" w:rsidRPr="000D175C" w:rsidRDefault="000D175C" w:rsidP="000D175C">
      <w:pPr>
        <w:spacing w:after="120" w:line="360" w:lineRule="auto"/>
        <w:ind w:left="720" w:hanging="720"/>
      </w:pPr>
      <w:r w:rsidRPr="000D175C">
        <w:t xml:space="preserve">Wright, B., Tindall, L., Littlewood, E., Allgar, V., Abeles, P., </w:t>
      </w:r>
      <w:proofErr w:type="spellStart"/>
      <w:r w:rsidRPr="000D175C">
        <w:t>Trépel</w:t>
      </w:r>
      <w:proofErr w:type="spellEnd"/>
      <w:r w:rsidRPr="000D175C">
        <w:t xml:space="preserve">, D., &amp; Ali, S. (2017). </w:t>
      </w:r>
      <w:proofErr w:type="spellStart"/>
      <w:r w:rsidRPr="000D175C">
        <w:t>Computerised</w:t>
      </w:r>
      <w:proofErr w:type="spellEnd"/>
      <w:r w:rsidRPr="000D175C">
        <w:t xml:space="preserve"> cognitive–</w:t>
      </w:r>
      <w:proofErr w:type="spellStart"/>
      <w:r w:rsidRPr="000D175C">
        <w:t>behavioural</w:t>
      </w:r>
      <w:proofErr w:type="spellEnd"/>
      <w:r w:rsidRPr="000D175C">
        <w:t xml:space="preserve"> therapy for depression in adolescents: Feasibility results and 4-month outcomes of a UK </w:t>
      </w:r>
      <w:proofErr w:type="spellStart"/>
      <w:r w:rsidRPr="000D175C">
        <w:t>randomised</w:t>
      </w:r>
      <w:proofErr w:type="spellEnd"/>
      <w:r w:rsidRPr="000D175C">
        <w:t xml:space="preserve"> controlled trial. </w:t>
      </w:r>
      <w:r w:rsidRPr="000D175C">
        <w:rPr>
          <w:i/>
          <w:iCs/>
        </w:rPr>
        <w:t>BMJ Open, 7</w:t>
      </w:r>
      <w:r w:rsidRPr="000D175C">
        <w:t xml:space="preserve">(1), Article e012834. </w:t>
      </w:r>
      <w:hyperlink r:id="rId52" w:tgtFrame="_new" w:history="1">
        <w:r w:rsidRPr="000D175C">
          <w:rPr>
            <w:rStyle w:val="a5"/>
          </w:rPr>
          <w:t>https://doi.org/10.1136/bmjopen-2016-012834</w:t>
        </w:r>
      </w:hyperlink>
    </w:p>
    <w:p w14:paraId="4DDCCFC9" w14:textId="6C5C6621" w:rsidR="000D175C" w:rsidRPr="000D175C" w:rsidRDefault="000D175C" w:rsidP="000D175C">
      <w:pPr>
        <w:spacing w:after="120" w:line="360" w:lineRule="auto"/>
        <w:ind w:left="720" w:hanging="720"/>
        <w:rPr>
          <w:rFonts w:hint="eastAsia"/>
        </w:rPr>
      </w:pPr>
      <w:r w:rsidRPr="000D175C">
        <w:t xml:space="preserve">Wright, B., Tindall, L., </w:t>
      </w:r>
      <w:proofErr w:type="spellStart"/>
      <w:r w:rsidRPr="000D175C">
        <w:t>Hargate</w:t>
      </w:r>
      <w:proofErr w:type="spellEnd"/>
      <w:r w:rsidRPr="000D175C">
        <w:t xml:space="preserve">, R., Allgar, V., </w:t>
      </w:r>
      <w:proofErr w:type="spellStart"/>
      <w:r w:rsidRPr="000D175C">
        <w:t>Trépel</w:t>
      </w:r>
      <w:proofErr w:type="spellEnd"/>
      <w:r w:rsidRPr="000D175C">
        <w:t xml:space="preserve">, D., &amp; Ali, S. (2020). </w:t>
      </w:r>
      <w:proofErr w:type="spellStart"/>
      <w:r w:rsidRPr="000D175C">
        <w:t>Computerised</w:t>
      </w:r>
      <w:proofErr w:type="spellEnd"/>
      <w:r w:rsidRPr="000D175C">
        <w:t xml:space="preserve"> cognitive–</w:t>
      </w:r>
      <w:proofErr w:type="spellStart"/>
      <w:r w:rsidRPr="000D175C">
        <w:t>behavioural</w:t>
      </w:r>
      <w:proofErr w:type="spellEnd"/>
      <w:r w:rsidRPr="000D175C">
        <w:t xml:space="preserve"> therapy for depression in adolescents: 12-month outcomes of a UK </w:t>
      </w:r>
      <w:proofErr w:type="spellStart"/>
      <w:r w:rsidRPr="000D175C">
        <w:t>randomised</w:t>
      </w:r>
      <w:proofErr w:type="spellEnd"/>
      <w:r w:rsidRPr="000D175C">
        <w:t xml:space="preserve"> controlled trial pilot study. </w:t>
      </w:r>
      <w:proofErr w:type="spellStart"/>
      <w:r w:rsidRPr="000D175C">
        <w:rPr>
          <w:i/>
          <w:iCs/>
        </w:rPr>
        <w:t>BJPsych</w:t>
      </w:r>
      <w:proofErr w:type="spellEnd"/>
      <w:r w:rsidRPr="000D175C">
        <w:rPr>
          <w:i/>
          <w:iCs/>
        </w:rPr>
        <w:t xml:space="preserve"> Open, 6</w:t>
      </w:r>
      <w:r w:rsidRPr="000D175C">
        <w:t>(1), Article e5. https://doi.org/10.1192/bjo.2019.91</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99"/>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101"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101"/>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102"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102"/>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103" w:name="OLE_LINK5"/>
            <w:r w:rsidRPr="00AC639D">
              <w:t>Intervention is not CBT-based or lacks required CBT components (cognitive restructuring and at least one behavioral component)</w:t>
            </w:r>
            <w:bookmarkEnd w:id="103"/>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104" w:name="OLE_LINK6"/>
            <w:r>
              <w:rPr>
                <w:rFonts w:eastAsia="Times New Roman"/>
                <w:sz w:val="20"/>
                <w:szCs w:val="20"/>
              </w:rPr>
              <w:t>Conference abstract or protocol-only publication</w:t>
            </w:r>
            <w:bookmarkEnd w:id="104"/>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105"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105"/>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106"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106"/>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53"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90157" w14:textId="77777777" w:rsidR="00A40275" w:rsidRDefault="00A40275">
      <w:r>
        <w:separator/>
      </w:r>
    </w:p>
  </w:endnote>
  <w:endnote w:type="continuationSeparator" w:id="0">
    <w:p w14:paraId="788CC8E1" w14:textId="77777777" w:rsidR="00A40275" w:rsidRDefault="00A40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D7769" w14:textId="77777777" w:rsidR="00A40275" w:rsidRDefault="00A40275">
      <w:r>
        <w:separator/>
      </w:r>
    </w:p>
  </w:footnote>
  <w:footnote w:type="continuationSeparator" w:id="0">
    <w:p w14:paraId="5CB231FD" w14:textId="77777777" w:rsidR="00A40275" w:rsidRDefault="00A402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21BA"/>
    <w:rsid w:val="00003152"/>
    <w:rsid w:val="00003568"/>
    <w:rsid w:val="00006822"/>
    <w:rsid w:val="00010C8C"/>
    <w:rsid w:val="00010E07"/>
    <w:rsid w:val="000114B9"/>
    <w:rsid w:val="00013C4F"/>
    <w:rsid w:val="00014247"/>
    <w:rsid w:val="00016290"/>
    <w:rsid w:val="00022F86"/>
    <w:rsid w:val="00024818"/>
    <w:rsid w:val="00032587"/>
    <w:rsid w:val="000329A9"/>
    <w:rsid w:val="00032BF3"/>
    <w:rsid w:val="000332BE"/>
    <w:rsid w:val="00034D4E"/>
    <w:rsid w:val="00035A05"/>
    <w:rsid w:val="00035DA2"/>
    <w:rsid w:val="000367BB"/>
    <w:rsid w:val="00037717"/>
    <w:rsid w:val="00044937"/>
    <w:rsid w:val="00045918"/>
    <w:rsid w:val="00051379"/>
    <w:rsid w:val="00052872"/>
    <w:rsid w:val="00053D2B"/>
    <w:rsid w:val="000546D9"/>
    <w:rsid w:val="00057441"/>
    <w:rsid w:val="00060371"/>
    <w:rsid w:val="000614FA"/>
    <w:rsid w:val="00066278"/>
    <w:rsid w:val="00066B68"/>
    <w:rsid w:val="0006772F"/>
    <w:rsid w:val="00071638"/>
    <w:rsid w:val="00072915"/>
    <w:rsid w:val="00072985"/>
    <w:rsid w:val="00073A8D"/>
    <w:rsid w:val="0008002C"/>
    <w:rsid w:val="0008077C"/>
    <w:rsid w:val="000817C9"/>
    <w:rsid w:val="000833F3"/>
    <w:rsid w:val="00083CED"/>
    <w:rsid w:val="00084FF9"/>
    <w:rsid w:val="00086119"/>
    <w:rsid w:val="000916D0"/>
    <w:rsid w:val="00091E4E"/>
    <w:rsid w:val="00092C7B"/>
    <w:rsid w:val="00094538"/>
    <w:rsid w:val="00094F1D"/>
    <w:rsid w:val="00096636"/>
    <w:rsid w:val="000A0168"/>
    <w:rsid w:val="000A069E"/>
    <w:rsid w:val="000A329D"/>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175C"/>
    <w:rsid w:val="000D3B7B"/>
    <w:rsid w:val="000D4C51"/>
    <w:rsid w:val="000D52E9"/>
    <w:rsid w:val="000E09E1"/>
    <w:rsid w:val="000E108C"/>
    <w:rsid w:val="000E1D84"/>
    <w:rsid w:val="000E2BB3"/>
    <w:rsid w:val="000E3F8B"/>
    <w:rsid w:val="000E45FC"/>
    <w:rsid w:val="000E4D7B"/>
    <w:rsid w:val="000E5C44"/>
    <w:rsid w:val="000F3597"/>
    <w:rsid w:val="000F48E3"/>
    <w:rsid w:val="000F6555"/>
    <w:rsid w:val="000F6C5A"/>
    <w:rsid w:val="000F7299"/>
    <w:rsid w:val="000F7427"/>
    <w:rsid w:val="000F7A64"/>
    <w:rsid w:val="000F7E34"/>
    <w:rsid w:val="0010008F"/>
    <w:rsid w:val="0010131B"/>
    <w:rsid w:val="001029E1"/>
    <w:rsid w:val="00102DA3"/>
    <w:rsid w:val="00102FB7"/>
    <w:rsid w:val="0010303D"/>
    <w:rsid w:val="00104B43"/>
    <w:rsid w:val="00107407"/>
    <w:rsid w:val="00107418"/>
    <w:rsid w:val="00113359"/>
    <w:rsid w:val="001156CF"/>
    <w:rsid w:val="0011724F"/>
    <w:rsid w:val="00117B7D"/>
    <w:rsid w:val="001228FD"/>
    <w:rsid w:val="00124646"/>
    <w:rsid w:val="00124802"/>
    <w:rsid w:val="00130DC3"/>
    <w:rsid w:val="0013278B"/>
    <w:rsid w:val="001328FA"/>
    <w:rsid w:val="00134A8E"/>
    <w:rsid w:val="001373F8"/>
    <w:rsid w:val="001378D1"/>
    <w:rsid w:val="00141DB8"/>
    <w:rsid w:val="00151AE7"/>
    <w:rsid w:val="0015256E"/>
    <w:rsid w:val="00152991"/>
    <w:rsid w:val="00153065"/>
    <w:rsid w:val="00153638"/>
    <w:rsid w:val="00154104"/>
    <w:rsid w:val="00160BFD"/>
    <w:rsid w:val="001619F0"/>
    <w:rsid w:val="00162915"/>
    <w:rsid w:val="00170B74"/>
    <w:rsid w:val="001728AF"/>
    <w:rsid w:val="00177280"/>
    <w:rsid w:val="001776F0"/>
    <w:rsid w:val="00180D53"/>
    <w:rsid w:val="00180DF9"/>
    <w:rsid w:val="0018574F"/>
    <w:rsid w:val="0019010B"/>
    <w:rsid w:val="00191D30"/>
    <w:rsid w:val="00192EAA"/>
    <w:rsid w:val="0019480C"/>
    <w:rsid w:val="00194998"/>
    <w:rsid w:val="00194D57"/>
    <w:rsid w:val="001A0DB2"/>
    <w:rsid w:val="001A0DD7"/>
    <w:rsid w:val="001A7758"/>
    <w:rsid w:val="001A7990"/>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2F14"/>
    <w:rsid w:val="00212F77"/>
    <w:rsid w:val="002135C4"/>
    <w:rsid w:val="002155F2"/>
    <w:rsid w:val="00216DB4"/>
    <w:rsid w:val="00217C82"/>
    <w:rsid w:val="0022279C"/>
    <w:rsid w:val="00223940"/>
    <w:rsid w:val="00225746"/>
    <w:rsid w:val="00225D00"/>
    <w:rsid w:val="00225D40"/>
    <w:rsid w:val="00227013"/>
    <w:rsid w:val="002307C4"/>
    <w:rsid w:val="00231B04"/>
    <w:rsid w:val="00232579"/>
    <w:rsid w:val="00233A00"/>
    <w:rsid w:val="0023435C"/>
    <w:rsid w:val="002359C5"/>
    <w:rsid w:val="00235A2C"/>
    <w:rsid w:val="00240DA3"/>
    <w:rsid w:val="00241A04"/>
    <w:rsid w:val="00241FE4"/>
    <w:rsid w:val="00242A1D"/>
    <w:rsid w:val="0024335A"/>
    <w:rsid w:val="00244084"/>
    <w:rsid w:val="00244CB5"/>
    <w:rsid w:val="00254017"/>
    <w:rsid w:val="00254346"/>
    <w:rsid w:val="002548BB"/>
    <w:rsid w:val="00254D53"/>
    <w:rsid w:val="00261750"/>
    <w:rsid w:val="0026581C"/>
    <w:rsid w:val="00267BEE"/>
    <w:rsid w:val="00270222"/>
    <w:rsid w:val="002706F0"/>
    <w:rsid w:val="00270AB1"/>
    <w:rsid w:val="00271263"/>
    <w:rsid w:val="00272C81"/>
    <w:rsid w:val="00281959"/>
    <w:rsid w:val="00283152"/>
    <w:rsid w:val="00283A20"/>
    <w:rsid w:val="00283D17"/>
    <w:rsid w:val="00284CA0"/>
    <w:rsid w:val="00285A56"/>
    <w:rsid w:val="002863D9"/>
    <w:rsid w:val="00290689"/>
    <w:rsid w:val="00290F5C"/>
    <w:rsid w:val="002918C5"/>
    <w:rsid w:val="002942AA"/>
    <w:rsid w:val="002947F1"/>
    <w:rsid w:val="002A0F8C"/>
    <w:rsid w:val="002A14F1"/>
    <w:rsid w:val="002A153B"/>
    <w:rsid w:val="002A3A02"/>
    <w:rsid w:val="002B0041"/>
    <w:rsid w:val="002B3CDC"/>
    <w:rsid w:val="002B3FAD"/>
    <w:rsid w:val="002B48EF"/>
    <w:rsid w:val="002C38AB"/>
    <w:rsid w:val="002D4AB1"/>
    <w:rsid w:val="002D791A"/>
    <w:rsid w:val="002E0D82"/>
    <w:rsid w:val="002E444E"/>
    <w:rsid w:val="002E446A"/>
    <w:rsid w:val="002E700D"/>
    <w:rsid w:val="002F44C5"/>
    <w:rsid w:val="002F7928"/>
    <w:rsid w:val="0030037E"/>
    <w:rsid w:val="00300B48"/>
    <w:rsid w:val="00303C46"/>
    <w:rsid w:val="00305721"/>
    <w:rsid w:val="00307741"/>
    <w:rsid w:val="003100EF"/>
    <w:rsid w:val="0031066D"/>
    <w:rsid w:val="00310732"/>
    <w:rsid w:val="00310A5F"/>
    <w:rsid w:val="00311F0A"/>
    <w:rsid w:val="003142FA"/>
    <w:rsid w:val="003150F6"/>
    <w:rsid w:val="00315DB5"/>
    <w:rsid w:val="00315FC0"/>
    <w:rsid w:val="00316238"/>
    <w:rsid w:val="003223DF"/>
    <w:rsid w:val="00322DF0"/>
    <w:rsid w:val="00324C91"/>
    <w:rsid w:val="0032532F"/>
    <w:rsid w:val="00325B96"/>
    <w:rsid w:val="00330755"/>
    <w:rsid w:val="00330FF4"/>
    <w:rsid w:val="003320E4"/>
    <w:rsid w:val="003327AA"/>
    <w:rsid w:val="00332E6B"/>
    <w:rsid w:val="00334149"/>
    <w:rsid w:val="00334F69"/>
    <w:rsid w:val="003375F6"/>
    <w:rsid w:val="0034080F"/>
    <w:rsid w:val="00346599"/>
    <w:rsid w:val="0035245C"/>
    <w:rsid w:val="003528C8"/>
    <w:rsid w:val="00360F8D"/>
    <w:rsid w:val="00361E37"/>
    <w:rsid w:val="00363109"/>
    <w:rsid w:val="003673F1"/>
    <w:rsid w:val="003674DF"/>
    <w:rsid w:val="00371C2A"/>
    <w:rsid w:val="00372BF6"/>
    <w:rsid w:val="00374259"/>
    <w:rsid w:val="00374DE5"/>
    <w:rsid w:val="00376AA2"/>
    <w:rsid w:val="00377E50"/>
    <w:rsid w:val="00384178"/>
    <w:rsid w:val="003849D5"/>
    <w:rsid w:val="00385DB8"/>
    <w:rsid w:val="003860E3"/>
    <w:rsid w:val="00387F0E"/>
    <w:rsid w:val="00391B4B"/>
    <w:rsid w:val="00393911"/>
    <w:rsid w:val="00396FAE"/>
    <w:rsid w:val="003A19D3"/>
    <w:rsid w:val="003A387B"/>
    <w:rsid w:val="003A4338"/>
    <w:rsid w:val="003A6395"/>
    <w:rsid w:val="003B1193"/>
    <w:rsid w:val="003B1210"/>
    <w:rsid w:val="003B32AA"/>
    <w:rsid w:val="003B395C"/>
    <w:rsid w:val="003C3A12"/>
    <w:rsid w:val="003C50DF"/>
    <w:rsid w:val="003C565F"/>
    <w:rsid w:val="003C65B9"/>
    <w:rsid w:val="003C6AD0"/>
    <w:rsid w:val="003C6B1C"/>
    <w:rsid w:val="003D33B8"/>
    <w:rsid w:val="003D4005"/>
    <w:rsid w:val="003D728B"/>
    <w:rsid w:val="003E067C"/>
    <w:rsid w:val="003E2BDB"/>
    <w:rsid w:val="003F0C00"/>
    <w:rsid w:val="003F159A"/>
    <w:rsid w:val="003F3EEB"/>
    <w:rsid w:val="003F7BD9"/>
    <w:rsid w:val="004037C8"/>
    <w:rsid w:val="0040543E"/>
    <w:rsid w:val="00416176"/>
    <w:rsid w:val="004248A9"/>
    <w:rsid w:val="004261E0"/>
    <w:rsid w:val="00432A58"/>
    <w:rsid w:val="00434E1C"/>
    <w:rsid w:val="004357BA"/>
    <w:rsid w:val="0043791D"/>
    <w:rsid w:val="00441A02"/>
    <w:rsid w:val="00446051"/>
    <w:rsid w:val="00447393"/>
    <w:rsid w:val="00447C80"/>
    <w:rsid w:val="0045397B"/>
    <w:rsid w:val="00453D8C"/>
    <w:rsid w:val="00454331"/>
    <w:rsid w:val="00455817"/>
    <w:rsid w:val="00456798"/>
    <w:rsid w:val="00460835"/>
    <w:rsid w:val="00461CF7"/>
    <w:rsid w:val="00462BC5"/>
    <w:rsid w:val="00463475"/>
    <w:rsid w:val="004646A8"/>
    <w:rsid w:val="0046486E"/>
    <w:rsid w:val="0046713A"/>
    <w:rsid w:val="00474714"/>
    <w:rsid w:val="00474F45"/>
    <w:rsid w:val="00481B02"/>
    <w:rsid w:val="004878D7"/>
    <w:rsid w:val="00487DEF"/>
    <w:rsid w:val="004946BA"/>
    <w:rsid w:val="004957A7"/>
    <w:rsid w:val="00496F0E"/>
    <w:rsid w:val="004974B7"/>
    <w:rsid w:val="004A13A9"/>
    <w:rsid w:val="004A6C38"/>
    <w:rsid w:val="004A6D36"/>
    <w:rsid w:val="004B60AB"/>
    <w:rsid w:val="004B693E"/>
    <w:rsid w:val="004B73C7"/>
    <w:rsid w:val="004B7895"/>
    <w:rsid w:val="004B7C40"/>
    <w:rsid w:val="004C18C9"/>
    <w:rsid w:val="004C5D59"/>
    <w:rsid w:val="004C617A"/>
    <w:rsid w:val="004C62D3"/>
    <w:rsid w:val="004D2DEC"/>
    <w:rsid w:val="004D3A91"/>
    <w:rsid w:val="004D506F"/>
    <w:rsid w:val="004E06C1"/>
    <w:rsid w:val="004E1362"/>
    <w:rsid w:val="004E54AE"/>
    <w:rsid w:val="004E68C9"/>
    <w:rsid w:val="004E768A"/>
    <w:rsid w:val="004E7B8E"/>
    <w:rsid w:val="004F0BDF"/>
    <w:rsid w:val="004F1570"/>
    <w:rsid w:val="004F32A4"/>
    <w:rsid w:val="004F42A6"/>
    <w:rsid w:val="004F4ABE"/>
    <w:rsid w:val="00500778"/>
    <w:rsid w:val="005046DE"/>
    <w:rsid w:val="00516FE0"/>
    <w:rsid w:val="005174C4"/>
    <w:rsid w:val="00517EAC"/>
    <w:rsid w:val="005225EF"/>
    <w:rsid w:val="00523784"/>
    <w:rsid w:val="00533CFD"/>
    <w:rsid w:val="00536FD7"/>
    <w:rsid w:val="005410F5"/>
    <w:rsid w:val="0054675C"/>
    <w:rsid w:val="005543B7"/>
    <w:rsid w:val="00560646"/>
    <w:rsid w:val="0056192E"/>
    <w:rsid w:val="005645E2"/>
    <w:rsid w:val="005650EC"/>
    <w:rsid w:val="005654D5"/>
    <w:rsid w:val="0056724A"/>
    <w:rsid w:val="00573723"/>
    <w:rsid w:val="0057674E"/>
    <w:rsid w:val="00577F80"/>
    <w:rsid w:val="00581B0B"/>
    <w:rsid w:val="005820A8"/>
    <w:rsid w:val="00583702"/>
    <w:rsid w:val="00584112"/>
    <w:rsid w:val="00585F11"/>
    <w:rsid w:val="0058727B"/>
    <w:rsid w:val="005918D0"/>
    <w:rsid w:val="0059234D"/>
    <w:rsid w:val="0059449A"/>
    <w:rsid w:val="00594F99"/>
    <w:rsid w:val="005964E8"/>
    <w:rsid w:val="005A11C3"/>
    <w:rsid w:val="005A4D5C"/>
    <w:rsid w:val="005A4EC5"/>
    <w:rsid w:val="005A6079"/>
    <w:rsid w:val="005B0457"/>
    <w:rsid w:val="005B0DB9"/>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27AF"/>
    <w:rsid w:val="005D4317"/>
    <w:rsid w:val="005E0A57"/>
    <w:rsid w:val="005E4309"/>
    <w:rsid w:val="005E4B5E"/>
    <w:rsid w:val="005E6D10"/>
    <w:rsid w:val="005F08E8"/>
    <w:rsid w:val="005F2227"/>
    <w:rsid w:val="005F269D"/>
    <w:rsid w:val="005F5C4C"/>
    <w:rsid w:val="005F7796"/>
    <w:rsid w:val="00602A8E"/>
    <w:rsid w:val="00605687"/>
    <w:rsid w:val="00606C81"/>
    <w:rsid w:val="00614AF4"/>
    <w:rsid w:val="00614ECE"/>
    <w:rsid w:val="00620693"/>
    <w:rsid w:val="006266FF"/>
    <w:rsid w:val="006312E9"/>
    <w:rsid w:val="0063238F"/>
    <w:rsid w:val="00634814"/>
    <w:rsid w:val="00635E5E"/>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6CA"/>
    <w:rsid w:val="0067298B"/>
    <w:rsid w:val="00673B5F"/>
    <w:rsid w:val="00673C3E"/>
    <w:rsid w:val="00673E2C"/>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968EF"/>
    <w:rsid w:val="006A3524"/>
    <w:rsid w:val="006A4BA3"/>
    <w:rsid w:val="006A5CBD"/>
    <w:rsid w:val="006A6F53"/>
    <w:rsid w:val="006A77F1"/>
    <w:rsid w:val="006B0386"/>
    <w:rsid w:val="006B2786"/>
    <w:rsid w:val="006B3FBE"/>
    <w:rsid w:val="006B64C7"/>
    <w:rsid w:val="006B6D2B"/>
    <w:rsid w:val="006C2324"/>
    <w:rsid w:val="006C4B6F"/>
    <w:rsid w:val="006D6210"/>
    <w:rsid w:val="006D7C45"/>
    <w:rsid w:val="006E03C5"/>
    <w:rsid w:val="006E4B12"/>
    <w:rsid w:val="006E4DCC"/>
    <w:rsid w:val="006E6672"/>
    <w:rsid w:val="006F1C52"/>
    <w:rsid w:val="006F24BF"/>
    <w:rsid w:val="006F456E"/>
    <w:rsid w:val="006F464F"/>
    <w:rsid w:val="006F5E6B"/>
    <w:rsid w:val="006F7363"/>
    <w:rsid w:val="007031B3"/>
    <w:rsid w:val="00704204"/>
    <w:rsid w:val="0070511E"/>
    <w:rsid w:val="00705C59"/>
    <w:rsid w:val="00706A30"/>
    <w:rsid w:val="00711976"/>
    <w:rsid w:val="00711E55"/>
    <w:rsid w:val="0071246E"/>
    <w:rsid w:val="00717388"/>
    <w:rsid w:val="0073071C"/>
    <w:rsid w:val="00731952"/>
    <w:rsid w:val="0073323F"/>
    <w:rsid w:val="00733EC9"/>
    <w:rsid w:val="00736295"/>
    <w:rsid w:val="00736B8D"/>
    <w:rsid w:val="007370A4"/>
    <w:rsid w:val="007406BB"/>
    <w:rsid w:val="00742840"/>
    <w:rsid w:val="007460F4"/>
    <w:rsid w:val="007502ED"/>
    <w:rsid w:val="007514CD"/>
    <w:rsid w:val="007529CD"/>
    <w:rsid w:val="00753333"/>
    <w:rsid w:val="00756560"/>
    <w:rsid w:val="00757D08"/>
    <w:rsid w:val="00761E78"/>
    <w:rsid w:val="00765683"/>
    <w:rsid w:val="00765C2E"/>
    <w:rsid w:val="00766470"/>
    <w:rsid w:val="00766B79"/>
    <w:rsid w:val="007700E8"/>
    <w:rsid w:val="00773BB9"/>
    <w:rsid w:val="00774703"/>
    <w:rsid w:val="00774AAF"/>
    <w:rsid w:val="007803F5"/>
    <w:rsid w:val="00780B81"/>
    <w:rsid w:val="00782497"/>
    <w:rsid w:val="00783E93"/>
    <w:rsid w:val="00784371"/>
    <w:rsid w:val="007868BA"/>
    <w:rsid w:val="0079602E"/>
    <w:rsid w:val="00797CAC"/>
    <w:rsid w:val="007A02BA"/>
    <w:rsid w:val="007A0C57"/>
    <w:rsid w:val="007A1E5C"/>
    <w:rsid w:val="007A2A3D"/>
    <w:rsid w:val="007A3422"/>
    <w:rsid w:val="007A71B9"/>
    <w:rsid w:val="007A7CCF"/>
    <w:rsid w:val="007B1EAF"/>
    <w:rsid w:val="007B2BEC"/>
    <w:rsid w:val="007B5730"/>
    <w:rsid w:val="007B79E9"/>
    <w:rsid w:val="007C0E99"/>
    <w:rsid w:val="007C2244"/>
    <w:rsid w:val="007C3AA9"/>
    <w:rsid w:val="007C41E0"/>
    <w:rsid w:val="007C4875"/>
    <w:rsid w:val="007C5190"/>
    <w:rsid w:val="007C6A0A"/>
    <w:rsid w:val="007C77E2"/>
    <w:rsid w:val="007D1E2E"/>
    <w:rsid w:val="007D2A3C"/>
    <w:rsid w:val="007D37F0"/>
    <w:rsid w:val="007D6CC9"/>
    <w:rsid w:val="007F1C01"/>
    <w:rsid w:val="007F3E55"/>
    <w:rsid w:val="007F48EB"/>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20D"/>
    <w:rsid w:val="00847799"/>
    <w:rsid w:val="00850064"/>
    <w:rsid w:val="00851D4F"/>
    <w:rsid w:val="00851F28"/>
    <w:rsid w:val="0085372F"/>
    <w:rsid w:val="00853E17"/>
    <w:rsid w:val="00854C7A"/>
    <w:rsid w:val="00855297"/>
    <w:rsid w:val="00857140"/>
    <w:rsid w:val="00857C58"/>
    <w:rsid w:val="00860DF8"/>
    <w:rsid w:val="0086238C"/>
    <w:rsid w:val="00865B87"/>
    <w:rsid w:val="00871D9C"/>
    <w:rsid w:val="008739E3"/>
    <w:rsid w:val="00874C70"/>
    <w:rsid w:val="00874DC1"/>
    <w:rsid w:val="00875F40"/>
    <w:rsid w:val="008864EE"/>
    <w:rsid w:val="0089197B"/>
    <w:rsid w:val="00892008"/>
    <w:rsid w:val="0089294E"/>
    <w:rsid w:val="00892BE0"/>
    <w:rsid w:val="00893010"/>
    <w:rsid w:val="00893A0D"/>
    <w:rsid w:val="00893C1D"/>
    <w:rsid w:val="00894383"/>
    <w:rsid w:val="00894D18"/>
    <w:rsid w:val="008961AC"/>
    <w:rsid w:val="008A0D89"/>
    <w:rsid w:val="008A181F"/>
    <w:rsid w:val="008A2082"/>
    <w:rsid w:val="008A3660"/>
    <w:rsid w:val="008A37BE"/>
    <w:rsid w:val="008A6EC9"/>
    <w:rsid w:val="008A73FC"/>
    <w:rsid w:val="008A7F13"/>
    <w:rsid w:val="008B0A4F"/>
    <w:rsid w:val="008B0DDD"/>
    <w:rsid w:val="008B15D8"/>
    <w:rsid w:val="008B1833"/>
    <w:rsid w:val="008B19CD"/>
    <w:rsid w:val="008B374B"/>
    <w:rsid w:val="008B3D19"/>
    <w:rsid w:val="008C05FC"/>
    <w:rsid w:val="008C1068"/>
    <w:rsid w:val="008C148B"/>
    <w:rsid w:val="008C1AC4"/>
    <w:rsid w:val="008C2454"/>
    <w:rsid w:val="008C2A71"/>
    <w:rsid w:val="008C33C1"/>
    <w:rsid w:val="008C375C"/>
    <w:rsid w:val="008C38EF"/>
    <w:rsid w:val="008C5C4E"/>
    <w:rsid w:val="008C6117"/>
    <w:rsid w:val="008D4EBD"/>
    <w:rsid w:val="008D5616"/>
    <w:rsid w:val="008E0C60"/>
    <w:rsid w:val="008E220F"/>
    <w:rsid w:val="008E3603"/>
    <w:rsid w:val="008E39C8"/>
    <w:rsid w:val="008E4DD0"/>
    <w:rsid w:val="008F11F0"/>
    <w:rsid w:val="008F4577"/>
    <w:rsid w:val="008F7CE7"/>
    <w:rsid w:val="008F7D0A"/>
    <w:rsid w:val="00901B43"/>
    <w:rsid w:val="00905454"/>
    <w:rsid w:val="009114F9"/>
    <w:rsid w:val="009137F1"/>
    <w:rsid w:val="00913A58"/>
    <w:rsid w:val="00913DE5"/>
    <w:rsid w:val="00914F5E"/>
    <w:rsid w:val="0091591B"/>
    <w:rsid w:val="00915C37"/>
    <w:rsid w:val="00916C45"/>
    <w:rsid w:val="0091777B"/>
    <w:rsid w:val="00921B1E"/>
    <w:rsid w:val="0092244F"/>
    <w:rsid w:val="009258D8"/>
    <w:rsid w:val="00926386"/>
    <w:rsid w:val="00926DD2"/>
    <w:rsid w:val="00931D62"/>
    <w:rsid w:val="00932A79"/>
    <w:rsid w:val="00932FA3"/>
    <w:rsid w:val="00933AFA"/>
    <w:rsid w:val="009340D9"/>
    <w:rsid w:val="0094308D"/>
    <w:rsid w:val="0094340D"/>
    <w:rsid w:val="00950BF3"/>
    <w:rsid w:val="00952B59"/>
    <w:rsid w:val="009555E2"/>
    <w:rsid w:val="009607CD"/>
    <w:rsid w:val="00963B97"/>
    <w:rsid w:val="0096433D"/>
    <w:rsid w:val="00967876"/>
    <w:rsid w:val="00967ABB"/>
    <w:rsid w:val="00971672"/>
    <w:rsid w:val="0097307E"/>
    <w:rsid w:val="009741C3"/>
    <w:rsid w:val="0097777F"/>
    <w:rsid w:val="00981E36"/>
    <w:rsid w:val="009823E2"/>
    <w:rsid w:val="00984EEF"/>
    <w:rsid w:val="00987166"/>
    <w:rsid w:val="009875A7"/>
    <w:rsid w:val="00991A4E"/>
    <w:rsid w:val="009934F0"/>
    <w:rsid w:val="00996ED6"/>
    <w:rsid w:val="009A0AC1"/>
    <w:rsid w:val="009A18BE"/>
    <w:rsid w:val="009A6242"/>
    <w:rsid w:val="009A6668"/>
    <w:rsid w:val="009A6FC4"/>
    <w:rsid w:val="009B22C2"/>
    <w:rsid w:val="009B23F1"/>
    <w:rsid w:val="009B295D"/>
    <w:rsid w:val="009B4D1F"/>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10A8"/>
    <w:rsid w:val="009E5E6F"/>
    <w:rsid w:val="009E6CC9"/>
    <w:rsid w:val="009F1AD2"/>
    <w:rsid w:val="009F2CBF"/>
    <w:rsid w:val="009F3529"/>
    <w:rsid w:val="00A11A0F"/>
    <w:rsid w:val="00A13C38"/>
    <w:rsid w:val="00A2266A"/>
    <w:rsid w:val="00A255EA"/>
    <w:rsid w:val="00A2615C"/>
    <w:rsid w:val="00A34638"/>
    <w:rsid w:val="00A35027"/>
    <w:rsid w:val="00A40275"/>
    <w:rsid w:val="00A40860"/>
    <w:rsid w:val="00A41A09"/>
    <w:rsid w:val="00A42618"/>
    <w:rsid w:val="00A433D9"/>
    <w:rsid w:val="00A45E1D"/>
    <w:rsid w:val="00A46D96"/>
    <w:rsid w:val="00A51C16"/>
    <w:rsid w:val="00A55E6F"/>
    <w:rsid w:val="00A56615"/>
    <w:rsid w:val="00A5684A"/>
    <w:rsid w:val="00A6057D"/>
    <w:rsid w:val="00A60663"/>
    <w:rsid w:val="00A629B4"/>
    <w:rsid w:val="00A65746"/>
    <w:rsid w:val="00A73037"/>
    <w:rsid w:val="00A73289"/>
    <w:rsid w:val="00A7402E"/>
    <w:rsid w:val="00A76A90"/>
    <w:rsid w:val="00A82808"/>
    <w:rsid w:val="00A84446"/>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15F5"/>
    <w:rsid w:val="00AD21B0"/>
    <w:rsid w:val="00AD3EA4"/>
    <w:rsid w:val="00AD6287"/>
    <w:rsid w:val="00AD6DC9"/>
    <w:rsid w:val="00AE1CB6"/>
    <w:rsid w:val="00AE1CE8"/>
    <w:rsid w:val="00AE423D"/>
    <w:rsid w:val="00AF166E"/>
    <w:rsid w:val="00AF2254"/>
    <w:rsid w:val="00AF32DD"/>
    <w:rsid w:val="00AF3E31"/>
    <w:rsid w:val="00AF4E64"/>
    <w:rsid w:val="00B00CF5"/>
    <w:rsid w:val="00B0153C"/>
    <w:rsid w:val="00B03DCC"/>
    <w:rsid w:val="00B03DF0"/>
    <w:rsid w:val="00B10292"/>
    <w:rsid w:val="00B104A9"/>
    <w:rsid w:val="00B10996"/>
    <w:rsid w:val="00B13DC9"/>
    <w:rsid w:val="00B17069"/>
    <w:rsid w:val="00B17FDF"/>
    <w:rsid w:val="00B203C7"/>
    <w:rsid w:val="00B214D1"/>
    <w:rsid w:val="00B21A13"/>
    <w:rsid w:val="00B23178"/>
    <w:rsid w:val="00B2365D"/>
    <w:rsid w:val="00B2388E"/>
    <w:rsid w:val="00B238A1"/>
    <w:rsid w:val="00B23B0F"/>
    <w:rsid w:val="00B24CCA"/>
    <w:rsid w:val="00B30C6E"/>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1BE8"/>
    <w:rsid w:val="00B72CF8"/>
    <w:rsid w:val="00B7476E"/>
    <w:rsid w:val="00B74865"/>
    <w:rsid w:val="00B74B5A"/>
    <w:rsid w:val="00B7783D"/>
    <w:rsid w:val="00B77DB5"/>
    <w:rsid w:val="00B8460A"/>
    <w:rsid w:val="00B8502E"/>
    <w:rsid w:val="00B87D49"/>
    <w:rsid w:val="00B90BA9"/>
    <w:rsid w:val="00B911B5"/>
    <w:rsid w:val="00B96947"/>
    <w:rsid w:val="00B96CC2"/>
    <w:rsid w:val="00BA0CF6"/>
    <w:rsid w:val="00BA362C"/>
    <w:rsid w:val="00BA511C"/>
    <w:rsid w:val="00BA57B8"/>
    <w:rsid w:val="00BA62EF"/>
    <w:rsid w:val="00BA6731"/>
    <w:rsid w:val="00BA7E47"/>
    <w:rsid w:val="00BB1264"/>
    <w:rsid w:val="00BB501D"/>
    <w:rsid w:val="00BC1E98"/>
    <w:rsid w:val="00BC338F"/>
    <w:rsid w:val="00BC3524"/>
    <w:rsid w:val="00BC39C2"/>
    <w:rsid w:val="00BC6731"/>
    <w:rsid w:val="00BC673A"/>
    <w:rsid w:val="00BD07E5"/>
    <w:rsid w:val="00BD2EF0"/>
    <w:rsid w:val="00BD41D3"/>
    <w:rsid w:val="00BD4658"/>
    <w:rsid w:val="00BD6385"/>
    <w:rsid w:val="00BD7461"/>
    <w:rsid w:val="00BE0225"/>
    <w:rsid w:val="00BE1056"/>
    <w:rsid w:val="00BE1B95"/>
    <w:rsid w:val="00BE216A"/>
    <w:rsid w:val="00BE2734"/>
    <w:rsid w:val="00BE2F96"/>
    <w:rsid w:val="00BE4AFB"/>
    <w:rsid w:val="00BE4EDC"/>
    <w:rsid w:val="00BE576F"/>
    <w:rsid w:val="00BE59D2"/>
    <w:rsid w:val="00BE6D28"/>
    <w:rsid w:val="00BE7E73"/>
    <w:rsid w:val="00BF07C4"/>
    <w:rsid w:val="00BF3F26"/>
    <w:rsid w:val="00BF4029"/>
    <w:rsid w:val="00BF6D66"/>
    <w:rsid w:val="00BF70C0"/>
    <w:rsid w:val="00C11E26"/>
    <w:rsid w:val="00C127A3"/>
    <w:rsid w:val="00C13949"/>
    <w:rsid w:val="00C13CBB"/>
    <w:rsid w:val="00C16B32"/>
    <w:rsid w:val="00C207CF"/>
    <w:rsid w:val="00C2503A"/>
    <w:rsid w:val="00C272DE"/>
    <w:rsid w:val="00C30B5D"/>
    <w:rsid w:val="00C30FB0"/>
    <w:rsid w:val="00C31385"/>
    <w:rsid w:val="00C3148A"/>
    <w:rsid w:val="00C323C9"/>
    <w:rsid w:val="00C35D16"/>
    <w:rsid w:val="00C37FC3"/>
    <w:rsid w:val="00C40EA7"/>
    <w:rsid w:val="00C41DC3"/>
    <w:rsid w:val="00C43BB7"/>
    <w:rsid w:val="00C45645"/>
    <w:rsid w:val="00C46AE8"/>
    <w:rsid w:val="00C46AEA"/>
    <w:rsid w:val="00C478A1"/>
    <w:rsid w:val="00C5095B"/>
    <w:rsid w:val="00C50B72"/>
    <w:rsid w:val="00C51A70"/>
    <w:rsid w:val="00C51F14"/>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187A"/>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205F"/>
    <w:rsid w:val="00CE33CB"/>
    <w:rsid w:val="00CE79CE"/>
    <w:rsid w:val="00CF2B8E"/>
    <w:rsid w:val="00CF54A4"/>
    <w:rsid w:val="00CF5535"/>
    <w:rsid w:val="00CF6D71"/>
    <w:rsid w:val="00D013A0"/>
    <w:rsid w:val="00D01F5C"/>
    <w:rsid w:val="00D069DA"/>
    <w:rsid w:val="00D12127"/>
    <w:rsid w:val="00D2102F"/>
    <w:rsid w:val="00D21FF1"/>
    <w:rsid w:val="00D2288C"/>
    <w:rsid w:val="00D25CA1"/>
    <w:rsid w:val="00D27AF0"/>
    <w:rsid w:val="00D32BCA"/>
    <w:rsid w:val="00D33058"/>
    <w:rsid w:val="00D335F2"/>
    <w:rsid w:val="00D37035"/>
    <w:rsid w:val="00D373BB"/>
    <w:rsid w:val="00D4058C"/>
    <w:rsid w:val="00D40967"/>
    <w:rsid w:val="00D42252"/>
    <w:rsid w:val="00D4385A"/>
    <w:rsid w:val="00D44E2D"/>
    <w:rsid w:val="00D450DC"/>
    <w:rsid w:val="00D458F4"/>
    <w:rsid w:val="00D50755"/>
    <w:rsid w:val="00D5140D"/>
    <w:rsid w:val="00D518A4"/>
    <w:rsid w:val="00D522B3"/>
    <w:rsid w:val="00D52C3D"/>
    <w:rsid w:val="00D533A5"/>
    <w:rsid w:val="00D56307"/>
    <w:rsid w:val="00D56604"/>
    <w:rsid w:val="00D6331B"/>
    <w:rsid w:val="00D673FC"/>
    <w:rsid w:val="00D704EF"/>
    <w:rsid w:val="00D71CDE"/>
    <w:rsid w:val="00D74777"/>
    <w:rsid w:val="00D75227"/>
    <w:rsid w:val="00D753E1"/>
    <w:rsid w:val="00D75AEA"/>
    <w:rsid w:val="00D80A95"/>
    <w:rsid w:val="00D8153E"/>
    <w:rsid w:val="00D83CD5"/>
    <w:rsid w:val="00DA1815"/>
    <w:rsid w:val="00DA4BC6"/>
    <w:rsid w:val="00DB0C1E"/>
    <w:rsid w:val="00DB1337"/>
    <w:rsid w:val="00DB320F"/>
    <w:rsid w:val="00DB3638"/>
    <w:rsid w:val="00DB4664"/>
    <w:rsid w:val="00DB6FE5"/>
    <w:rsid w:val="00DC2A38"/>
    <w:rsid w:val="00DC68A9"/>
    <w:rsid w:val="00DC6BDF"/>
    <w:rsid w:val="00DD028D"/>
    <w:rsid w:val="00DD1225"/>
    <w:rsid w:val="00DD28C8"/>
    <w:rsid w:val="00DD2E35"/>
    <w:rsid w:val="00DE47E0"/>
    <w:rsid w:val="00DE4B88"/>
    <w:rsid w:val="00DE4D8D"/>
    <w:rsid w:val="00DE5BAE"/>
    <w:rsid w:val="00DE7D97"/>
    <w:rsid w:val="00DE7EDA"/>
    <w:rsid w:val="00DF066C"/>
    <w:rsid w:val="00DF0C0B"/>
    <w:rsid w:val="00DF0EBA"/>
    <w:rsid w:val="00DF243B"/>
    <w:rsid w:val="00DF38B7"/>
    <w:rsid w:val="00DF4A32"/>
    <w:rsid w:val="00DF6837"/>
    <w:rsid w:val="00DF75CD"/>
    <w:rsid w:val="00DF7CEB"/>
    <w:rsid w:val="00E12D72"/>
    <w:rsid w:val="00E13B07"/>
    <w:rsid w:val="00E14780"/>
    <w:rsid w:val="00E22328"/>
    <w:rsid w:val="00E23259"/>
    <w:rsid w:val="00E23B26"/>
    <w:rsid w:val="00E24890"/>
    <w:rsid w:val="00E26AE9"/>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14C7"/>
    <w:rsid w:val="00E42B59"/>
    <w:rsid w:val="00E431FF"/>
    <w:rsid w:val="00E438AA"/>
    <w:rsid w:val="00E445B7"/>
    <w:rsid w:val="00E47340"/>
    <w:rsid w:val="00E47D9D"/>
    <w:rsid w:val="00E5102A"/>
    <w:rsid w:val="00E54200"/>
    <w:rsid w:val="00E550E4"/>
    <w:rsid w:val="00E55FA6"/>
    <w:rsid w:val="00E56A17"/>
    <w:rsid w:val="00E57CDF"/>
    <w:rsid w:val="00E612BC"/>
    <w:rsid w:val="00E61DE1"/>
    <w:rsid w:val="00E63444"/>
    <w:rsid w:val="00E64748"/>
    <w:rsid w:val="00E65B5E"/>
    <w:rsid w:val="00E67E87"/>
    <w:rsid w:val="00E701EB"/>
    <w:rsid w:val="00E7390F"/>
    <w:rsid w:val="00E74DAD"/>
    <w:rsid w:val="00E8341B"/>
    <w:rsid w:val="00E83793"/>
    <w:rsid w:val="00E83A81"/>
    <w:rsid w:val="00E83BBF"/>
    <w:rsid w:val="00E84435"/>
    <w:rsid w:val="00E917C3"/>
    <w:rsid w:val="00E933EA"/>
    <w:rsid w:val="00E9512F"/>
    <w:rsid w:val="00E95321"/>
    <w:rsid w:val="00E96157"/>
    <w:rsid w:val="00EA066C"/>
    <w:rsid w:val="00EA120F"/>
    <w:rsid w:val="00EA2F02"/>
    <w:rsid w:val="00EA32E7"/>
    <w:rsid w:val="00EA3D77"/>
    <w:rsid w:val="00EA42EE"/>
    <w:rsid w:val="00EA4FD3"/>
    <w:rsid w:val="00EA6021"/>
    <w:rsid w:val="00EA6116"/>
    <w:rsid w:val="00EB063D"/>
    <w:rsid w:val="00EB3EA3"/>
    <w:rsid w:val="00EB5665"/>
    <w:rsid w:val="00EC04D2"/>
    <w:rsid w:val="00EC13FF"/>
    <w:rsid w:val="00EC2B1B"/>
    <w:rsid w:val="00EC2E0A"/>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04D97"/>
    <w:rsid w:val="00F12818"/>
    <w:rsid w:val="00F12B07"/>
    <w:rsid w:val="00F133B2"/>
    <w:rsid w:val="00F1345D"/>
    <w:rsid w:val="00F13FD5"/>
    <w:rsid w:val="00F1618C"/>
    <w:rsid w:val="00F16F92"/>
    <w:rsid w:val="00F207B2"/>
    <w:rsid w:val="00F22CAA"/>
    <w:rsid w:val="00F315C0"/>
    <w:rsid w:val="00F351EB"/>
    <w:rsid w:val="00F35295"/>
    <w:rsid w:val="00F36968"/>
    <w:rsid w:val="00F37C88"/>
    <w:rsid w:val="00F424E4"/>
    <w:rsid w:val="00F435D5"/>
    <w:rsid w:val="00F46B99"/>
    <w:rsid w:val="00F50362"/>
    <w:rsid w:val="00F509E8"/>
    <w:rsid w:val="00F50BC6"/>
    <w:rsid w:val="00F54822"/>
    <w:rsid w:val="00F571D3"/>
    <w:rsid w:val="00F5732B"/>
    <w:rsid w:val="00F6302F"/>
    <w:rsid w:val="00F67318"/>
    <w:rsid w:val="00F71755"/>
    <w:rsid w:val="00F75454"/>
    <w:rsid w:val="00F757DC"/>
    <w:rsid w:val="00F77056"/>
    <w:rsid w:val="00F77A5E"/>
    <w:rsid w:val="00F81E04"/>
    <w:rsid w:val="00F83C64"/>
    <w:rsid w:val="00F85F14"/>
    <w:rsid w:val="00F930B1"/>
    <w:rsid w:val="00F94CA4"/>
    <w:rsid w:val="00F95387"/>
    <w:rsid w:val="00FA2E98"/>
    <w:rsid w:val="00FA414F"/>
    <w:rsid w:val="00FA6149"/>
    <w:rsid w:val="00FA670F"/>
    <w:rsid w:val="00FB04A4"/>
    <w:rsid w:val="00FB06ED"/>
    <w:rsid w:val="00FB2B42"/>
    <w:rsid w:val="00FB3BC0"/>
    <w:rsid w:val="00FB3CAC"/>
    <w:rsid w:val="00FB7773"/>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36323780">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56515934">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0099829">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65699399">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15770007">
      <w:bodyDiv w:val="1"/>
      <w:marLeft w:val="0"/>
      <w:marRight w:val="0"/>
      <w:marTop w:val="0"/>
      <w:marBottom w:val="0"/>
      <w:divBdr>
        <w:top w:val="none" w:sz="0" w:space="0" w:color="auto"/>
        <w:left w:val="none" w:sz="0" w:space="0" w:color="auto"/>
        <w:bottom w:val="none" w:sz="0" w:space="0" w:color="auto"/>
        <w:right w:val="none" w:sz="0" w:space="0" w:color="auto"/>
      </w:divBdr>
    </w:div>
    <w:div w:id="339894742">
      <w:bodyDiv w:val="1"/>
      <w:marLeft w:val="0"/>
      <w:marRight w:val="0"/>
      <w:marTop w:val="0"/>
      <w:marBottom w:val="0"/>
      <w:divBdr>
        <w:top w:val="none" w:sz="0" w:space="0" w:color="auto"/>
        <w:left w:val="none" w:sz="0" w:space="0" w:color="auto"/>
        <w:bottom w:val="none" w:sz="0" w:space="0" w:color="auto"/>
        <w:right w:val="none" w:sz="0" w:space="0" w:color="auto"/>
      </w:divBdr>
      <w:divsChild>
        <w:div w:id="1485662680">
          <w:marLeft w:val="0"/>
          <w:marRight w:val="0"/>
          <w:marTop w:val="0"/>
          <w:marBottom w:val="0"/>
          <w:divBdr>
            <w:top w:val="none" w:sz="0" w:space="0" w:color="auto"/>
            <w:left w:val="none" w:sz="0" w:space="0" w:color="auto"/>
            <w:bottom w:val="none" w:sz="0" w:space="0" w:color="auto"/>
            <w:right w:val="none" w:sz="0" w:space="0" w:color="auto"/>
          </w:divBdr>
          <w:divsChild>
            <w:div w:id="781727847">
              <w:marLeft w:val="0"/>
              <w:marRight w:val="0"/>
              <w:marTop w:val="0"/>
              <w:marBottom w:val="0"/>
              <w:divBdr>
                <w:top w:val="none" w:sz="0" w:space="0" w:color="auto"/>
                <w:left w:val="none" w:sz="0" w:space="0" w:color="auto"/>
                <w:bottom w:val="none" w:sz="0" w:space="0" w:color="auto"/>
                <w:right w:val="none" w:sz="0" w:space="0" w:color="auto"/>
              </w:divBdr>
              <w:divsChild>
                <w:div w:id="31081571">
                  <w:marLeft w:val="0"/>
                  <w:marRight w:val="0"/>
                  <w:marTop w:val="0"/>
                  <w:marBottom w:val="0"/>
                  <w:divBdr>
                    <w:top w:val="none" w:sz="0" w:space="0" w:color="auto"/>
                    <w:left w:val="none" w:sz="0" w:space="0" w:color="auto"/>
                    <w:bottom w:val="none" w:sz="0" w:space="0" w:color="auto"/>
                    <w:right w:val="none" w:sz="0" w:space="0" w:color="auto"/>
                  </w:divBdr>
                  <w:divsChild>
                    <w:div w:id="1664969962">
                      <w:marLeft w:val="0"/>
                      <w:marRight w:val="0"/>
                      <w:marTop w:val="0"/>
                      <w:marBottom w:val="0"/>
                      <w:divBdr>
                        <w:top w:val="none" w:sz="0" w:space="0" w:color="auto"/>
                        <w:left w:val="none" w:sz="0" w:space="0" w:color="auto"/>
                        <w:bottom w:val="none" w:sz="0" w:space="0" w:color="auto"/>
                        <w:right w:val="none" w:sz="0" w:space="0" w:color="auto"/>
                      </w:divBdr>
                      <w:divsChild>
                        <w:div w:id="870262062">
                          <w:marLeft w:val="0"/>
                          <w:marRight w:val="0"/>
                          <w:marTop w:val="0"/>
                          <w:marBottom w:val="0"/>
                          <w:divBdr>
                            <w:top w:val="none" w:sz="0" w:space="0" w:color="auto"/>
                            <w:left w:val="none" w:sz="0" w:space="0" w:color="auto"/>
                            <w:bottom w:val="none" w:sz="0" w:space="0" w:color="auto"/>
                            <w:right w:val="none" w:sz="0" w:space="0" w:color="auto"/>
                          </w:divBdr>
                          <w:divsChild>
                            <w:div w:id="1093820401">
                              <w:marLeft w:val="0"/>
                              <w:marRight w:val="0"/>
                              <w:marTop w:val="0"/>
                              <w:marBottom w:val="0"/>
                              <w:divBdr>
                                <w:top w:val="none" w:sz="0" w:space="0" w:color="auto"/>
                                <w:left w:val="none" w:sz="0" w:space="0" w:color="auto"/>
                                <w:bottom w:val="none" w:sz="0" w:space="0" w:color="auto"/>
                                <w:right w:val="none" w:sz="0" w:space="0" w:color="auto"/>
                              </w:divBdr>
                              <w:divsChild>
                                <w:div w:id="913391318">
                                  <w:marLeft w:val="0"/>
                                  <w:marRight w:val="0"/>
                                  <w:marTop w:val="0"/>
                                  <w:marBottom w:val="0"/>
                                  <w:divBdr>
                                    <w:top w:val="none" w:sz="0" w:space="0" w:color="auto"/>
                                    <w:left w:val="none" w:sz="0" w:space="0" w:color="auto"/>
                                    <w:bottom w:val="none" w:sz="0" w:space="0" w:color="auto"/>
                                    <w:right w:val="none" w:sz="0" w:space="0" w:color="auto"/>
                                  </w:divBdr>
                                  <w:divsChild>
                                    <w:div w:id="1111318516">
                                      <w:marLeft w:val="0"/>
                                      <w:marRight w:val="0"/>
                                      <w:marTop w:val="0"/>
                                      <w:marBottom w:val="0"/>
                                      <w:divBdr>
                                        <w:top w:val="none" w:sz="0" w:space="0" w:color="auto"/>
                                        <w:left w:val="none" w:sz="0" w:space="0" w:color="auto"/>
                                        <w:bottom w:val="none" w:sz="0" w:space="0" w:color="auto"/>
                                        <w:right w:val="none" w:sz="0" w:space="0" w:color="auto"/>
                                      </w:divBdr>
                                      <w:divsChild>
                                        <w:div w:id="2120908050">
                                          <w:marLeft w:val="0"/>
                                          <w:marRight w:val="0"/>
                                          <w:marTop w:val="0"/>
                                          <w:marBottom w:val="0"/>
                                          <w:divBdr>
                                            <w:top w:val="none" w:sz="0" w:space="0" w:color="auto"/>
                                            <w:left w:val="none" w:sz="0" w:space="0" w:color="auto"/>
                                            <w:bottom w:val="none" w:sz="0" w:space="0" w:color="auto"/>
                                            <w:right w:val="none" w:sz="0" w:space="0" w:color="auto"/>
                                          </w:divBdr>
                                          <w:divsChild>
                                            <w:div w:id="1496650369">
                                              <w:marLeft w:val="0"/>
                                              <w:marRight w:val="0"/>
                                              <w:marTop w:val="0"/>
                                              <w:marBottom w:val="0"/>
                                              <w:divBdr>
                                                <w:top w:val="none" w:sz="0" w:space="0" w:color="auto"/>
                                                <w:left w:val="none" w:sz="0" w:space="0" w:color="auto"/>
                                                <w:bottom w:val="none" w:sz="0" w:space="0" w:color="auto"/>
                                                <w:right w:val="none" w:sz="0" w:space="0" w:color="auto"/>
                                              </w:divBdr>
                                              <w:divsChild>
                                                <w:div w:id="828912225">
                                                  <w:marLeft w:val="0"/>
                                                  <w:marRight w:val="0"/>
                                                  <w:marTop w:val="0"/>
                                                  <w:marBottom w:val="0"/>
                                                  <w:divBdr>
                                                    <w:top w:val="none" w:sz="0" w:space="0" w:color="auto"/>
                                                    <w:left w:val="none" w:sz="0" w:space="0" w:color="auto"/>
                                                    <w:bottom w:val="none" w:sz="0" w:space="0" w:color="auto"/>
                                                    <w:right w:val="none" w:sz="0" w:space="0" w:color="auto"/>
                                                  </w:divBdr>
                                                  <w:divsChild>
                                                    <w:div w:id="1798600924">
                                                      <w:marLeft w:val="0"/>
                                                      <w:marRight w:val="0"/>
                                                      <w:marTop w:val="0"/>
                                                      <w:marBottom w:val="0"/>
                                                      <w:divBdr>
                                                        <w:top w:val="none" w:sz="0" w:space="0" w:color="auto"/>
                                                        <w:left w:val="none" w:sz="0" w:space="0" w:color="auto"/>
                                                        <w:bottom w:val="none" w:sz="0" w:space="0" w:color="auto"/>
                                                        <w:right w:val="none" w:sz="0" w:space="0" w:color="auto"/>
                                                      </w:divBdr>
                                                      <w:divsChild>
                                                        <w:div w:id="1468473991">
                                                          <w:marLeft w:val="0"/>
                                                          <w:marRight w:val="0"/>
                                                          <w:marTop w:val="0"/>
                                                          <w:marBottom w:val="0"/>
                                                          <w:divBdr>
                                                            <w:top w:val="none" w:sz="0" w:space="0" w:color="auto"/>
                                                            <w:left w:val="none" w:sz="0" w:space="0" w:color="auto"/>
                                                            <w:bottom w:val="none" w:sz="0" w:space="0" w:color="auto"/>
                                                            <w:right w:val="none" w:sz="0" w:space="0" w:color="auto"/>
                                                          </w:divBdr>
                                                        </w:div>
                                                        <w:div w:id="3711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2729150">
                                  <w:marLeft w:val="0"/>
                                  <w:marRight w:val="0"/>
                                  <w:marTop w:val="0"/>
                                  <w:marBottom w:val="0"/>
                                  <w:divBdr>
                                    <w:top w:val="none" w:sz="0" w:space="0" w:color="auto"/>
                                    <w:left w:val="none" w:sz="0" w:space="0" w:color="auto"/>
                                    <w:bottom w:val="none" w:sz="0" w:space="0" w:color="auto"/>
                                    <w:right w:val="none" w:sz="0" w:space="0" w:color="auto"/>
                                  </w:divBdr>
                                  <w:divsChild>
                                    <w:div w:id="58853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8313822">
          <w:marLeft w:val="0"/>
          <w:marRight w:val="0"/>
          <w:marTop w:val="0"/>
          <w:marBottom w:val="0"/>
          <w:divBdr>
            <w:top w:val="none" w:sz="0" w:space="0" w:color="auto"/>
            <w:left w:val="none" w:sz="0" w:space="0" w:color="auto"/>
            <w:bottom w:val="none" w:sz="0" w:space="0" w:color="auto"/>
            <w:right w:val="none" w:sz="0" w:space="0" w:color="auto"/>
          </w:divBdr>
          <w:divsChild>
            <w:div w:id="1365331026">
              <w:marLeft w:val="0"/>
              <w:marRight w:val="0"/>
              <w:marTop w:val="0"/>
              <w:marBottom w:val="0"/>
              <w:divBdr>
                <w:top w:val="none" w:sz="0" w:space="0" w:color="auto"/>
                <w:left w:val="none" w:sz="0" w:space="0" w:color="auto"/>
                <w:bottom w:val="none" w:sz="0" w:space="0" w:color="auto"/>
                <w:right w:val="none" w:sz="0" w:space="0" w:color="auto"/>
              </w:divBdr>
              <w:divsChild>
                <w:div w:id="1845901778">
                  <w:marLeft w:val="0"/>
                  <w:marRight w:val="0"/>
                  <w:marTop w:val="0"/>
                  <w:marBottom w:val="0"/>
                  <w:divBdr>
                    <w:top w:val="none" w:sz="0" w:space="0" w:color="auto"/>
                    <w:left w:val="none" w:sz="0" w:space="0" w:color="auto"/>
                    <w:bottom w:val="none" w:sz="0" w:space="0" w:color="auto"/>
                    <w:right w:val="none" w:sz="0" w:space="0" w:color="auto"/>
                  </w:divBdr>
                  <w:divsChild>
                    <w:div w:id="2144536062">
                      <w:marLeft w:val="0"/>
                      <w:marRight w:val="0"/>
                      <w:marTop w:val="0"/>
                      <w:marBottom w:val="0"/>
                      <w:divBdr>
                        <w:top w:val="none" w:sz="0" w:space="0" w:color="auto"/>
                        <w:left w:val="none" w:sz="0" w:space="0" w:color="auto"/>
                        <w:bottom w:val="none" w:sz="0" w:space="0" w:color="auto"/>
                        <w:right w:val="none" w:sz="0" w:space="0" w:color="auto"/>
                      </w:divBdr>
                      <w:divsChild>
                        <w:div w:id="515115758">
                          <w:marLeft w:val="0"/>
                          <w:marRight w:val="0"/>
                          <w:marTop w:val="0"/>
                          <w:marBottom w:val="0"/>
                          <w:divBdr>
                            <w:top w:val="none" w:sz="0" w:space="0" w:color="auto"/>
                            <w:left w:val="none" w:sz="0" w:space="0" w:color="auto"/>
                            <w:bottom w:val="none" w:sz="0" w:space="0" w:color="auto"/>
                            <w:right w:val="none" w:sz="0" w:space="0" w:color="auto"/>
                          </w:divBdr>
                        </w:div>
                        <w:div w:id="578641526">
                          <w:marLeft w:val="0"/>
                          <w:marRight w:val="0"/>
                          <w:marTop w:val="0"/>
                          <w:marBottom w:val="0"/>
                          <w:divBdr>
                            <w:top w:val="none" w:sz="0" w:space="0" w:color="auto"/>
                            <w:left w:val="none" w:sz="0" w:space="0" w:color="auto"/>
                            <w:bottom w:val="none" w:sz="0" w:space="0" w:color="auto"/>
                            <w:right w:val="none" w:sz="0" w:space="0" w:color="auto"/>
                          </w:divBdr>
                          <w:divsChild>
                            <w:div w:id="78408449">
                              <w:marLeft w:val="0"/>
                              <w:marRight w:val="0"/>
                              <w:marTop w:val="0"/>
                              <w:marBottom w:val="0"/>
                              <w:divBdr>
                                <w:top w:val="none" w:sz="0" w:space="0" w:color="auto"/>
                                <w:left w:val="none" w:sz="0" w:space="0" w:color="auto"/>
                                <w:bottom w:val="none" w:sz="0" w:space="0" w:color="auto"/>
                                <w:right w:val="none" w:sz="0" w:space="0" w:color="auto"/>
                              </w:divBdr>
                              <w:divsChild>
                                <w:div w:id="1233202136">
                                  <w:marLeft w:val="0"/>
                                  <w:marRight w:val="0"/>
                                  <w:marTop w:val="0"/>
                                  <w:marBottom w:val="0"/>
                                  <w:divBdr>
                                    <w:top w:val="none" w:sz="0" w:space="0" w:color="auto"/>
                                    <w:left w:val="none" w:sz="0" w:space="0" w:color="auto"/>
                                    <w:bottom w:val="none" w:sz="0" w:space="0" w:color="auto"/>
                                    <w:right w:val="none" w:sz="0" w:space="0" w:color="auto"/>
                                  </w:divBdr>
                                  <w:divsChild>
                                    <w:div w:id="963538322">
                                      <w:blockQuote w:val="1"/>
                                      <w:marLeft w:val="720"/>
                                      <w:marRight w:val="720"/>
                                      <w:marTop w:val="100"/>
                                      <w:marBottom w:val="100"/>
                                      <w:divBdr>
                                        <w:top w:val="none" w:sz="0" w:space="0" w:color="auto"/>
                                        <w:left w:val="none" w:sz="0" w:space="0" w:color="auto"/>
                                        <w:bottom w:val="none" w:sz="0" w:space="0" w:color="auto"/>
                                        <w:right w:val="none" w:sz="0" w:space="0" w:color="auto"/>
                                      </w:divBdr>
                                    </w:div>
                                    <w:div w:id="389840699">
                                      <w:blockQuote w:val="1"/>
                                      <w:marLeft w:val="720"/>
                                      <w:marRight w:val="720"/>
                                      <w:marTop w:val="100"/>
                                      <w:marBottom w:val="100"/>
                                      <w:divBdr>
                                        <w:top w:val="none" w:sz="0" w:space="0" w:color="auto"/>
                                        <w:left w:val="none" w:sz="0" w:space="0" w:color="auto"/>
                                        <w:bottom w:val="none" w:sz="0" w:space="0" w:color="auto"/>
                                        <w:right w:val="none" w:sz="0" w:space="0" w:color="auto"/>
                                      </w:divBdr>
                                    </w:div>
                                    <w:div w:id="94234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304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2239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239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117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614922">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3238">
                                      <w:blockQuote w:val="1"/>
                                      <w:marLeft w:val="720"/>
                                      <w:marRight w:val="720"/>
                                      <w:marTop w:val="100"/>
                                      <w:marBottom w:val="100"/>
                                      <w:divBdr>
                                        <w:top w:val="none" w:sz="0" w:space="0" w:color="auto"/>
                                        <w:left w:val="none" w:sz="0" w:space="0" w:color="auto"/>
                                        <w:bottom w:val="none" w:sz="0" w:space="0" w:color="auto"/>
                                        <w:right w:val="none" w:sz="0" w:space="0" w:color="auto"/>
                                      </w:divBdr>
                                    </w:div>
                                    <w:div w:id="47187173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8307009">
                                      <w:blockQuote w:val="1"/>
                                      <w:marLeft w:val="720"/>
                                      <w:marRight w:val="720"/>
                                      <w:marTop w:val="100"/>
                                      <w:marBottom w:val="100"/>
                                      <w:divBdr>
                                        <w:top w:val="none" w:sz="0" w:space="0" w:color="auto"/>
                                        <w:left w:val="none" w:sz="0" w:space="0" w:color="auto"/>
                                        <w:bottom w:val="none" w:sz="0" w:space="0" w:color="auto"/>
                                        <w:right w:val="none" w:sz="0" w:space="0" w:color="auto"/>
                                      </w:divBdr>
                                    </w:div>
                                    <w:div w:id="294289282">
                                      <w:marLeft w:val="0"/>
                                      <w:marRight w:val="0"/>
                                      <w:marTop w:val="0"/>
                                      <w:marBottom w:val="0"/>
                                      <w:divBdr>
                                        <w:top w:val="none" w:sz="0" w:space="0" w:color="auto"/>
                                        <w:left w:val="none" w:sz="0" w:space="0" w:color="auto"/>
                                        <w:bottom w:val="none" w:sz="0" w:space="0" w:color="auto"/>
                                        <w:right w:val="none" w:sz="0" w:space="0" w:color="auto"/>
                                      </w:divBdr>
                                      <w:divsChild>
                                        <w:div w:id="8089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3901054">
          <w:marLeft w:val="0"/>
          <w:marRight w:val="0"/>
          <w:marTop w:val="0"/>
          <w:marBottom w:val="0"/>
          <w:divBdr>
            <w:top w:val="none" w:sz="0" w:space="0" w:color="auto"/>
            <w:left w:val="none" w:sz="0" w:space="0" w:color="auto"/>
            <w:bottom w:val="none" w:sz="0" w:space="0" w:color="auto"/>
            <w:right w:val="none" w:sz="0" w:space="0" w:color="auto"/>
          </w:divBdr>
          <w:divsChild>
            <w:div w:id="1677073247">
              <w:marLeft w:val="0"/>
              <w:marRight w:val="0"/>
              <w:marTop w:val="0"/>
              <w:marBottom w:val="0"/>
              <w:divBdr>
                <w:top w:val="none" w:sz="0" w:space="0" w:color="auto"/>
                <w:left w:val="none" w:sz="0" w:space="0" w:color="auto"/>
                <w:bottom w:val="none" w:sz="0" w:space="0" w:color="auto"/>
                <w:right w:val="none" w:sz="0" w:space="0" w:color="auto"/>
              </w:divBdr>
              <w:divsChild>
                <w:div w:id="29688408">
                  <w:marLeft w:val="0"/>
                  <w:marRight w:val="0"/>
                  <w:marTop w:val="0"/>
                  <w:marBottom w:val="0"/>
                  <w:divBdr>
                    <w:top w:val="none" w:sz="0" w:space="0" w:color="auto"/>
                    <w:left w:val="none" w:sz="0" w:space="0" w:color="auto"/>
                    <w:bottom w:val="none" w:sz="0" w:space="0" w:color="auto"/>
                    <w:right w:val="none" w:sz="0" w:space="0" w:color="auto"/>
                  </w:divBdr>
                  <w:divsChild>
                    <w:div w:id="1441530977">
                      <w:marLeft w:val="0"/>
                      <w:marRight w:val="0"/>
                      <w:marTop w:val="0"/>
                      <w:marBottom w:val="0"/>
                      <w:divBdr>
                        <w:top w:val="none" w:sz="0" w:space="0" w:color="auto"/>
                        <w:left w:val="none" w:sz="0" w:space="0" w:color="auto"/>
                        <w:bottom w:val="none" w:sz="0" w:space="0" w:color="auto"/>
                        <w:right w:val="none" w:sz="0" w:space="0" w:color="auto"/>
                      </w:divBdr>
                      <w:divsChild>
                        <w:div w:id="1486971406">
                          <w:marLeft w:val="0"/>
                          <w:marRight w:val="0"/>
                          <w:marTop w:val="0"/>
                          <w:marBottom w:val="0"/>
                          <w:divBdr>
                            <w:top w:val="none" w:sz="0" w:space="0" w:color="auto"/>
                            <w:left w:val="none" w:sz="0" w:space="0" w:color="auto"/>
                            <w:bottom w:val="none" w:sz="0" w:space="0" w:color="auto"/>
                            <w:right w:val="none" w:sz="0" w:space="0" w:color="auto"/>
                          </w:divBdr>
                          <w:divsChild>
                            <w:div w:id="1722747914">
                              <w:marLeft w:val="0"/>
                              <w:marRight w:val="0"/>
                              <w:marTop w:val="0"/>
                              <w:marBottom w:val="0"/>
                              <w:divBdr>
                                <w:top w:val="none" w:sz="0" w:space="0" w:color="auto"/>
                                <w:left w:val="none" w:sz="0" w:space="0" w:color="auto"/>
                                <w:bottom w:val="none" w:sz="0" w:space="0" w:color="auto"/>
                                <w:right w:val="none" w:sz="0" w:space="0" w:color="auto"/>
                              </w:divBdr>
                              <w:divsChild>
                                <w:div w:id="718631416">
                                  <w:marLeft w:val="0"/>
                                  <w:marRight w:val="0"/>
                                  <w:marTop w:val="0"/>
                                  <w:marBottom w:val="0"/>
                                  <w:divBdr>
                                    <w:top w:val="none" w:sz="0" w:space="0" w:color="auto"/>
                                    <w:left w:val="none" w:sz="0" w:space="0" w:color="auto"/>
                                    <w:bottom w:val="none" w:sz="0" w:space="0" w:color="auto"/>
                                    <w:right w:val="none" w:sz="0" w:space="0" w:color="auto"/>
                                  </w:divBdr>
                                  <w:divsChild>
                                    <w:div w:id="634330295">
                                      <w:marLeft w:val="0"/>
                                      <w:marRight w:val="0"/>
                                      <w:marTop w:val="0"/>
                                      <w:marBottom w:val="0"/>
                                      <w:divBdr>
                                        <w:top w:val="none" w:sz="0" w:space="0" w:color="auto"/>
                                        <w:left w:val="none" w:sz="0" w:space="0" w:color="auto"/>
                                        <w:bottom w:val="none" w:sz="0" w:space="0" w:color="auto"/>
                                        <w:right w:val="none" w:sz="0" w:space="0" w:color="auto"/>
                                      </w:divBdr>
                                      <w:divsChild>
                                        <w:div w:id="1464688648">
                                          <w:marLeft w:val="0"/>
                                          <w:marRight w:val="0"/>
                                          <w:marTop w:val="0"/>
                                          <w:marBottom w:val="0"/>
                                          <w:divBdr>
                                            <w:top w:val="none" w:sz="0" w:space="0" w:color="auto"/>
                                            <w:left w:val="none" w:sz="0" w:space="0" w:color="auto"/>
                                            <w:bottom w:val="none" w:sz="0" w:space="0" w:color="auto"/>
                                            <w:right w:val="none" w:sz="0" w:space="0" w:color="auto"/>
                                          </w:divBdr>
                                          <w:divsChild>
                                            <w:div w:id="1937712550">
                                              <w:marLeft w:val="0"/>
                                              <w:marRight w:val="0"/>
                                              <w:marTop w:val="0"/>
                                              <w:marBottom w:val="0"/>
                                              <w:divBdr>
                                                <w:top w:val="none" w:sz="0" w:space="0" w:color="auto"/>
                                                <w:left w:val="none" w:sz="0" w:space="0" w:color="auto"/>
                                                <w:bottom w:val="none" w:sz="0" w:space="0" w:color="auto"/>
                                                <w:right w:val="none" w:sz="0" w:space="0" w:color="auto"/>
                                              </w:divBdr>
                                              <w:divsChild>
                                                <w:div w:id="90599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193915">
          <w:marLeft w:val="0"/>
          <w:marRight w:val="0"/>
          <w:marTop w:val="0"/>
          <w:marBottom w:val="0"/>
          <w:divBdr>
            <w:top w:val="none" w:sz="0" w:space="0" w:color="auto"/>
            <w:left w:val="none" w:sz="0" w:space="0" w:color="auto"/>
            <w:bottom w:val="none" w:sz="0" w:space="0" w:color="auto"/>
            <w:right w:val="none" w:sz="0" w:space="0" w:color="auto"/>
          </w:divBdr>
          <w:divsChild>
            <w:div w:id="946304408">
              <w:marLeft w:val="0"/>
              <w:marRight w:val="0"/>
              <w:marTop w:val="0"/>
              <w:marBottom w:val="0"/>
              <w:divBdr>
                <w:top w:val="none" w:sz="0" w:space="0" w:color="auto"/>
                <w:left w:val="none" w:sz="0" w:space="0" w:color="auto"/>
                <w:bottom w:val="none" w:sz="0" w:space="0" w:color="auto"/>
                <w:right w:val="none" w:sz="0" w:space="0" w:color="auto"/>
              </w:divBdr>
              <w:divsChild>
                <w:div w:id="804930626">
                  <w:marLeft w:val="0"/>
                  <w:marRight w:val="0"/>
                  <w:marTop w:val="0"/>
                  <w:marBottom w:val="0"/>
                  <w:divBdr>
                    <w:top w:val="none" w:sz="0" w:space="0" w:color="auto"/>
                    <w:left w:val="none" w:sz="0" w:space="0" w:color="auto"/>
                    <w:bottom w:val="none" w:sz="0" w:space="0" w:color="auto"/>
                    <w:right w:val="none" w:sz="0" w:space="0" w:color="auto"/>
                  </w:divBdr>
                  <w:divsChild>
                    <w:div w:id="808132661">
                      <w:marLeft w:val="0"/>
                      <w:marRight w:val="0"/>
                      <w:marTop w:val="0"/>
                      <w:marBottom w:val="0"/>
                      <w:divBdr>
                        <w:top w:val="none" w:sz="0" w:space="0" w:color="auto"/>
                        <w:left w:val="none" w:sz="0" w:space="0" w:color="auto"/>
                        <w:bottom w:val="none" w:sz="0" w:space="0" w:color="auto"/>
                        <w:right w:val="none" w:sz="0" w:space="0" w:color="auto"/>
                      </w:divBdr>
                      <w:divsChild>
                        <w:div w:id="1247812425">
                          <w:marLeft w:val="0"/>
                          <w:marRight w:val="0"/>
                          <w:marTop w:val="0"/>
                          <w:marBottom w:val="0"/>
                          <w:divBdr>
                            <w:top w:val="none" w:sz="0" w:space="0" w:color="auto"/>
                            <w:left w:val="none" w:sz="0" w:space="0" w:color="auto"/>
                            <w:bottom w:val="none" w:sz="0" w:space="0" w:color="auto"/>
                            <w:right w:val="none" w:sz="0" w:space="0" w:color="auto"/>
                          </w:divBdr>
                        </w:div>
                        <w:div w:id="238828629">
                          <w:marLeft w:val="0"/>
                          <w:marRight w:val="0"/>
                          <w:marTop w:val="0"/>
                          <w:marBottom w:val="0"/>
                          <w:divBdr>
                            <w:top w:val="none" w:sz="0" w:space="0" w:color="auto"/>
                            <w:left w:val="none" w:sz="0" w:space="0" w:color="auto"/>
                            <w:bottom w:val="none" w:sz="0" w:space="0" w:color="auto"/>
                            <w:right w:val="none" w:sz="0" w:space="0" w:color="auto"/>
                          </w:divBdr>
                          <w:divsChild>
                            <w:div w:id="1709838044">
                              <w:marLeft w:val="0"/>
                              <w:marRight w:val="0"/>
                              <w:marTop w:val="0"/>
                              <w:marBottom w:val="0"/>
                              <w:divBdr>
                                <w:top w:val="none" w:sz="0" w:space="0" w:color="auto"/>
                                <w:left w:val="none" w:sz="0" w:space="0" w:color="auto"/>
                                <w:bottom w:val="none" w:sz="0" w:space="0" w:color="auto"/>
                                <w:right w:val="none" w:sz="0" w:space="0" w:color="auto"/>
                              </w:divBdr>
                              <w:divsChild>
                                <w:div w:id="1731729492">
                                  <w:marLeft w:val="0"/>
                                  <w:marRight w:val="0"/>
                                  <w:marTop w:val="0"/>
                                  <w:marBottom w:val="0"/>
                                  <w:divBdr>
                                    <w:top w:val="none" w:sz="0" w:space="0" w:color="auto"/>
                                    <w:left w:val="none" w:sz="0" w:space="0" w:color="auto"/>
                                    <w:bottom w:val="none" w:sz="0" w:space="0" w:color="auto"/>
                                    <w:right w:val="none" w:sz="0" w:space="0" w:color="auto"/>
                                  </w:divBdr>
                                  <w:divsChild>
                                    <w:div w:id="1345936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005433">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56914">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48473">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0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5418199">
          <w:marLeft w:val="0"/>
          <w:marRight w:val="0"/>
          <w:marTop w:val="0"/>
          <w:marBottom w:val="0"/>
          <w:divBdr>
            <w:top w:val="none" w:sz="0" w:space="0" w:color="auto"/>
            <w:left w:val="none" w:sz="0" w:space="0" w:color="auto"/>
            <w:bottom w:val="none" w:sz="0" w:space="0" w:color="auto"/>
            <w:right w:val="none" w:sz="0" w:space="0" w:color="auto"/>
          </w:divBdr>
          <w:divsChild>
            <w:div w:id="292374798">
              <w:marLeft w:val="0"/>
              <w:marRight w:val="0"/>
              <w:marTop w:val="0"/>
              <w:marBottom w:val="0"/>
              <w:divBdr>
                <w:top w:val="none" w:sz="0" w:space="0" w:color="auto"/>
                <w:left w:val="none" w:sz="0" w:space="0" w:color="auto"/>
                <w:bottom w:val="none" w:sz="0" w:space="0" w:color="auto"/>
                <w:right w:val="none" w:sz="0" w:space="0" w:color="auto"/>
              </w:divBdr>
              <w:divsChild>
                <w:div w:id="2122527027">
                  <w:marLeft w:val="0"/>
                  <w:marRight w:val="0"/>
                  <w:marTop w:val="0"/>
                  <w:marBottom w:val="0"/>
                  <w:divBdr>
                    <w:top w:val="none" w:sz="0" w:space="0" w:color="auto"/>
                    <w:left w:val="none" w:sz="0" w:space="0" w:color="auto"/>
                    <w:bottom w:val="none" w:sz="0" w:space="0" w:color="auto"/>
                    <w:right w:val="none" w:sz="0" w:space="0" w:color="auto"/>
                  </w:divBdr>
                  <w:divsChild>
                    <w:div w:id="801850553">
                      <w:marLeft w:val="0"/>
                      <w:marRight w:val="0"/>
                      <w:marTop w:val="0"/>
                      <w:marBottom w:val="0"/>
                      <w:divBdr>
                        <w:top w:val="none" w:sz="0" w:space="0" w:color="auto"/>
                        <w:left w:val="none" w:sz="0" w:space="0" w:color="auto"/>
                        <w:bottom w:val="none" w:sz="0" w:space="0" w:color="auto"/>
                        <w:right w:val="none" w:sz="0" w:space="0" w:color="auto"/>
                      </w:divBdr>
                      <w:divsChild>
                        <w:div w:id="2144351157">
                          <w:marLeft w:val="0"/>
                          <w:marRight w:val="0"/>
                          <w:marTop w:val="0"/>
                          <w:marBottom w:val="0"/>
                          <w:divBdr>
                            <w:top w:val="none" w:sz="0" w:space="0" w:color="auto"/>
                            <w:left w:val="none" w:sz="0" w:space="0" w:color="auto"/>
                            <w:bottom w:val="none" w:sz="0" w:space="0" w:color="auto"/>
                            <w:right w:val="none" w:sz="0" w:space="0" w:color="auto"/>
                          </w:divBdr>
                          <w:divsChild>
                            <w:div w:id="346948701">
                              <w:marLeft w:val="0"/>
                              <w:marRight w:val="0"/>
                              <w:marTop w:val="0"/>
                              <w:marBottom w:val="0"/>
                              <w:divBdr>
                                <w:top w:val="none" w:sz="0" w:space="0" w:color="auto"/>
                                <w:left w:val="none" w:sz="0" w:space="0" w:color="auto"/>
                                <w:bottom w:val="none" w:sz="0" w:space="0" w:color="auto"/>
                                <w:right w:val="none" w:sz="0" w:space="0" w:color="auto"/>
                              </w:divBdr>
                              <w:divsChild>
                                <w:div w:id="509106643">
                                  <w:marLeft w:val="0"/>
                                  <w:marRight w:val="0"/>
                                  <w:marTop w:val="0"/>
                                  <w:marBottom w:val="0"/>
                                  <w:divBdr>
                                    <w:top w:val="none" w:sz="0" w:space="0" w:color="auto"/>
                                    <w:left w:val="none" w:sz="0" w:space="0" w:color="auto"/>
                                    <w:bottom w:val="none" w:sz="0" w:space="0" w:color="auto"/>
                                    <w:right w:val="none" w:sz="0" w:space="0" w:color="auto"/>
                                  </w:divBdr>
                                  <w:divsChild>
                                    <w:div w:id="213301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1497577">
          <w:marLeft w:val="0"/>
          <w:marRight w:val="0"/>
          <w:marTop w:val="0"/>
          <w:marBottom w:val="0"/>
          <w:divBdr>
            <w:top w:val="none" w:sz="0" w:space="0" w:color="auto"/>
            <w:left w:val="none" w:sz="0" w:space="0" w:color="auto"/>
            <w:bottom w:val="none" w:sz="0" w:space="0" w:color="auto"/>
            <w:right w:val="none" w:sz="0" w:space="0" w:color="auto"/>
          </w:divBdr>
          <w:divsChild>
            <w:div w:id="346450473">
              <w:marLeft w:val="0"/>
              <w:marRight w:val="0"/>
              <w:marTop w:val="0"/>
              <w:marBottom w:val="0"/>
              <w:divBdr>
                <w:top w:val="none" w:sz="0" w:space="0" w:color="auto"/>
                <w:left w:val="none" w:sz="0" w:space="0" w:color="auto"/>
                <w:bottom w:val="none" w:sz="0" w:space="0" w:color="auto"/>
                <w:right w:val="none" w:sz="0" w:space="0" w:color="auto"/>
              </w:divBdr>
              <w:divsChild>
                <w:div w:id="131102439">
                  <w:marLeft w:val="0"/>
                  <w:marRight w:val="0"/>
                  <w:marTop w:val="0"/>
                  <w:marBottom w:val="0"/>
                  <w:divBdr>
                    <w:top w:val="none" w:sz="0" w:space="0" w:color="auto"/>
                    <w:left w:val="none" w:sz="0" w:space="0" w:color="auto"/>
                    <w:bottom w:val="none" w:sz="0" w:space="0" w:color="auto"/>
                    <w:right w:val="none" w:sz="0" w:space="0" w:color="auto"/>
                  </w:divBdr>
                  <w:divsChild>
                    <w:div w:id="374433489">
                      <w:marLeft w:val="0"/>
                      <w:marRight w:val="0"/>
                      <w:marTop w:val="0"/>
                      <w:marBottom w:val="0"/>
                      <w:divBdr>
                        <w:top w:val="none" w:sz="0" w:space="0" w:color="auto"/>
                        <w:left w:val="none" w:sz="0" w:space="0" w:color="auto"/>
                        <w:bottom w:val="none" w:sz="0" w:space="0" w:color="auto"/>
                        <w:right w:val="none" w:sz="0" w:space="0" w:color="auto"/>
                      </w:divBdr>
                      <w:divsChild>
                        <w:div w:id="2067290378">
                          <w:marLeft w:val="0"/>
                          <w:marRight w:val="0"/>
                          <w:marTop w:val="0"/>
                          <w:marBottom w:val="0"/>
                          <w:divBdr>
                            <w:top w:val="none" w:sz="0" w:space="0" w:color="auto"/>
                            <w:left w:val="none" w:sz="0" w:space="0" w:color="auto"/>
                            <w:bottom w:val="none" w:sz="0" w:space="0" w:color="auto"/>
                            <w:right w:val="none" w:sz="0" w:space="0" w:color="auto"/>
                          </w:divBdr>
                        </w:div>
                        <w:div w:id="595018200">
                          <w:marLeft w:val="0"/>
                          <w:marRight w:val="0"/>
                          <w:marTop w:val="0"/>
                          <w:marBottom w:val="0"/>
                          <w:divBdr>
                            <w:top w:val="none" w:sz="0" w:space="0" w:color="auto"/>
                            <w:left w:val="none" w:sz="0" w:space="0" w:color="auto"/>
                            <w:bottom w:val="none" w:sz="0" w:space="0" w:color="auto"/>
                            <w:right w:val="none" w:sz="0" w:space="0" w:color="auto"/>
                          </w:divBdr>
                          <w:divsChild>
                            <w:div w:id="1289816212">
                              <w:marLeft w:val="0"/>
                              <w:marRight w:val="0"/>
                              <w:marTop w:val="0"/>
                              <w:marBottom w:val="0"/>
                              <w:divBdr>
                                <w:top w:val="none" w:sz="0" w:space="0" w:color="auto"/>
                                <w:left w:val="none" w:sz="0" w:space="0" w:color="auto"/>
                                <w:bottom w:val="none" w:sz="0" w:space="0" w:color="auto"/>
                                <w:right w:val="none" w:sz="0" w:space="0" w:color="auto"/>
                              </w:divBdr>
                              <w:divsChild>
                                <w:div w:id="383873164">
                                  <w:marLeft w:val="0"/>
                                  <w:marRight w:val="0"/>
                                  <w:marTop w:val="0"/>
                                  <w:marBottom w:val="0"/>
                                  <w:divBdr>
                                    <w:top w:val="none" w:sz="0" w:space="0" w:color="auto"/>
                                    <w:left w:val="none" w:sz="0" w:space="0" w:color="auto"/>
                                    <w:bottom w:val="none" w:sz="0" w:space="0" w:color="auto"/>
                                    <w:right w:val="none" w:sz="0" w:space="0" w:color="auto"/>
                                  </w:divBdr>
                                  <w:divsChild>
                                    <w:div w:id="1954945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00861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7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5662779">
          <w:marLeft w:val="0"/>
          <w:marRight w:val="0"/>
          <w:marTop w:val="0"/>
          <w:marBottom w:val="0"/>
          <w:divBdr>
            <w:top w:val="none" w:sz="0" w:space="0" w:color="auto"/>
            <w:left w:val="none" w:sz="0" w:space="0" w:color="auto"/>
            <w:bottom w:val="none" w:sz="0" w:space="0" w:color="auto"/>
            <w:right w:val="none" w:sz="0" w:space="0" w:color="auto"/>
          </w:divBdr>
          <w:divsChild>
            <w:div w:id="962886325">
              <w:marLeft w:val="0"/>
              <w:marRight w:val="0"/>
              <w:marTop w:val="0"/>
              <w:marBottom w:val="0"/>
              <w:divBdr>
                <w:top w:val="none" w:sz="0" w:space="0" w:color="auto"/>
                <w:left w:val="none" w:sz="0" w:space="0" w:color="auto"/>
                <w:bottom w:val="none" w:sz="0" w:space="0" w:color="auto"/>
                <w:right w:val="none" w:sz="0" w:space="0" w:color="auto"/>
              </w:divBdr>
              <w:divsChild>
                <w:div w:id="1311515608">
                  <w:marLeft w:val="0"/>
                  <w:marRight w:val="0"/>
                  <w:marTop w:val="0"/>
                  <w:marBottom w:val="0"/>
                  <w:divBdr>
                    <w:top w:val="none" w:sz="0" w:space="0" w:color="auto"/>
                    <w:left w:val="none" w:sz="0" w:space="0" w:color="auto"/>
                    <w:bottom w:val="none" w:sz="0" w:space="0" w:color="auto"/>
                    <w:right w:val="none" w:sz="0" w:space="0" w:color="auto"/>
                  </w:divBdr>
                  <w:divsChild>
                    <w:div w:id="451678078">
                      <w:marLeft w:val="0"/>
                      <w:marRight w:val="0"/>
                      <w:marTop w:val="0"/>
                      <w:marBottom w:val="0"/>
                      <w:divBdr>
                        <w:top w:val="none" w:sz="0" w:space="0" w:color="auto"/>
                        <w:left w:val="none" w:sz="0" w:space="0" w:color="auto"/>
                        <w:bottom w:val="none" w:sz="0" w:space="0" w:color="auto"/>
                        <w:right w:val="none" w:sz="0" w:space="0" w:color="auto"/>
                      </w:divBdr>
                      <w:divsChild>
                        <w:div w:id="574972058">
                          <w:marLeft w:val="0"/>
                          <w:marRight w:val="0"/>
                          <w:marTop w:val="0"/>
                          <w:marBottom w:val="0"/>
                          <w:divBdr>
                            <w:top w:val="none" w:sz="0" w:space="0" w:color="auto"/>
                            <w:left w:val="none" w:sz="0" w:space="0" w:color="auto"/>
                            <w:bottom w:val="none" w:sz="0" w:space="0" w:color="auto"/>
                            <w:right w:val="none" w:sz="0" w:space="0" w:color="auto"/>
                          </w:divBdr>
                          <w:divsChild>
                            <w:div w:id="1461847261">
                              <w:marLeft w:val="0"/>
                              <w:marRight w:val="0"/>
                              <w:marTop w:val="0"/>
                              <w:marBottom w:val="0"/>
                              <w:divBdr>
                                <w:top w:val="none" w:sz="0" w:space="0" w:color="auto"/>
                                <w:left w:val="none" w:sz="0" w:space="0" w:color="auto"/>
                                <w:bottom w:val="none" w:sz="0" w:space="0" w:color="auto"/>
                                <w:right w:val="none" w:sz="0" w:space="0" w:color="auto"/>
                              </w:divBdr>
                              <w:divsChild>
                                <w:div w:id="317734395">
                                  <w:marLeft w:val="0"/>
                                  <w:marRight w:val="0"/>
                                  <w:marTop w:val="0"/>
                                  <w:marBottom w:val="0"/>
                                  <w:divBdr>
                                    <w:top w:val="none" w:sz="0" w:space="0" w:color="auto"/>
                                    <w:left w:val="none" w:sz="0" w:space="0" w:color="auto"/>
                                    <w:bottom w:val="none" w:sz="0" w:space="0" w:color="auto"/>
                                    <w:right w:val="none" w:sz="0" w:space="0" w:color="auto"/>
                                  </w:divBdr>
                                  <w:divsChild>
                                    <w:div w:id="1118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673606">
          <w:marLeft w:val="0"/>
          <w:marRight w:val="0"/>
          <w:marTop w:val="0"/>
          <w:marBottom w:val="0"/>
          <w:divBdr>
            <w:top w:val="none" w:sz="0" w:space="0" w:color="auto"/>
            <w:left w:val="none" w:sz="0" w:space="0" w:color="auto"/>
            <w:bottom w:val="none" w:sz="0" w:space="0" w:color="auto"/>
            <w:right w:val="none" w:sz="0" w:space="0" w:color="auto"/>
          </w:divBdr>
          <w:divsChild>
            <w:div w:id="889224418">
              <w:marLeft w:val="0"/>
              <w:marRight w:val="0"/>
              <w:marTop w:val="0"/>
              <w:marBottom w:val="0"/>
              <w:divBdr>
                <w:top w:val="none" w:sz="0" w:space="0" w:color="auto"/>
                <w:left w:val="none" w:sz="0" w:space="0" w:color="auto"/>
                <w:bottom w:val="none" w:sz="0" w:space="0" w:color="auto"/>
                <w:right w:val="none" w:sz="0" w:space="0" w:color="auto"/>
              </w:divBdr>
              <w:divsChild>
                <w:div w:id="1184710668">
                  <w:marLeft w:val="0"/>
                  <w:marRight w:val="0"/>
                  <w:marTop w:val="0"/>
                  <w:marBottom w:val="0"/>
                  <w:divBdr>
                    <w:top w:val="none" w:sz="0" w:space="0" w:color="auto"/>
                    <w:left w:val="none" w:sz="0" w:space="0" w:color="auto"/>
                    <w:bottom w:val="none" w:sz="0" w:space="0" w:color="auto"/>
                    <w:right w:val="none" w:sz="0" w:space="0" w:color="auto"/>
                  </w:divBdr>
                  <w:divsChild>
                    <w:div w:id="1825196950">
                      <w:marLeft w:val="0"/>
                      <w:marRight w:val="0"/>
                      <w:marTop w:val="0"/>
                      <w:marBottom w:val="0"/>
                      <w:divBdr>
                        <w:top w:val="none" w:sz="0" w:space="0" w:color="auto"/>
                        <w:left w:val="none" w:sz="0" w:space="0" w:color="auto"/>
                        <w:bottom w:val="none" w:sz="0" w:space="0" w:color="auto"/>
                        <w:right w:val="none" w:sz="0" w:space="0" w:color="auto"/>
                      </w:divBdr>
                      <w:divsChild>
                        <w:div w:id="552231093">
                          <w:marLeft w:val="0"/>
                          <w:marRight w:val="0"/>
                          <w:marTop w:val="0"/>
                          <w:marBottom w:val="0"/>
                          <w:divBdr>
                            <w:top w:val="none" w:sz="0" w:space="0" w:color="auto"/>
                            <w:left w:val="none" w:sz="0" w:space="0" w:color="auto"/>
                            <w:bottom w:val="none" w:sz="0" w:space="0" w:color="auto"/>
                            <w:right w:val="none" w:sz="0" w:space="0" w:color="auto"/>
                          </w:divBdr>
                        </w:div>
                        <w:div w:id="1645312712">
                          <w:marLeft w:val="0"/>
                          <w:marRight w:val="0"/>
                          <w:marTop w:val="0"/>
                          <w:marBottom w:val="0"/>
                          <w:divBdr>
                            <w:top w:val="none" w:sz="0" w:space="0" w:color="auto"/>
                            <w:left w:val="none" w:sz="0" w:space="0" w:color="auto"/>
                            <w:bottom w:val="none" w:sz="0" w:space="0" w:color="auto"/>
                            <w:right w:val="none" w:sz="0" w:space="0" w:color="auto"/>
                          </w:divBdr>
                          <w:divsChild>
                            <w:div w:id="537595641">
                              <w:marLeft w:val="0"/>
                              <w:marRight w:val="0"/>
                              <w:marTop w:val="0"/>
                              <w:marBottom w:val="0"/>
                              <w:divBdr>
                                <w:top w:val="none" w:sz="0" w:space="0" w:color="auto"/>
                                <w:left w:val="none" w:sz="0" w:space="0" w:color="auto"/>
                                <w:bottom w:val="none" w:sz="0" w:space="0" w:color="auto"/>
                                <w:right w:val="none" w:sz="0" w:space="0" w:color="auto"/>
                              </w:divBdr>
                              <w:divsChild>
                                <w:div w:id="55235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0786070">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6150203">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19439092">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39047876">
      <w:bodyDiv w:val="1"/>
      <w:marLeft w:val="0"/>
      <w:marRight w:val="0"/>
      <w:marTop w:val="0"/>
      <w:marBottom w:val="0"/>
      <w:divBdr>
        <w:top w:val="none" w:sz="0" w:space="0" w:color="auto"/>
        <w:left w:val="none" w:sz="0" w:space="0" w:color="auto"/>
        <w:bottom w:val="none" w:sz="0" w:space="0" w:color="auto"/>
        <w:right w:val="none" w:sz="0" w:space="0" w:color="auto"/>
      </w:divBdr>
    </w:div>
    <w:div w:id="54402392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54391539">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6253827">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6684497">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04793942">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76489321">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29712892">
      <w:bodyDiv w:val="1"/>
      <w:marLeft w:val="0"/>
      <w:marRight w:val="0"/>
      <w:marTop w:val="0"/>
      <w:marBottom w:val="0"/>
      <w:divBdr>
        <w:top w:val="none" w:sz="0" w:space="0" w:color="auto"/>
        <w:left w:val="none" w:sz="0" w:space="0" w:color="auto"/>
        <w:bottom w:val="none" w:sz="0" w:space="0" w:color="auto"/>
        <w:right w:val="none" w:sz="0" w:space="0" w:color="auto"/>
      </w:divBdr>
    </w:div>
    <w:div w:id="831528575">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6969536">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0461780">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49630794">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15763213">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4033275">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8084018">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27090348">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4046874">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59812317">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5736148">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30586790">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1290113">
      <w:bodyDiv w:val="1"/>
      <w:marLeft w:val="0"/>
      <w:marRight w:val="0"/>
      <w:marTop w:val="0"/>
      <w:marBottom w:val="0"/>
      <w:divBdr>
        <w:top w:val="none" w:sz="0" w:space="0" w:color="auto"/>
        <w:left w:val="none" w:sz="0" w:space="0" w:color="auto"/>
        <w:bottom w:val="none" w:sz="0" w:space="0" w:color="auto"/>
        <w:right w:val="none" w:sz="0" w:space="0" w:color="auto"/>
      </w:divBdr>
      <w:divsChild>
        <w:div w:id="309939451">
          <w:marLeft w:val="0"/>
          <w:marRight w:val="0"/>
          <w:marTop w:val="0"/>
          <w:marBottom w:val="0"/>
          <w:divBdr>
            <w:top w:val="none" w:sz="0" w:space="0" w:color="auto"/>
            <w:left w:val="none" w:sz="0" w:space="0" w:color="auto"/>
            <w:bottom w:val="none" w:sz="0" w:space="0" w:color="auto"/>
            <w:right w:val="none" w:sz="0" w:space="0" w:color="auto"/>
          </w:divBdr>
          <w:divsChild>
            <w:div w:id="907499717">
              <w:marLeft w:val="0"/>
              <w:marRight w:val="0"/>
              <w:marTop w:val="0"/>
              <w:marBottom w:val="0"/>
              <w:divBdr>
                <w:top w:val="none" w:sz="0" w:space="0" w:color="auto"/>
                <w:left w:val="none" w:sz="0" w:space="0" w:color="auto"/>
                <w:bottom w:val="none" w:sz="0" w:space="0" w:color="auto"/>
                <w:right w:val="none" w:sz="0" w:space="0" w:color="auto"/>
              </w:divBdr>
              <w:divsChild>
                <w:div w:id="29649615">
                  <w:marLeft w:val="0"/>
                  <w:marRight w:val="0"/>
                  <w:marTop w:val="0"/>
                  <w:marBottom w:val="0"/>
                  <w:divBdr>
                    <w:top w:val="none" w:sz="0" w:space="0" w:color="auto"/>
                    <w:left w:val="none" w:sz="0" w:space="0" w:color="auto"/>
                    <w:bottom w:val="none" w:sz="0" w:space="0" w:color="auto"/>
                    <w:right w:val="none" w:sz="0" w:space="0" w:color="auto"/>
                  </w:divBdr>
                  <w:divsChild>
                    <w:div w:id="408813891">
                      <w:marLeft w:val="0"/>
                      <w:marRight w:val="0"/>
                      <w:marTop w:val="0"/>
                      <w:marBottom w:val="0"/>
                      <w:divBdr>
                        <w:top w:val="none" w:sz="0" w:space="0" w:color="auto"/>
                        <w:left w:val="none" w:sz="0" w:space="0" w:color="auto"/>
                        <w:bottom w:val="none" w:sz="0" w:space="0" w:color="auto"/>
                        <w:right w:val="none" w:sz="0" w:space="0" w:color="auto"/>
                      </w:divBdr>
                      <w:divsChild>
                        <w:div w:id="437876171">
                          <w:marLeft w:val="0"/>
                          <w:marRight w:val="0"/>
                          <w:marTop w:val="0"/>
                          <w:marBottom w:val="0"/>
                          <w:divBdr>
                            <w:top w:val="none" w:sz="0" w:space="0" w:color="auto"/>
                            <w:left w:val="none" w:sz="0" w:space="0" w:color="auto"/>
                            <w:bottom w:val="none" w:sz="0" w:space="0" w:color="auto"/>
                            <w:right w:val="none" w:sz="0" w:space="0" w:color="auto"/>
                          </w:divBdr>
                          <w:divsChild>
                            <w:div w:id="523830817">
                              <w:marLeft w:val="0"/>
                              <w:marRight w:val="0"/>
                              <w:marTop w:val="0"/>
                              <w:marBottom w:val="0"/>
                              <w:divBdr>
                                <w:top w:val="none" w:sz="0" w:space="0" w:color="auto"/>
                                <w:left w:val="none" w:sz="0" w:space="0" w:color="auto"/>
                                <w:bottom w:val="none" w:sz="0" w:space="0" w:color="auto"/>
                                <w:right w:val="none" w:sz="0" w:space="0" w:color="auto"/>
                              </w:divBdr>
                              <w:divsChild>
                                <w:div w:id="940650138">
                                  <w:marLeft w:val="0"/>
                                  <w:marRight w:val="0"/>
                                  <w:marTop w:val="0"/>
                                  <w:marBottom w:val="0"/>
                                  <w:divBdr>
                                    <w:top w:val="none" w:sz="0" w:space="0" w:color="auto"/>
                                    <w:left w:val="none" w:sz="0" w:space="0" w:color="auto"/>
                                    <w:bottom w:val="none" w:sz="0" w:space="0" w:color="auto"/>
                                    <w:right w:val="none" w:sz="0" w:space="0" w:color="auto"/>
                                  </w:divBdr>
                                  <w:divsChild>
                                    <w:div w:id="1997026049">
                                      <w:marLeft w:val="0"/>
                                      <w:marRight w:val="0"/>
                                      <w:marTop w:val="0"/>
                                      <w:marBottom w:val="0"/>
                                      <w:divBdr>
                                        <w:top w:val="none" w:sz="0" w:space="0" w:color="auto"/>
                                        <w:left w:val="none" w:sz="0" w:space="0" w:color="auto"/>
                                        <w:bottom w:val="none" w:sz="0" w:space="0" w:color="auto"/>
                                        <w:right w:val="none" w:sz="0" w:space="0" w:color="auto"/>
                                      </w:divBdr>
                                      <w:divsChild>
                                        <w:div w:id="996692197">
                                          <w:marLeft w:val="0"/>
                                          <w:marRight w:val="0"/>
                                          <w:marTop w:val="0"/>
                                          <w:marBottom w:val="0"/>
                                          <w:divBdr>
                                            <w:top w:val="none" w:sz="0" w:space="0" w:color="auto"/>
                                            <w:left w:val="none" w:sz="0" w:space="0" w:color="auto"/>
                                            <w:bottom w:val="none" w:sz="0" w:space="0" w:color="auto"/>
                                            <w:right w:val="none" w:sz="0" w:space="0" w:color="auto"/>
                                          </w:divBdr>
                                          <w:divsChild>
                                            <w:div w:id="1489790261">
                                              <w:marLeft w:val="0"/>
                                              <w:marRight w:val="0"/>
                                              <w:marTop w:val="0"/>
                                              <w:marBottom w:val="0"/>
                                              <w:divBdr>
                                                <w:top w:val="none" w:sz="0" w:space="0" w:color="auto"/>
                                                <w:left w:val="none" w:sz="0" w:space="0" w:color="auto"/>
                                                <w:bottom w:val="none" w:sz="0" w:space="0" w:color="auto"/>
                                                <w:right w:val="none" w:sz="0" w:space="0" w:color="auto"/>
                                              </w:divBdr>
                                              <w:divsChild>
                                                <w:div w:id="1077485386">
                                                  <w:marLeft w:val="0"/>
                                                  <w:marRight w:val="0"/>
                                                  <w:marTop w:val="0"/>
                                                  <w:marBottom w:val="0"/>
                                                  <w:divBdr>
                                                    <w:top w:val="none" w:sz="0" w:space="0" w:color="auto"/>
                                                    <w:left w:val="none" w:sz="0" w:space="0" w:color="auto"/>
                                                    <w:bottom w:val="none" w:sz="0" w:space="0" w:color="auto"/>
                                                    <w:right w:val="none" w:sz="0" w:space="0" w:color="auto"/>
                                                  </w:divBdr>
                                                  <w:divsChild>
                                                    <w:div w:id="554660797">
                                                      <w:marLeft w:val="0"/>
                                                      <w:marRight w:val="0"/>
                                                      <w:marTop w:val="0"/>
                                                      <w:marBottom w:val="0"/>
                                                      <w:divBdr>
                                                        <w:top w:val="none" w:sz="0" w:space="0" w:color="auto"/>
                                                        <w:left w:val="none" w:sz="0" w:space="0" w:color="auto"/>
                                                        <w:bottom w:val="none" w:sz="0" w:space="0" w:color="auto"/>
                                                        <w:right w:val="none" w:sz="0" w:space="0" w:color="auto"/>
                                                      </w:divBdr>
                                                      <w:divsChild>
                                                        <w:div w:id="1307930271">
                                                          <w:marLeft w:val="0"/>
                                                          <w:marRight w:val="0"/>
                                                          <w:marTop w:val="0"/>
                                                          <w:marBottom w:val="0"/>
                                                          <w:divBdr>
                                                            <w:top w:val="none" w:sz="0" w:space="0" w:color="auto"/>
                                                            <w:left w:val="none" w:sz="0" w:space="0" w:color="auto"/>
                                                            <w:bottom w:val="none" w:sz="0" w:space="0" w:color="auto"/>
                                                            <w:right w:val="none" w:sz="0" w:space="0" w:color="auto"/>
                                                          </w:divBdr>
                                                        </w:div>
                                                        <w:div w:id="198222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385586">
                                  <w:marLeft w:val="0"/>
                                  <w:marRight w:val="0"/>
                                  <w:marTop w:val="0"/>
                                  <w:marBottom w:val="0"/>
                                  <w:divBdr>
                                    <w:top w:val="none" w:sz="0" w:space="0" w:color="auto"/>
                                    <w:left w:val="none" w:sz="0" w:space="0" w:color="auto"/>
                                    <w:bottom w:val="none" w:sz="0" w:space="0" w:color="auto"/>
                                    <w:right w:val="none" w:sz="0" w:space="0" w:color="auto"/>
                                  </w:divBdr>
                                  <w:divsChild>
                                    <w:div w:id="15475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27294">
          <w:marLeft w:val="0"/>
          <w:marRight w:val="0"/>
          <w:marTop w:val="0"/>
          <w:marBottom w:val="0"/>
          <w:divBdr>
            <w:top w:val="none" w:sz="0" w:space="0" w:color="auto"/>
            <w:left w:val="none" w:sz="0" w:space="0" w:color="auto"/>
            <w:bottom w:val="none" w:sz="0" w:space="0" w:color="auto"/>
            <w:right w:val="none" w:sz="0" w:space="0" w:color="auto"/>
          </w:divBdr>
          <w:divsChild>
            <w:div w:id="1997489514">
              <w:marLeft w:val="0"/>
              <w:marRight w:val="0"/>
              <w:marTop w:val="0"/>
              <w:marBottom w:val="0"/>
              <w:divBdr>
                <w:top w:val="none" w:sz="0" w:space="0" w:color="auto"/>
                <w:left w:val="none" w:sz="0" w:space="0" w:color="auto"/>
                <w:bottom w:val="none" w:sz="0" w:space="0" w:color="auto"/>
                <w:right w:val="none" w:sz="0" w:space="0" w:color="auto"/>
              </w:divBdr>
              <w:divsChild>
                <w:div w:id="1886524550">
                  <w:marLeft w:val="0"/>
                  <w:marRight w:val="0"/>
                  <w:marTop w:val="0"/>
                  <w:marBottom w:val="0"/>
                  <w:divBdr>
                    <w:top w:val="none" w:sz="0" w:space="0" w:color="auto"/>
                    <w:left w:val="none" w:sz="0" w:space="0" w:color="auto"/>
                    <w:bottom w:val="none" w:sz="0" w:space="0" w:color="auto"/>
                    <w:right w:val="none" w:sz="0" w:space="0" w:color="auto"/>
                  </w:divBdr>
                  <w:divsChild>
                    <w:div w:id="935673353">
                      <w:marLeft w:val="0"/>
                      <w:marRight w:val="0"/>
                      <w:marTop w:val="0"/>
                      <w:marBottom w:val="0"/>
                      <w:divBdr>
                        <w:top w:val="none" w:sz="0" w:space="0" w:color="auto"/>
                        <w:left w:val="none" w:sz="0" w:space="0" w:color="auto"/>
                        <w:bottom w:val="none" w:sz="0" w:space="0" w:color="auto"/>
                        <w:right w:val="none" w:sz="0" w:space="0" w:color="auto"/>
                      </w:divBdr>
                      <w:divsChild>
                        <w:div w:id="1548179720">
                          <w:marLeft w:val="0"/>
                          <w:marRight w:val="0"/>
                          <w:marTop w:val="0"/>
                          <w:marBottom w:val="0"/>
                          <w:divBdr>
                            <w:top w:val="none" w:sz="0" w:space="0" w:color="auto"/>
                            <w:left w:val="none" w:sz="0" w:space="0" w:color="auto"/>
                            <w:bottom w:val="none" w:sz="0" w:space="0" w:color="auto"/>
                            <w:right w:val="none" w:sz="0" w:space="0" w:color="auto"/>
                          </w:divBdr>
                        </w:div>
                        <w:div w:id="1113522287">
                          <w:marLeft w:val="0"/>
                          <w:marRight w:val="0"/>
                          <w:marTop w:val="0"/>
                          <w:marBottom w:val="0"/>
                          <w:divBdr>
                            <w:top w:val="none" w:sz="0" w:space="0" w:color="auto"/>
                            <w:left w:val="none" w:sz="0" w:space="0" w:color="auto"/>
                            <w:bottom w:val="none" w:sz="0" w:space="0" w:color="auto"/>
                            <w:right w:val="none" w:sz="0" w:space="0" w:color="auto"/>
                          </w:divBdr>
                          <w:divsChild>
                            <w:div w:id="331955399">
                              <w:marLeft w:val="0"/>
                              <w:marRight w:val="0"/>
                              <w:marTop w:val="0"/>
                              <w:marBottom w:val="0"/>
                              <w:divBdr>
                                <w:top w:val="none" w:sz="0" w:space="0" w:color="auto"/>
                                <w:left w:val="none" w:sz="0" w:space="0" w:color="auto"/>
                                <w:bottom w:val="none" w:sz="0" w:space="0" w:color="auto"/>
                                <w:right w:val="none" w:sz="0" w:space="0" w:color="auto"/>
                              </w:divBdr>
                              <w:divsChild>
                                <w:div w:id="2060088699">
                                  <w:marLeft w:val="0"/>
                                  <w:marRight w:val="0"/>
                                  <w:marTop w:val="0"/>
                                  <w:marBottom w:val="0"/>
                                  <w:divBdr>
                                    <w:top w:val="none" w:sz="0" w:space="0" w:color="auto"/>
                                    <w:left w:val="none" w:sz="0" w:space="0" w:color="auto"/>
                                    <w:bottom w:val="none" w:sz="0" w:space="0" w:color="auto"/>
                                    <w:right w:val="none" w:sz="0" w:space="0" w:color="auto"/>
                                  </w:divBdr>
                                  <w:divsChild>
                                    <w:div w:id="417793723">
                                      <w:blockQuote w:val="1"/>
                                      <w:marLeft w:val="720"/>
                                      <w:marRight w:val="720"/>
                                      <w:marTop w:val="100"/>
                                      <w:marBottom w:val="100"/>
                                      <w:divBdr>
                                        <w:top w:val="none" w:sz="0" w:space="0" w:color="auto"/>
                                        <w:left w:val="none" w:sz="0" w:space="0" w:color="auto"/>
                                        <w:bottom w:val="none" w:sz="0" w:space="0" w:color="auto"/>
                                        <w:right w:val="none" w:sz="0" w:space="0" w:color="auto"/>
                                      </w:divBdr>
                                    </w:div>
                                    <w:div w:id="874120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76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953025156">
                                      <w:blockQuote w:val="1"/>
                                      <w:marLeft w:val="720"/>
                                      <w:marRight w:val="720"/>
                                      <w:marTop w:val="100"/>
                                      <w:marBottom w:val="100"/>
                                      <w:divBdr>
                                        <w:top w:val="none" w:sz="0" w:space="0" w:color="auto"/>
                                        <w:left w:val="none" w:sz="0" w:space="0" w:color="auto"/>
                                        <w:bottom w:val="none" w:sz="0" w:space="0" w:color="auto"/>
                                        <w:right w:val="none" w:sz="0" w:space="0" w:color="auto"/>
                                      </w:divBdr>
                                    </w:div>
                                    <w:div w:id="877750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782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39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4541724">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1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21521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237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847319">
                                      <w:marLeft w:val="0"/>
                                      <w:marRight w:val="0"/>
                                      <w:marTop w:val="0"/>
                                      <w:marBottom w:val="0"/>
                                      <w:divBdr>
                                        <w:top w:val="none" w:sz="0" w:space="0" w:color="auto"/>
                                        <w:left w:val="none" w:sz="0" w:space="0" w:color="auto"/>
                                        <w:bottom w:val="none" w:sz="0" w:space="0" w:color="auto"/>
                                        <w:right w:val="none" w:sz="0" w:space="0" w:color="auto"/>
                                      </w:divBdr>
                                      <w:divsChild>
                                        <w:div w:id="188968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949620">
          <w:marLeft w:val="0"/>
          <w:marRight w:val="0"/>
          <w:marTop w:val="0"/>
          <w:marBottom w:val="0"/>
          <w:divBdr>
            <w:top w:val="none" w:sz="0" w:space="0" w:color="auto"/>
            <w:left w:val="none" w:sz="0" w:space="0" w:color="auto"/>
            <w:bottom w:val="none" w:sz="0" w:space="0" w:color="auto"/>
            <w:right w:val="none" w:sz="0" w:space="0" w:color="auto"/>
          </w:divBdr>
          <w:divsChild>
            <w:div w:id="985860480">
              <w:marLeft w:val="0"/>
              <w:marRight w:val="0"/>
              <w:marTop w:val="0"/>
              <w:marBottom w:val="0"/>
              <w:divBdr>
                <w:top w:val="none" w:sz="0" w:space="0" w:color="auto"/>
                <w:left w:val="none" w:sz="0" w:space="0" w:color="auto"/>
                <w:bottom w:val="none" w:sz="0" w:space="0" w:color="auto"/>
                <w:right w:val="none" w:sz="0" w:space="0" w:color="auto"/>
              </w:divBdr>
              <w:divsChild>
                <w:div w:id="1523474363">
                  <w:marLeft w:val="0"/>
                  <w:marRight w:val="0"/>
                  <w:marTop w:val="0"/>
                  <w:marBottom w:val="0"/>
                  <w:divBdr>
                    <w:top w:val="none" w:sz="0" w:space="0" w:color="auto"/>
                    <w:left w:val="none" w:sz="0" w:space="0" w:color="auto"/>
                    <w:bottom w:val="none" w:sz="0" w:space="0" w:color="auto"/>
                    <w:right w:val="none" w:sz="0" w:space="0" w:color="auto"/>
                  </w:divBdr>
                  <w:divsChild>
                    <w:div w:id="130178704">
                      <w:marLeft w:val="0"/>
                      <w:marRight w:val="0"/>
                      <w:marTop w:val="0"/>
                      <w:marBottom w:val="0"/>
                      <w:divBdr>
                        <w:top w:val="none" w:sz="0" w:space="0" w:color="auto"/>
                        <w:left w:val="none" w:sz="0" w:space="0" w:color="auto"/>
                        <w:bottom w:val="none" w:sz="0" w:space="0" w:color="auto"/>
                        <w:right w:val="none" w:sz="0" w:space="0" w:color="auto"/>
                      </w:divBdr>
                      <w:divsChild>
                        <w:div w:id="1316257544">
                          <w:marLeft w:val="0"/>
                          <w:marRight w:val="0"/>
                          <w:marTop w:val="0"/>
                          <w:marBottom w:val="0"/>
                          <w:divBdr>
                            <w:top w:val="none" w:sz="0" w:space="0" w:color="auto"/>
                            <w:left w:val="none" w:sz="0" w:space="0" w:color="auto"/>
                            <w:bottom w:val="none" w:sz="0" w:space="0" w:color="auto"/>
                            <w:right w:val="none" w:sz="0" w:space="0" w:color="auto"/>
                          </w:divBdr>
                          <w:divsChild>
                            <w:div w:id="238566897">
                              <w:marLeft w:val="0"/>
                              <w:marRight w:val="0"/>
                              <w:marTop w:val="0"/>
                              <w:marBottom w:val="0"/>
                              <w:divBdr>
                                <w:top w:val="none" w:sz="0" w:space="0" w:color="auto"/>
                                <w:left w:val="none" w:sz="0" w:space="0" w:color="auto"/>
                                <w:bottom w:val="none" w:sz="0" w:space="0" w:color="auto"/>
                                <w:right w:val="none" w:sz="0" w:space="0" w:color="auto"/>
                              </w:divBdr>
                              <w:divsChild>
                                <w:div w:id="452790466">
                                  <w:marLeft w:val="0"/>
                                  <w:marRight w:val="0"/>
                                  <w:marTop w:val="0"/>
                                  <w:marBottom w:val="0"/>
                                  <w:divBdr>
                                    <w:top w:val="none" w:sz="0" w:space="0" w:color="auto"/>
                                    <w:left w:val="none" w:sz="0" w:space="0" w:color="auto"/>
                                    <w:bottom w:val="none" w:sz="0" w:space="0" w:color="auto"/>
                                    <w:right w:val="none" w:sz="0" w:space="0" w:color="auto"/>
                                  </w:divBdr>
                                  <w:divsChild>
                                    <w:div w:id="1691831796">
                                      <w:marLeft w:val="0"/>
                                      <w:marRight w:val="0"/>
                                      <w:marTop w:val="0"/>
                                      <w:marBottom w:val="0"/>
                                      <w:divBdr>
                                        <w:top w:val="none" w:sz="0" w:space="0" w:color="auto"/>
                                        <w:left w:val="none" w:sz="0" w:space="0" w:color="auto"/>
                                        <w:bottom w:val="none" w:sz="0" w:space="0" w:color="auto"/>
                                        <w:right w:val="none" w:sz="0" w:space="0" w:color="auto"/>
                                      </w:divBdr>
                                      <w:divsChild>
                                        <w:div w:id="1765302134">
                                          <w:marLeft w:val="0"/>
                                          <w:marRight w:val="0"/>
                                          <w:marTop w:val="0"/>
                                          <w:marBottom w:val="0"/>
                                          <w:divBdr>
                                            <w:top w:val="none" w:sz="0" w:space="0" w:color="auto"/>
                                            <w:left w:val="none" w:sz="0" w:space="0" w:color="auto"/>
                                            <w:bottom w:val="none" w:sz="0" w:space="0" w:color="auto"/>
                                            <w:right w:val="none" w:sz="0" w:space="0" w:color="auto"/>
                                          </w:divBdr>
                                          <w:divsChild>
                                            <w:div w:id="1672223602">
                                              <w:marLeft w:val="0"/>
                                              <w:marRight w:val="0"/>
                                              <w:marTop w:val="0"/>
                                              <w:marBottom w:val="0"/>
                                              <w:divBdr>
                                                <w:top w:val="none" w:sz="0" w:space="0" w:color="auto"/>
                                                <w:left w:val="none" w:sz="0" w:space="0" w:color="auto"/>
                                                <w:bottom w:val="none" w:sz="0" w:space="0" w:color="auto"/>
                                                <w:right w:val="none" w:sz="0" w:space="0" w:color="auto"/>
                                              </w:divBdr>
                                              <w:divsChild>
                                                <w:div w:id="1223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1278739">
          <w:marLeft w:val="0"/>
          <w:marRight w:val="0"/>
          <w:marTop w:val="0"/>
          <w:marBottom w:val="0"/>
          <w:divBdr>
            <w:top w:val="none" w:sz="0" w:space="0" w:color="auto"/>
            <w:left w:val="none" w:sz="0" w:space="0" w:color="auto"/>
            <w:bottom w:val="none" w:sz="0" w:space="0" w:color="auto"/>
            <w:right w:val="none" w:sz="0" w:space="0" w:color="auto"/>
          </w:divBdr>
          <w:divsChild>
            <w:div w:id="2066561599">
              <w:marLeft w:val="0"/>
              <w:marRight w:val="0"/>
              <w:marTop w:val="0"/>
              <w:marBottom w:val="0"/>
              <w:divBdr>
                <w:top w:val="none" w:sz="0" w:space="0" w:color="auto"/>
                <w:left w:val="none" w:sz="0" w:space="0" w:color="auto"/>
                <w:bottom w:val="none" w:sz="0" w:space="0" w:color="auto"/>
                <w:right w:val="none" w:sz="0" w:space="0" w:color="auto"/>
              </w:divBdr>
              <w:divsChild>
                <w:div w:id="223567872">
                  <w:marLeft w:val="0"/>
                  <w:marRight w:val="0"/>
                  <w:marTop w:val="0"/>
                  <w:marBottom w:val="0"/>
                  <w:divBdr>
                    <w:top w:val="none" w:sz="0" w:space="0" w:color="auto"/>
                    <w:left w:val="none" w:sz="0" w:space="0" w:color="auto"/>
                    <w:bottom w:val="none" w:sz="0" w:space="0" w:color="auto"/>
                    <w:right w:val="none" w:sz="0" w:space="0" w:color="auto"/>
                  </w:divBdr>
                  <w:divsChild>
                    <w:div w:id="1123158807">
                      <w:marLeft w:val="0"/>
                      <w:marRight w:val="0"/>
                      <w:marTop w:val="0"/>
                      <w:marBottom w:val="0"/>
                      <w:divBdr>
                        <w:top w:val="none" w:sz="0" w:space="0" w:color="auto"/>
                        <w:left w:val="none" w:sz="0" w:space="0" w:color="auto"/>
                        <w:bottom w:val="none" w:sz="0" w:space="0" w:color="auto"/>
                        <w:right w:val="none" w:sz="0" w:space="0" w:color="auto"/>
                      </w:divBdr>
                      <w:divsChild>
                        <w:div w:id="1424373711">
                          <w:marLeft w:val="0"/>
                          <w:marRight w:val="0"/>
                          <w:marTop w:val="0"/>
                          <w:marBottom w:val="0"/>
                          <w:divBdr>
                            <w:top w:val="none" w:sz="0" w:space="0" w:color="auto"/>
                            <w:left w:val="none" w:sz="0" w:space="0" w:color="auto"/>
                            <w:bottom w:val="none" w:sz="0" w:space="0" w:color="auto"/>
                            <w:right w:val="none" w:sz="0" w:space="0" w:color="auto"/>
                          </w:divBdr>
                        </w:div>
                        <w:div w:id="2007974611">
                          <w:marLeft w:val="0"/>
                          <w:marRight w:val="0"/>
                          <w:marTop w:val="0"/>
                          <w:marBottom w:val="0"/>
                          <w:divBdr>
                            <w:top w:val="none" w:sz="0" w:space="0" w:color="auto"/>
                            <w:left w:val="none" w:sz="0" w:space="0" w:color="auto"/>
                            <w:bottom w:val="none" w:sz="0" w:space="0" w:color="auto"/>
                            <w:right w:val="none" w:sz="0" w:space="0" w:color="auto"/>
                          </w:divBdr>
                          <w:divsChild>
                            <w:div w:id="546642979">
                              <w:marLeft w:val="0"/>
                              <w:marRight w:val="0"/>
                              <w:marTop w:val="0"/>
                              <w:marBottom w:val="0"/>
                              <w:divBdr>
                                <w:top w:val="none" w:sz="0" w:space="0" w:color="auto"/>
                                <w:left w:val="none" w:sz="0" w:space="0" w:color="auto"/>
                                <w:bottom w:val="none" w:sz="0" w:space="0" w:color="auto"/>
                                <w:right w:val="none" w:sz="0" w:space="0" w:color="auto"/>
                              </w:divBdr>
                              <w:divsChild>
                                <w:div w:id="1347289522">
                                  <w:marLeft w:val="0"/>
                                  <w:marRight w:val="0"/>
                                  <w:marTop w:val="0"/>
                                  <w:marBottom w:val="0"/>
                                  <w:divBdr>
                                    <w:top w:val="none" w:sz="0" w:space="0" w:color="auto"/>
                                    <w:left w:val="none" w:sz="0" w:space="0" w:color="auto"/>
                                    <w:bottom w:val="none" w:sz="0" w:space="0" w:color="auto"/>
                                    <w:right w:val="none" w:sz="0" w:space="0" w:color="auto"/>
                                  </w:divBdr>
                                  <w:divsChild>
                                    <w:div w:id="320349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612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139335">
                                      <w:blockQuote w:val="1"/>
                                      <w:marLeft w:val="720"/>
                                      <w:marRight w:val="720"/>
                                      <w:marTop w:val="100"/>
                                      <w:marBottom w:val="100"/>
                                      <w:divBdr>
                                        <w:top w:val="none" w:sz="0" w:space="0" w:color="auto"/>
                                        <w:left w:val="none" w:sz="0" w:space="0" w:color="auto"/>
                                        <w:bottom w:val="none" w:sz="0" w:space="0" w:color="auto"/>
                                        <w:right w:val="none" w:sz="0" w:space="0" w:color="auto"/>
                                      </w:divBdr>
                                    </w:div>
                                    <w:div w:id="73782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563419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266881">
          <w:marLeft w:val="0"/>
          <w:marRight w:val="0"/>
          <w:marTop w:val="0"/>
          <w:marBottom w:val="0"/>
          <w:divBdr>
            <w:top w:val="none" w:sz="0" w:space="0" w:color="auto"/>
            <w:left w:val="none" w:sz="0" w:space="0" w:color="auto"/>
            <w:bottom w:val="none" w:sz="0" w:space="0" w:color="auto"/>
            <w:right w:val="none" w:sz="0" w:space="0" w:color="auto"/>
          </w:divBdr>
          <w:divsChild>
            <w:div w:id="1049649182">
              <w:marLeft w:val="0"/>
              <w:marRight w:val="0"/>
              <w:marTop w:val="0"/>
              <w:marBottom w:val="0"/>
              <w:divBdr>
                <w:top w:val="none" w:sz="0" w:space="0" w:color="auto"/>
                <w:left w:val="none" w:sz="0" w:space="0" w:color="auto"/>
                <w:bottom w:val="none" w:sz="0" w:space="0" w:color="auto"/>
                <w:right w:val="none" w:sz="0" w:space="0" w:color="auto"/>
              </w:divBdr>
              <w:divsChild>
                <w:div w:id="1937402842">
                  <w:marLeft w:val="0"/>
                  <w:marRight w:val="0"/>
                  <w:marTop w:val="0"/>
                  <w:marBottom w:val="0"/>
                  <w:divBdr>
                    <w:top w:val="none" w:sz="0" w:space="0" w:color="auto"/>
                    <w:left w:val="none" w:sz="0" w:space="0" w:color="auto"/>
                    <w:bottom w:val="none" w:sz="0" w:space="0" w:color="auto"/>
                    <w:right w:val="none" w:sz="0" w:space="0" w:color="auto"/>
                  </w:divBdr>
                  <w:divsChild>
                    <w:div w:id="1295602517">
                      <w:marLeft w:val="0"/>
                      <w:marRight w:val="0"/>
                      <w:marTop w:val="0"/>
                      <w:marBottom w:val="0"/>
                      <w:divBdr>
                        <w:top w:val="none" w:sz="0" w:space="0" w:color="auto"/>
                        <w:left w:val="none" w:sz="0" w:space="0" w:color="auto"/>
                        <w:bottom w:val="none" w:sz="0" w:space="0" w:color="auto"/>
                        <w:right w:val="none" w:sz="0" w:space="0" w:color="auto"/>
                      </w:divBdr>
                      <w:divsChild>
                        <w:div w:id="642391017">
                          <w:marLeft w:val="0"/>
                          <w:marRight w:val="0"/>
                          <w:marTop w:val="0"/>
                          <w:marBottom w:val="0"/>
                          <w:divBdr>
                            <w:top w:val="none" w:sz="0" w:space="0" w:color="auto"/>
                            <w:left w:val="none" w:sz="0" w:space="0" w:color="auto"/>
                            <w:bottom w:val="none" w:sz="0" w:space="0" w:color="auto"/>
                            <w:right w:val="none" w:sz="0" w:space="0" w:color="auto"/>
                          </w:divBdr>
                          <w:divsChild>
                            <w:div w:id="569312551">
                              <w:marLeft w:val="0"/>
                              <w:marRight w:val="0"/>
                              <w:marTop w:val="0"/>
                              <w:marBottom w:val="0"/>
                              <w:divBdr>
                                <w:top w:val="none" w:sz="0" w:space="0" w:color="auto"/>
                                <w:left w:val="none" w:sz="0" w:space="0" w:color="auto"/>
                                <w:bottom w:val="none" w:sz="0" w:space="0" w:color="auto"/>
                                <w:right w:val="none" w:sz="0" w:space="0" w:color="auto"/>
                              </w:divBdr>
                              <w:divsChild>
                                <w:div w:id="1446584870">
                                  <w:marLeft w:val="0"/>
                                  <w:marRight w:val="0"/>
                                  <w:marTop w:val="0"/>
                                  <w:marBottom w:val="0"/>
                                  <w:divBdr>
                                    <w:top w:val="none" w:sz="0" w:space="0" w:color="auto"/>
                                    <w:left w:val="none" w:sz="0" w:space="0" w:color="auto"/>
                                    <w:bottom w:val="none" w:sz="0" w:space="0" w:color="auto"/>
                                    <w:right w:val="none" w:sz="0" w:space="0" w:color="auto"/>
                                  </w:divBdr>
                                  <w:divsChild>
                                    <w:div w:id="142511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937559">
          <w:marLeft w:val="0"/>
          <w:marRight w:val="0"/>
          <w:marTop w:val="0"/>
          <w:marBottom w:val="0"/>
          <w:divBdr>
            <w:top w:val="none" w:sz="0" w:space="0" w:color="auto"/>
            <w:left w:val="none" w:sz="0" w:space="0" w:color="auto"/>
            <w:bottom w:val="none" w:sz="0" w:space="0" w:color="auto"/>
            <w:right w:val="none" w:sz="0" w:space="0" w:color="auto"/>
          </w:divBdr>
          <w:divsChild>
            <w:div w:id="344526158">
              <w:marLeft w:val="0"/>
              <w:marRight w:val="0"/>
              <w:marTop w:val="0"/>
              <w:marBottom w:val="0"/>
              <w:divBdr>
                <w:top w:val="none" w:sz="0" w:space="0" w:color="auto"/>
                <w:left w:val="none" w:sz="0" w:space="0" w:color="auto"/>
                <w:bottom w:val="none" w:sz="0" w:space="0" w:color="auto"/>
                <w:right w:val="none" w:sz="0" w:space="0" w:color="auto"/>
              </w:divBdr>
              <w:divsChild>
                <w:div w:id="1310095089">
                  <w:marLeft w:val="0"/>
                  <w:marRight w:val="0"/>
                  <w:marTop w:val="0"/>
                  <w:marBottom w:val="0"/>
                  <w:divBdr>
                    <w:top w:val="none" w:sz="0" w:space="0" w:color="auto"/>
                    <w:left w:val="none" w:sz="0" w:space="0" w:color="auto"/>
                    <w:bottom w:val="none" w:sz="0" w:space="0" w:color="auto"/>
                    <w:right w:val="none" w:sz="0" w:space="0" w:color="auto"/>
                  </w:divBdr>
                  <w:divsChild>
                    <w:div w:id="619606266">
                      <w:marLeft w:val="0"/>
                      <w:marRight w:val="0"/>
                      <w:marTop w:val="0"/>
                      <w:marBottom w:val="0"/>
                      <w:divBdr>
                        <w:top w:val="none" w:sz="0" w:space="0" w:color="auto"/>
                        <w:left w:val="none" w:sz="0" w:space="0" w:color="auto"/>
                        <w:bottom w:val="none" w:sz="0" w:space="0" w:color="auto"/>
                        <w:right w:val="none" w:sz="0" w:space="0" w:color="auto"/>
                      </w:divBdr>
                      <w:divsChild>
                        <w:div w:id="1929002279">
                          <w:marLeft w:val="0"/>
                          <w:marRight w:val="0"/>
                          <w:marTop w:val="0"/>
                          <w:marBottom w:val="0"/>
                          <w:divBdr>
                            <w:top w:val="none" w:sz="0" w:space="0" w:color="auto"/>
                            <w:left w:val="none" w:sz="0" w:space="0" w:color="auto"/>
                            <w:bottom w:val="none" w:sz="0" w:space="0" w:color="auto"/>
                            <w:right w:val="none" w:sz="0" w:space="0" w:color="auto"/>
                          </w:divBdr>
                        </w:div>
                        <w:div w:id="102387585">
                          <w:marLeft w:val="0"/>
                          <w:marRight w:val="0"/>
                          <w:marTop w:val="0"/>
                          <w:marBottom w:val="0"/>
                          <w:divBdr>
                            <w:top w:val="none" w:sz="0" w:space="0" w:color="auto"/>
                            <w:left w:val="none" w:sz="0" w:space="0" w:color="auto"/>
                            <w:bottom w:val="none" w:sz="0" w:space="0" w:color="auto"/>
                            <w:right w:val="none" w:sz="0" w:space="0" w:color="auto"/>
                          </w:divBdr>
                          <w:divsChild>
                            <w:div w:id="1507329611">
                              <w:marLeft w:val="0"/>
                              <w:marRight w:val="0"/>
                              <w:marTop w:val="0"/>
                              <w:marBottom w:val="0"/>
                              <w:divBdr>
                                <w:top w:val="none" w:sz="0" w:space="0" w:color="auto"/>
                                <w:left w:val="none" w:sz="0" w:space="0" w:color="auto"/>
                                <w:bottom w:val="none" w:sz="0" w:space="0" w:color="auto"/>
                                <w:right w:val="none" w:sz="0" w:space="0" w:color="auto"/>
                              </w:divBdr>
                              <w:divsChild>
                                <w:div w:id="569849081">
                                  <w:marLeft w:val="0"/>
                                  <w:marRight w:val="0"/>
                                  <w:marTop w:val="0"/>
                                  <w:marBottom w:val="0"/>
                                  <w:divBdr>
                                    <w:top w:val="none" w:sz="0" w:space="0" w:color="auto"/>
                                    <w:left w:val="none" w:sz="0" w:space="0" w:color="auto"/>
                                    <w:bottom w:val="none" w:sz="0" w:space="0" w:color="auto"/>
                                    <w:right w:val="none" w:sz="0" w:space="0" w:color="auto"/>
                                  </w:divBdr>
                                  <w:divsChild>
                                    <w:div w:id="47071188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972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858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563464">
          <w:marLeft w:val="0"/>
          <w:marRight w:val="0"/>
          <w:marTop w:val="0"/>
          <w:marBottom w:val="0"/>
          <w:divBdr>
            <w:top w:val="none" w:sz="0" w:space="0" w:color="auto"/>
            <w:left w:val="none" w:sz="0" w:space="0" w:color="auto"/>
            <w:bottom w:val="none" w:sz="0" w:space="0" w:color="auto"/>
            <w:right w:val="none" w:sz="0" w:space="0" w:color="auto"/>
          </w:divBdr>
          <w:divsChild>
            <w:div w:id="2123067174">
              <w:marLeft w:val="0"/>
              <w:marRight w:val="0"/>
              <w:marTop w:val="0"/>
              <w:marBottom w:val="0"/>
              <w:divBdr>
                <w:top w:val="none" w:sz="0" w:space="0" w:color="auto"/>
                <w:left w:val="none" w:sz="0" w:space="0" w:color="auto"/>
                <w:bottom w:val="none" w:sz="0" w:space="0" w:color="auto"/>
                <w:right w:val="none" w:sz="0" w:space="0" w:color="auto"/>
              </w:divBdr>
              <w:divsChild>
                <w:div w:id="987243559">
                  <w:marLeft w:val="0"/>
                  <w:marRight w:val="0"/>
                  <w:marTop w:val="0"/>
                  <w:marBottom w:val="0"/>
                  <w:divBdr>
                    <w:top w:val="none" w:sz="0" w:space="0" w:color="auto"/>
                    <w:left w:val="none" w:sz="0" w:space="0" w:color="auto"/>
                    <w:bottom w:val="none" w:sz="0" w:space="0" w:color="auto"/>
                    <w:right w:val="none" w:sz="0" w:space="0" w:color="auto"/>
                  </w:divBdr>
                  <w:divsChild>
                    <w:div w:id="1991664652">
                      <w:marLeft w:val="0"/>
                      <w:marRight w:val="0"/>
                      <w:marTop w:val="0"/>
                      <w:marBottom w:val="0"/>
                      <w:divBdr>
                        <w:top w:val="none" w:sz="0" w:space="0" w:color="auto"/>
                        <w:left w:val="none" w:sz="0" w:space="0" w:color="auto"/>
                        <w:bottom w:val="none" w:sz="0" w:space="0" w:color="auto"/>
                        <w:right w:val="none" w:sz="0" w:space="0" w:color="auto"/>
                      </w:divBdr>
                      <w:divsChild>
                        <w:div w:id="1253050802">
                          <w:marLeft w:val="0"/>
                          <w:marRight w:val="0"/>
                          <w:marTop w:val="0"/>
                          <w:marBottom w:val="0"/>
                          <w:divBdr>
                            <w:top w:val="none" w:sz="0" w:space="0" w:color="auto"/>
                            <w:left w:val="none" w:sz="0" w:space="0" w:color="auto"/>
                            <w:bottom w:val="none" w:sz="0" w:space="0" w:color="auto"/>
                            <w:right w:val="none" w:sz="0" w:space="0" w:color="auto"/>
                          </w:divBdr>
                          <w:divsChild>
                            <w:div w:id="2036492094">
                              <w:marLeft w:val="0"/>
                              <w:marRight w:val="0"/>
                              <w:marTop w:val="0"/>
                              <w:marBottom w:val="0"/>
                              <w:divBdr>
                                <w:top w:val="none" w:sz="0" w:space="0" w:color="auto"/>
                                <w:left w:val="none" w:sz="0" w:space="0" w:color="auto"/>
                                <w:bottom w:val="none" w:sz="0" w:space="0" w:color="auto"/>
                                <w:right w:val="none" w:sz="0" w:space="0" w:color="auto"/>
                              </w:divBdr>
                              <w:divsChild>
                                <w:div w:id="1689329299">
                                  <w:marLeft w:val="0"/>
                                  <w:marRight w:val="0"/>
                                  <w:marTop w:val="0"/>
                                  <w:marBottom w:val="0"/>
                                  <w:divBdr>
                                    <w:top w:val="none" w:sz="0" w:space="0" w:color="auto"/>
                                    <w:left w:val="none" w:sz="0" w:space="0" w:color="auto"/>
                                    <w:bottom w:val="none" w:sz="0" w:space="0" w:color="auto"/>
                                    <w:right w:val="none" w:sz="0" w:space="0" w:color="auto"/>
                                  </w:divBdr>
                                  <w:divsChild>
                                    <w:div w:id="20436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41854">
          <w:marLeft w:val="0"/>
          <w:marRight w:val="0"/>
          <w:marTop w:val="0"/>
          <w:marBottom w:val="0"/>
          <w:divBdr>
            <w:top w:val="none" w:sz="0" w:space="0" w:color="auto"/>
            <w:left w:val="none" w:sz="0" w:space="0" w:color="auto"/>
            <w:bottom w:val="none" w:sz="0" w:space="0" w:color="auto"/>
            <w:right w:val="none" w:sz="0" w:space="0" w:color="auto"/>
          </w:divBdr>
          <w:divsChild>
            <w:div w:id="1014499012">
              <w:marLeft w:val="0"/>
              <w:marRight w:val="0"/>
              <w:marTop w:val="0"/>
              <w:marBottom w:val="0"/>
              <w:divBdr>
                <w:top w:val="none" w:sz="0" w:space="0" w:color="auto"/>
                <w:left w:val="none" w:sz="0" w:space="0" w:color="auto"/>
                <w:bottom w:val="none" w:sz="0" w:space="0" w:color="auto"/>
                <w:right w:val="none" w:sz="0" w:space="0" w:color="auto"/>
              </w:divBdr>
              <w:divsChild>
                <w:div w:id="114569681">
                  <w:marLeft w:val="0"/>
                  <w:marRight w:val="0"/>
                  <w:marTop w:val="0"/>
                  <w:marBottom w:val="0"/>
                  <w:divBdr>
                    <w:top w:val="none" w:sz="0" w:space="0" w:color="auto"/>
                    <w:left w:val="none" w:sz="0" w:space="0" w:color="auto"/>
                    <w:bottom w:val="none" w:sz="0" w:space="0" w:color="auto"/>
                    <w:right w:val="none" w:sz="0" w:space="0" w:color="auto"/>
                  </w:divBdr>
                  <w:divsChild>
                    <w:div w:id="2136899323">
                      <w:marLeft w:val="0"/>
                      <w:marRight w:val="0"/>
                      <w:marTop w:val="0"/>
                      <w:marBottom w:val="0"/>
                      <w:divBdr>
                        <w:top w:val="none" w:sz="0" w:space="0" w:color="auto"/>
                        <w:left w:val="none" w:sz="0" w:space="0" w:color="auto"/>
                        <w:bottom w:val="none" w:sz="0" w:space="0" w:color="auto"/>
                        <w:right w:val="none" w:sz="0" w:space="0" w:color="auto"/>
                      </w:divBdr>
                      <w:divsChild>
                        <w:div w:id="1235428382">
                          <w:marLeft w:val="0"/>
                          <w:marRight w:val="0"/>
                          <w:marTop w:val="0"/>
                          <w:marBottom w:val="0"/>
                          <w:divBdr>
                            <w:top w:val="none" w:sz="0" w:space="0" w:color="auto"/>
                            <w:left w:val="none" w:sz="0" w:space="0" w:color="auto"/>
                            <w:bottom w:val="none" w:sz="0" w:space="0" w:color="auto"/>
                            <w:right w:val="none" w:sz="0" w:space="0" w:color="auto"/>
                          </w:divBdr>
                        </w:div>
                        <w:div w:id="1540161586">
                          <w:marLeft w:val="0"/>
                          <w:marRight w:val="0"/>
                          <w:marTop w:val="0"/>
                          <w:marBottom w:val="0"/>
                          <w:divBdr>
                            <w:top w:val="none" w:sz="0" w:space="0" w:color="auto"/>
                            <w:left w:val="none" w:sz="0" w:space="0" w:color="auto"/>
                            <w:bottom w:val="none" w:sz="0" w:space="0" w:color="auto"/>
                            <w:right w:val="none" w:sz="0" w:space="0" w:color="auto"/>
                          </w:divBdr>
                          <w:divsChild>
                            <w:div w:id="695347746">
                              <w:marLeft w:val="0"/>
                              <w:marRight w:val="0"/>
                              <w:marTop w:val="0"/>
                              <w:marBottom w:val="0"/>
                              <w:divBdr>
                                <w:top w:val="none" w:sz="0" w:space="0" w:color="auto"/>
                                <w:left w:val="none" w:sz="0" w:space="0" w:color="auto"/>
                                <w:bottom w:val="none" w:sz="0" w:space="0" w:color="auto"/>
                                <w:right w:val="none" w:sz="0" w:space="0" w:color="auto"/>
                              </w:divBdr>
                              <w:divsChild>
                                <w:div w:id="56526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4172365">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31869823">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70593262">
      <w:bodyDiv w:val="1"/>
      <w:marLeft w:val="0"/>
      <w:marRight w:val="0"/>
      <w:marTop w:val="0"/>
      <w:marBottom w:val="0"/>
      <w:divBdr>
        <w:top w:val="none" w:sz="0" w:space="0" w:color="auto"/>
        <w:left w:val="none" w:sz="0" w:space="0" w:color="auto"/>
        <w:bottom w:val="none" w:sz="0" w:space="0" w:color="auto"/>
        <w:right w:val="none" w:sz="0" w:space="0" w:color="auto"/>
      </w:divBdr>
    </w:div>
    <w:div w:id="1671443532">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69499586">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8765683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4228293">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29786354">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888184045">
      <w:bodyDiv w:val="1"/>
      <w:marLeft w:val="0"/>
      <w:marRight w:val="0"/>
      <w:marTop w:val="0"/>
      <w:marBottom w:val="0"/>
      <w:divBdr>
        <w:top w:val="none" w:sz="0" w:space="0" w:color="auto"/>
        <w:left w:val="none" w:sz="0" w:space="0" w:color="auto"/>
        <w:bottom w:val="none" w:sz="0" w:space="0" w:color="auto"/>
        <w:right w:val="none" w:sz="0" w:space="0" w:color="auto"/>
      </w:divBdr>
    </w:div>
    <w:div w:id="190028217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1989896944">
      <w:bodyDiv w:val="1"/>
      <w:marLeft w:val="0"/>
      <w:marRight w:val="0"/>
      <w:marTop w:val="0"/>
      <w:marBottom w:val="0"/>
      <w:divBdr>
        <w:top w:val="none" w:sz="0" w:space="0" w:color="auto"/>
        <w:left w:val="none" w:sz="0" w:space="0" w:color="auto"/>
        <w:bottom w:val="none" w:sz="0" w:space="0" w:color="auto"/>
        <w:right w:val="none" w:sz="0" w:space="0" w:color="auto"/>
      </w:divBdr>
    </w:div>
    <w:div w:id="1999570713">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089039">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34307111">
      <w:bodyDiv w:val="1"/>
      <w:marLeft w:val="0"/>
      <w:marRight w:val="0"/>
      <w:marTop w:val="0"/>
      <w:marBottom w:val="0"/>
      <w:divBdr>
        <w:top w:val="none" w:sz="0" w:space="0" w:color="auto"/>
        <w:left w:val="none" w:sz="0" w:space="0" w:color="auto"/>
        <w:bottom w:val="none" w:sz="0" w:space="0" w:color="auto"/>
        <w:right w:val="none" w:sz="0" w:space="0" w:color="auto"/>
      </w:divBdr>
    </w:div>
    <w:div w:id="2055348081">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88452792">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0083282">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11/acps.12275" TargetMode="External"/><Relationship Id="rId39" Type="http://schemas.openxmlformats.org/officeDocument/2006/relationships/hyperlink" Target="https://doi.org/10.1016/j.brat.2015.01.009" TargetMode="External"/><Relationship Id="rId21" Type="http://schemas.openxmlformats.org/officeDocument/2006/relationships/hyperlink" Target="https://doi.org/10.1037/0022-006X.66.4.685" TargetMode="External"/><Relationship Id="rId34" Type="http://schemas.openxmlformats.org/officeDocument/2006/relationships/hyperlink" Target="https://doi.org/10.1186/s12888-024-06046-x" TargetMode="External"/><Relationship Id="rId42" Type="http://schemas.openxmlformats.org/officeDocument/2006/relationships/hyperlink" Target="https://doi.org/10.1037/ser0000193" TargetMode="External"/><Relationship Id="rId47" Type="http://schemas.openxmlformats.org/officeDocument/2006/relationships/hyperlink" Target="https://doi.org/10.1016/j.psychres.2024.116017" TargetMode="External"/><Relationship Id="rId50" Type="http://schemas.openxmlformats.org/officeDocument/2006/relationships/hyperlink" Target="https://doi.org/10.1002/jrsm.11"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doi.org/10.1371/journal.pmen.0000347" TargetMode="External"/><Relationship Id="rId11" Type="http://schemas.openxmlformats.org/officeDocument/2006/relationships/image" Target="media/image2.png"/><Relationship Id="rId24" Type="http://schemas.openxmlformats.org/officeDocument/2006/relationships/hyperlink" Target="https://doi.org/10.1002/jrsm.1230" TargetMode="External"/><Relationship Id="rId32" Type="http://schemas.openxmlformats.org/officeDocument/2006/relationships/hyperlink" Target="https://doi.org/10.1002/jrsm.1316" TargetMode="External"/><Relationship Id="rId37" Type="http://schemas.openxmlformats.org/officeDocument/2006/relationships/hyperlink" Target="https://doi.org/10.1111/jcpp.13294" TargetMode="External"/><Relationship Id="rId40" Type="http://schemas.openxmlformats.org/officeDocument/2006/relationships/hyperlink" Target="https://doi.org/10.1016/j.jclinepi.2007.11.010" TargetMode="External"/><Relationship Id="rId45" Type="http://schemas.openxmlformats.org/officeDocument/2006/relationships/hyperlink" Target="https://doi.org/10.1037/a0034640" TargetMode="External"/><Relationship Id="rId53" Type="http://schemas.openxmlformats.org/officeDocument/2006/relationships/hyperlink" Target="https://doi.org/10.1515/ijamh-2013-0020"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36/bmjopen-2015-010247" TargetMode="External"/><Relationship Id="rId44" Type="http://schemas.openxmlformats.org/officeDocument/2006/relationships/hyperlink" Target="https://doi.org/10.1007/s40894-024-00237-z" TargetMode="External"/><Relationship Id="rId52" Type="http://schemas.openxmlformats.org/officeDocument/2006/relationships/hyperlink" Target="https://doi.org/10.1136/bmjopen-2016-01283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002/sim.1221" TargetMode="External"/><Relationship Id="rId27" Type="http://schemas.openxmlformats.org/officeDocument/2006/relationships/hyperlink" Target="https://doi.org/10.1007/s10567-018-0271-8" TargetMode="External"/><Relationship Id="rId30" Type="http://schemas.openxmlformats.org/officeDocument/2006/relationships/hyperlink" Target="https://doi.org/10.1186/1471-2288-14-25" TargetMode="External"/><Relationship Id="rId35" Type="http://schemas.openxmlformats.org/officeDocument/2006/relationships/hyperlink" Target="https://doi.org/10.1101/2025.06.26.25330349" TargetMode="External"/><Relationship Id="rId43" Type="http://schemas.openxmlformats.org/officeDocument/2006/relationships/hyperlink" Target="https://doi.org/10.55489/njcm.160320254839" TargetMode="External"/><Relationship Id="rId48" Type="http://schemas.openxmlformats.org/officeDocument/2006/relationships/hyperlink" Target="https://doi.org/10.1017/S1352465812001087"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1016/j.invent.2023.10069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17/S1352465811000695" TargetMode="External"/><Relationship Id="rId33" Type="http://schemas.openxmlformats.org/officeDocument/2006/relationships/hyperlink" Target="https://scholarsbank.uoregon.edu/items/e471dd46-3322-4abc-91fa-b12a59a5be7b?utm_source=chatgpt.com" TargetMode="External"/><Relationship Id="rId38" Type="http://schemas.openxmlformats.org/officeDocument/2006/relationships/hyperlink" Target="https://doi.org/10.1101/2024.11.17.24317363" TargetMode="External"/><Relationship Id="rId46" Type="http://schemas.openxmlformats.org/officeDocument/2006/relationships/hyperlink" Target="https://doi.org/10.1016/j.brat.2015.07.009" TargetMode="External"/><Relationship Id="rId20" Type="http://schemas.openxmlformats.org/officeDocument/2006/relationships/image" Target="media/image11.png"/><Relationship Id="rId41" Type="http://schemas.openxmlformats.org/officeDocument/2006/relationships/hyperlink" Target="https://doi.org/10.1016/j.brat.2016.03.005" TargetMode="External"/><Relationship Id="rId54"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2196/38493" TargetMode="External"/><Relationship Id="rId28" Type="http://schemas.openxmlformats.org/officeDocument/2006/relationships/hyperlink" Target="https://doi.org/10.1186/1471-244X-10-113" TargetMode="External"/><Relationship Id="rId36" Type="http://schemas.openxmlformats.org/officeDocument/2006/relationships/hyperlink" Target="https://doi.org/10.1016/j.jpsychires.2023.11.009" TargetMode="External"/><Relationship Id="rId49" Type="http://schemas.openxmlformats.org/officeDocument/2006/relationships/hyperlink" Target="https://doi.org/10.3102/10769986030003261%EF%BC%88REML%EF%BC%8C%E5%8A%A0%E4%B8%8D%E5%8A%A0%E7%9C%8B%E4%BD%A0%EF%BC%89"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16313</TotalTime>
  <Pages>87</Pages>
  <Words>28551</Words>
  <Characters>162742</Characters>
  <Application>Microsoft Office Word</Application>
  <DocSecurity>0</DocSecurity>
  <Lines>1356</Lines>
  <Paragraphs>381</Paragraphs>
  <ScaleCrop>false</ScaleCrop>
  <Company/>
  <LinksUpToDate>false</LinksUpToDate>
  <CharactersWithSpaces>190912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511</cp:revision>
  <dcterms:created xsi:type="dcterms:W3CDTF">2026-04-24T10:43:00Z</dcterms:created>
  <dcterms:modified xsi:type="dcterms:W3CDTF">2026-06-12T12:02:00Z</dcterms:modified>
</cp:coreProperties>
</file>