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B8B43" w14:textId="77777777" w:rsidR="000C3784" w:rsidRDefault="000C3784">
      <w:pPr>
        <w:spacing w:line="360" w:lineRule="auto"/>
      </w:pPr>
      <w:bookmarkStart w:id="0" w:name="OLE_LINK33"/>
      <w:bookmarkStart w:id="1" w:name="OLE_LINK42"/>
    </w:p>
    <w:p w14:paraId="166A4F53" w14:textId="77777777" w:rsidR="000C3784" w:rsidRDefault="000C3784">
      <w:pPr>
        <w:spacing w:line="360" w:lineRule="auto"/>
      </w:pPr>
    </w:p>
    <w:p w14:paraId="0771EFA8" w14:textId="77777777" w:rsidR="000C3784" w:rsidRDefault="00D450DC">
      <w:pPr>
        <w:spacing w:before="120" w:after="120" w:line="360" w:lineRule="auto"/>
        <w:jc w:val="center"/>
      </w:pPr>
      <w:r>
        <w:rPr>
          <w:rFonts w:eastAsia="Times New Roman"/>
          <w:b/>
          <w:bCs/>
          <w:sz w:val="28"/>
          <w:szCs w:val="28"/>
        </w:rPr>
        <w:t>Master's Thesis</w:t>
      </w:r>
    </w:p>
    <w:p w14:paraId="3903C4F7" w14:textId="77777777" w:rsidR="000C3784" w:rsidRDefault="000C3784">
      <w:pPr>
        <w:spacing w:line="360" w:lineRule="auto"/>
      </w:pPr>
    </w:p>
    <w:p w14:paraId="60A815C4" w14:textId="77777777" w:rsidR="000C3784" w:rsidRDefault="000C3784">
      <w:pPr>
        <w:spacing w:line="360" w:lineRule="auto"/>
      </w:pPr>
    </w:p>
    <w:p w14:paraId="2B57D878" w14:textId="77777777" w:rsidR="000C3784" w:rsidRDefault="000C3784">
      <w:pPr>
        <w:spacing w:line="360" w:lineRule="auto"/>
      </w:pPr>
    </w:p>
    <w:p w14:paraId="64184C62" w14:textId="77777777" w:rsidR="000C3784" w:rsidRDefault="00D450DC">
      <w:pPr>
        <w:spacing w:before="120" w:after="120" w:line="360" w:lineRule="auto"/>
        <w:jc w:val="center"/>
      </w:pPr>
      <w:r>
        <w:rPr>
          <w:rFonts w:eastAsia="Times New Roman"/>
          <w:b/>
          <w:bCs/>
          <w:sz w:val="36"/>
          <w:szCs w:val="36"/>
        </w:rPr>
        <w:t>The Effectiveness of Unguided Self-Help</w:t>
      </w:r>
    </w:p>
    <w:p w14:paraId="13372ECF" w14:textId="77777777" w:rsidR="000C3784" w:rsidRDefault="00D450DC">
      <w:pPr>
        <w:spacing w:before="120" w:after="120" w:line="360" w:lineRule="auto"/>
        <w:jc w:val="center"/>
      </w:pPr>
      <w:r>
        <w:rPr>
          <w:rFonts w:eastAsia="Times New Roman"/>
          <w:b/>
          <w:bCs/>
          <w:sz w:val="36"/>
          <w:szCs w:val="36"/>
        </w:rPr>
        <w:t>Cognitive Behavioral Interventions</w:t>
      </w:r>
    </w:p>
    <w:p w14:paraId="470B818F" w14:textId="77777777" w:rsidR="000C3784" w:rsidRDefault="00D450DC">
      <w:pPr>
        <w:spacing w:before="120" w:after="120" w:line="360" w:lineRule="auto"/>
        <w:jc w:val="center"/>
      </w:pPr>
      <w:r>
        <w:rPr>
          <w:rFonts w:eastAsia="Times New Roman"/>
          <w:b/>
          <w:bCs/>
          <w:sz w:val="36"/>
          <w:szCs w:val="36"/>
        </w:rPr>
        <w:t>for Adolescents with Depressive Symptoms:</w:t>
      </w:r>
    </w:p>
    <w:p w14:paraId="1F7613EF" w14:textId="77777777" w:rsidR="000C3784" w:rsidRDefault="00D450DC">
      <w:pPr>
        <w:spacing w:before="120" w:after="120" w:line="360" w:lineRule="auto"/>
        <w:jc w:val="center"/>
        <w:rPr>
          <w:lang w:eastAsia="ko-KR"/>
        </w:rPr>
      </w:pPr>
      <w:r>
        <w:rPr>
          <w:rFonts w:eastAsia="Times New Roman"/>
          <w:b/>
          <w:bCs/>
          <w:sz w:val="36"/>
          <w:szCs w:val="36"/>
          <w:lang w:eastAsia="ko-KR"/>
        </w:rPr>
        <w:t>A Meta-Analysis</w:t>
      </w:r>
    </w:p>
    <w:p w14:paraId="0FE76828" w14:textId="77777777" w:rsidR="000C3784" w:rsidRDefault="000C3784">
      <w:pPr>
        <w:spacing w:line="360" w:lineRule="auto"/>
        <w:rPr>
          <w:lang w:eastAsia="ko-KR"/>
        </w:rPr>
      </w:pPr>
    </w:p>
    <w:p w14:paraId="3B938014" w14:textId="1DC2C00E" w:rsidR="000C3784" w:rsidRDefault="00585F11" w:rsidP="00585F11">
      <w:pPr>
        <w:tabs>
          <w:tab w:val="left" w:pos="2340"/>
        </w:tabs>
        <w:spacing w:line="360" w:lineRule="auto"/>
        <w:rPr>
          <w:lang w:eastAsia="ko-KR"/>
        </w:rPr>
      </w:pPr>
      <w:r>
        <w:rPr>
          <w:lang w:eastAsia="ko-KR"/>
        </w:rPr>
        <w:tab/>
      </w:r>
    </w:p>
    <w:p w14:paraId="24A545ED" w14:textId="77777777" w:rsidR="000C3784" w:rsidRDefault="000C3784">
      <w:pPr>
        <w:spacing w:line="360" w:lineRule="auto"/>
        <w:rPr>
          <w:lang w:eastAsia="ko-KR"/>
        </w:rPr>
      </w:pPr>
    </w:p>
    <w:p w14:paraId="73785396" w14:textId="77777777" w:rsidR="000C3784" w:rsidRDefault="00D450DC">
      <w:pPr>
        <w:spacing w:before="120" w:after="120" w:line="360" w:lineRule="auto"/>
        <w:jc w:val="center"/>
        <w:rPr>
          <w:lang w:eastAsia="ko-KR"/>
        </w:rPr>
      </w:pPr>
      <w:proofErr w:type="spellStart"/>
      <w:r>
        <w:rPr>
          <w:rFonts w:eastAsia="Times New Roman"/>
          <w:b/>
          <w:bCs/>
          <w:sz w:val="28"/>
          <w:szCs w:val="28"/>
          <w:lang w:eastAsia="ko-KR"/>
        </w:rPr>
        <w:t>청소년</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우울</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증상에</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대한</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비지도적</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자가</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도움</w:t>
      </w:r>
      <w:proofErr w:type="spellEnd"/>
    </w:p>
    <w:p w14:paraId="6A2B8E10" w14:textId="77777777" w:rsidR="000C3784" w:rsidRDefault="00D450DC">
      <w:pPr>
        <w:spacing w:before="120" w:after="120" w:line="360" w:lineRule="auto"/>
        <w:jc w:val="center"/>
        <w:rPr>
          <w:lang w:eastAsia="ko-KR"/>
        </w:rPr>
      </w:pPr>
      <w:proofErr w:type="spellStart"/>
      <w:r>
        <w:rPr>
          <w:rFonts w:eastAsia="Times New Roman"/>
          <w:b/>
          <w:bCs/>
          <w:sz w:val="28"/>
          <w:szCs w:val="28"/>
          <w:lang w:eastAsia="ko-KR"/>
        </w:rPr>
        <w:t>인지행동치료</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개입의</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효과성에</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관한</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메타분석</w:t>
      </w:r>
      <w:proofErr w:type="spellEnd"/>
    </w:p>
    <w:p w14:paraId="23F5DD4C" w14:textId="77777777" w:rsidR="000C3784" w:rsidRDefault="000C3784">
      <w:pPr>
        <w:spacing w:line="360" w:lineRule="auto"/>
        <w:rPr>
          <w:lang w:eastAsia="ko-KR"/>
        </w:rPr>
      </w:pPr>
    </w:p>
    <w:p w14:paraId="2A376C26" w14:textId="77777777" w:rsidR="000C3784" w:rsidRDefault="000C3784">
      <w:pPr>
        <w:spacing w:line="360" w:lineRule="auto"/>
        <w:rPr>
          <w:lang w:eastAsia="ko-KR"/>
        </w:rPr>
      </w:pPr>
    </w:p>
    <w:p w14:paraId="2B3CC8D8" w14:textId="77777777" w:rsidR="000C3784" w:rsidRDefault="000C3784">
      <w:pPr>
        <w:spacing w:line="360" w:lineRule="auto"/>
        <w:rPr>
          <w:lang w:eastAsia="ko-KR"/>
        </w:rPr>
      </w:pPr>
    </w:p>
    <w:p w14:paraId="55F1D48B" w14:textId="77777777" w:rsidR="000C3784" w:rsidRDefault="000C3784">
      <w:pPr>
        <w:spacing w:line="360" w:lineRule="auto"/>
        <w:rPr>
          <w:lang w:eastAsia="ko-KR"/>
        </w:rPr>
      </w:pPr>
    </w:p>
    <w:p w14:paraId="3973BCAD" w14:textId="77777777" w:rsidR="000C3784" w:rsidRDefault="000C3784">
      <w:pPr>
        <w:spacing w:line="360" w:lineRule="auto"/>
        <w:rPr>
          <w:lang w:eastAsia="ko-KR"/>
        </w:rPr>
      </w:pPr>
    </w:p>
    <w:p w14:paraId="281A0D12" w14:textId="77777777" w:rsidR="000C3784" w:rsidRDefault="000C3784">
      <w:pPr>
        <w:spacing w:line="360" w:lineRule="auto"/>
        <w:rPr>
          <w:lang w:eastAsia="ko-KR"/>
        </w:rPr>
      </w:pPr>
    </w:p>
    <w:p w14:paraId="0A742550" w14:textId="3CB4CCF6" w:rsidR="000C3784" w:rsidRPr="00C720D1" w:rsidRDefault="00D450DC">
      <w:pPr>
        <w:spacing w:before="120" w:after="120" w:line="360" w:lineRule="auto"/>
        <w:jc w:val="center"/>
      </w:pPr>
      <w:r>
        <w:rPr>
          <w:rFonts w:eastAsia="Times New Roman"/>
          <w:b/>
          <w:bCs/>
          <w:sz w:val="26"/>
          <w:szCs w:val="26"/>
        </w:rPr>
        <w:t>M</w:t>
      </w:r>
      <w:r w:rsidR="00C720D1">
        <w:rPr>
          <w:rFonts w:hint="eastAsia"/>
          <w:b/>
          <w:bCs/>
          <w:sz w:val="26"/>
          <w:szCs w:val="26"/>
        </w:rPr>
        <w:t>eiling</w:t>
      </w:r>
      <w:r>
        <w:rPr>
          <w:rFonts w:eastAsia="Times New Roman"/>
          <w:b/>
          <w:bCs/>
          <w:sz w:val="26"/>
          <w:szCs w:val="26"/>
        </w:rPr>
        <w:t xml:space="preserve"> L</w:t>
      </w:r>
      <w:r w:rsidR="00C720D1">
        <w:rPr>
          <w:rFonts w:hint="eastAsia"/>
          <w:b/>
          <w:bCs/>
          <w:sz w:val="26"/>
          <w:szCs w:val="26"/>
        </w:rPr>
        <w:t>i</w:t>
      </w:r>
    </w:p>
    <w:p w14:paraId="24C82343" w14:textId="77777777" w:rsidR="000C3784" w:rsidRDefault="000C3784">
      <w:pPr>
        <w:spacing w:line="360" w:lineRule="auto"/>
      </w:pPr>
    </w:p>
    <w:p w14:paraId="2CFD99D5" w14:textId="77777777" w:rsidR="000C3784" w:rsidRDefault="00D450DC">
      <w:pPr>
        <w:spacing w:before="120" w:after="120" w:line="360" w:lineRule="auto"/>
        <w:jc w:val="center"/>
      </w:pPr>
      <w:r>
        <w:rPr>
          <w:rFonts w:eastAsia="Times New Roman"/>
        </w:rPr>
        <w:t xml:space="preserve">Advisor: Professor </w:t>
      </w:r>
      <w:proofErr w:type="spellStart"/>
      <w:r>
        <w:rPr>
          <w:rFonts w:eastAsia="Times New Roman"/>
        </w:rPr>
        <w:t>Hyunsoo</w:t>
      </w:r>
      <w:proofErr w:type="spellEnd"/>
      <w:r>
        <w:rPr>
          <w:rFonts w:eastAsia="Times New Roman"/>
        </w:rPr>
        <w:t xml:space="preserve"> Kim</w:t>
      </w:r>
    </w:p>
    <w:p w14:paraId="180347B7" w14:textId="77777777" w:rsidR="000C3784" w:rsidRDefault="000C3784">
      <w:pPr>
        <w:spacing w:line="360" w:lineRule="auto"/>
      </w:pPr>
    </w:p>
    <w:p w14:paraId="50E2E7F5" w14:textId="77777777" w:rsidR="000C3784" w:rsidRDefault="000C3784">
      <w:pPr>
        <w:spacing w:line="360" w:lineRule="auto"/>
      </w:pPr>
    </w:p>
    <w:p w14:paraId="2BE98FDA" w14:textId="77777777" w:rsidR="000C3784" w:rsidRDefault="000C3784">
      <w:pPr>
        <w:spacing w:line="360" w:lineRule="auto"/>
      </w:pPr>
    </w:p>
    <w:p w14:paraId="3A405C9C" w14:textId="77777777" w:rsidR="000C3784" w:rsidRDefault="000C3784">
      <w:pPr>
        <w:spacing w:line="360" w:lineRule="auto"/>
      </w:pPr>
    </w:p>
    <w:p w14:paraId="522DB246" w14:textId="77777777" w:rsidR="000C3784" w:rsidRDefault="00D450DC">
      <w:pPr>
        <w:spacing w:before="120" w:after="120" w:line="360" w:lineRule="auto"/>
        <w:jc w:val="center"/>
      </w:pPr>
      <w:r>
        <w:rPr>
          <w:rFonts w:eastAsia="Times New Roman"/>
        </w:rPr>
        <w:t>Department of Child Psychotherapy</w:t>
      </w:r>
    </w:p>
    <w:p w14:paraId="3E1D0CF5" w14:textId="77777777" w:rsidR="000C3784" w:rsidRDefault="00D450DC">
      <w:pPr>
        <w:spacing w:before="120" w:after="120" w:line="360" w:lineRule="auto"/>
        <w:jc w:val="center"/>
      </w:pPr>
      <w:r>
        <w:rPr>
          <w:rFonts w:eastAsia="Times New Roman"/>
        </w:rPr>
        <w:t>Graduate School of Hanyang University</w:t>
      </w:r>
    </w:p>
    <w:p w14:paraId="7B86F18F" w14:textId="77777777" w:rsidR="000C3784" w:rsidRDefault="000C3784">
      <w:pPr>
        <w:spacing w:line="360" w:lineRule="auto"/>
      </w:pPr>
    </w:p>
    <w:p w14:paraId="02EE03FF" w14:textId="77777777" w:rsidR="000C3784" w:rsidRDefault="000C3784">
      <w:pPr>
        <w:spacing w:line="360" w:lineRule="auto"/>
      </w:pPr>
    </w:p>
    <w:p w14:paraId="001C09A9" w14:textId="77777777" w:rsidR="000C3784" w:rsidRDefault="00D450DC">
      <w:pPr>
        <w:spacing w:before="120" w:after="120" w:line="360" w:lineRule="auto"/>
        <w:jc w:val="center"/>
      </w:pPr>
      <w:r>
        <w:rPr>
          <w:rFonts w:eastAsia="Times New Roman"/>
        </w:rPr>
        <w:t>April 2026</w:t>
      </w:r>
    </w:p>
    <w:p w14:paraId="7917FFD4" w14:textId="27EFEBE2" w:rsidR="00A34638" w:rsidRDefault="00D450DC" w:rsidP="00DC68A9">
      <w:pPr>
        <w:pageBreakBefore/>
        <w:spacing w:after="360"/>
        <w:jc w:val="center"/>
      </w:pPr>
      <w:r>
        <w:rPr>
          <w:rFonts w:eastAsia="Times New Roman"/>
          <w:b/>
          <w:bCs/>
          <w:sz w:val="32"/>
          <w:szCs w:val="32"/>
        </w:rPr>
        <w:lastRenderedPageBreak/>
        <w:t>Abstract</w:t>
      </w:r>
    </w:p>
    <w:p w14:paraId="5842E56C" w14:textId="18DDB275" w:rsidR="008B0A4F" w:rsidRPr="008B0A4F" w:rsidRDefault="008B0A4F" w:rsidP="008B0A4F">
      <w:pPr>
        <w:spacing w:after="120" w:line="360" w:lineRule="auto"/>
        <w:ind w:firstLine="360"/>
        <w:jc w:val="both"/>
      </w:pPr>
      <w:r w:rsidRPr="008B0A4F">
        <w:t xml:space="preserve">This </w:t>
      </w:r>
      <w:r w:rsidR="002E0D82">
        <w:rPr>
          <w:rFonts w:hint="eastAsia"/>
        </w:rPr>
        <w:t>meta-analysis</w:t>
      </w:r>
      <w:r w:rsidRPr="008B0A4F">
        <w:t xml:space="preserve"> aimed to provide an overview of the general characteristics and research trends</w:t>
      </w:r>
      <w:r w:rsidR="002E0D82">
        <w:rPr>
          <w:rFonts w:hint="eastAsia"/>
        </w:rPr>
        <w:t xml:space="preserve"> efficacy</w:t>
      </w:r>
      <w:r w:rsidRPr="008B0A4F">
        <w:t xml:space="preserve"> of </w:t>
      </w:r>
      <w:r w:rsidR="002E0D82" w:rsidRPr="002E0D82">
        <w:t>unguided self-help cognitive behavioral therapy (CBT) interventions for adolescents with depressive symptoms</w:t>
      </w:r>
      <w:r w:rsidRPr="008B0A4F">
        <w:t xml:space="preserve">. The study further analyzed effect sizes at follow-up, and, to identify moderators of the intervention effect, it examined differences in effect size by control type, support level, delivery modality, baseline severity, </w:t>
      </w:r>
      <w:r w:rsidR="0063238F">
        <w:rPr>
          <w:rFonts w:hint="eastAsia"/>
        </w:rPr>
        <w:t xml:space="preserve">therapeutic components, dosage </w:t>
      </w:r>
      <w:r w:rsidRPr="008B0A4F">
        <w:t>and age. Dropout and acceptability were additionally examined.</w:t>
      </w:r>
    </w:p>
    <w:p w14:paraId="19684C49" w14:textId="7B642EC2" w:rsidR="008B0A4F" w:rsidRPr="008B0A4F" w:rsidRDefault="008B0A4F" w:rsidP="008B0A4F">
      <w:pPr>
        <w:spacing w:after="120" w:line="360" w:lineRule="auto"/>
        <w:ind w:firstLine="360"/>
        <w:jc w:val="both"/>
      </w:pPr>
      <w:r w:rsidRPr="008B0A4F">
        <w:t xml:space="preserve">To this end, a systematic search was conducted across four databases (PubMed, Embase, Cochrane CENTRAL, and APA </w:t>
      </w:r>
      <w:proofErr w:type="spellStart"/>
      <w:r w:rsidRPr="008B0A4F">
        <w:t>PsycArticles</w:t>
      </w:r>
      <w:proofErr w:type="spellEnd"/>
      <w:r w:rsidRPr="008B0A4F">
        <w:t xml:space="preserve">), with the most recent search completed in April 2026. Randomized controlled trials targeting adolescents aged 10 to 19 with clinically meaningful depressive symptoms at baseline were selected according to pre-specified PICOS criteria, where the experimental arm was a CBT-based unguided self-help </w:t>
      </w:r>
      <w:proofErr w:type="gramStart"/>
      <w:r w:rsidRPr="008B0A4F">
        <w:t>program</w:t>
      </w:r>
      <w:proofErr w:type="gramEnd"/>
      <w:r w:rsidRPr="008B0A4F">
        <w:t xml:space="preserve"> and the comparator was an inactive or </w:t>
      </w:r>
      <w:r w:rsidR="009C7002">
        <w:rPr>
          <w:rFonts w:hint="eastAsia"/>
        </w:rPr>
        <w:t>minimally active</w:t>
      </w:r>
      <w:r w:rsidRPr="008B0A4F">
        <w:t xml:space="preserve"> control. Fifteen studies were finally included (14 in the main analysis). Standardized mean differences (Hedges' </w:t>
      </w:r>
      <w:r w:rsidRPr="008B0A4F">
        <w:rPr>
          <w:i/>
          <w:iCs/>
        </w:rPr>
        <w:t>g</w:t>
      </w:r>
      <w:r w:rsidRPr="008B0A4F">
        <w:t xml:space="preserve">) were computed and pooled using random-effects models, risk of bias was assessed with </w:t>
      </w:r>
      <w:proofErr w:type="spellStart"/>
      <w:r w:rsidRPr="008B0A4F">
        <w:t>RoB</w:t>
      </w:r>
      <w:proofErr w:type="spellEnd"/>
      <w:r w:rsidRPr="008B0A4F">
        <w:t xml:space="preserve"> 2.0</w:t>
      </w:r>
      <w:r w:rsidR="009C7002">
        <w:rPr>
          <w:rFonts w:hint="eastAsia"/>
        </w:rPr>
        <w:t xml:space="preserve">. </w:t>
      </w:r>
      <w:r w:rsidRPr="008B0A4F">
        <w:t xml:space="preserve"> </w:t>
      </w:r>
    </w:p>
    <w:p w14:paraId="599CC428" w14:textId="77777777" w:rsidR="009C7002" w:rsidRDefault="008B0A4F" w:rsidP="008B0A4F">
      <w:pPr>
        <w:spacing w:after="120" w:line="360" w:lineRule="auto"/>
        <w:ind w:firstLine="360"/>
        <w:jc w:val="both"/>
      </w:pPr>
      <w:r w:rsidRPr="008B0A4F">
        <w:t xml:space="preserve">The results were as follows. </w:t>
      </w:r>
    </w:p>
    <w:p w14:paraId="51433D26" w14:textId="6FEEE3ED" w:rsidR="008B0A4F" w:rsidRPr="008B0A4F" w:rsidRDefault="008B0A4F" w:rsidP="008B0A4F">
      <w:pPr>
        <w:spacing w:after="120" w:line="360" w:lineRule="auto"/>
        <w:ind w:firstLine="360"/>
        <w:jc w:val="both"/>
      </w:pPr>
      <w:r w:rsidRPr="008B0A4F">
        <w:t xml:space="preserve">First, the overall effect of unguided self-help CBT at post-intervention was small but statistically significant (Hedges' </w:t>
      </w:r>
      <w:r w:rsidRPr="008B0A4F">
        <w:rPr>
          <w:i/>
          <w:iCs/>
        </w:rPr>
        <w:t>g</w:t>
      </w:r>
      <w:r w:rsidRPr="008B0A4F">
        <w:t xml:space="preserve"> = 0.27, 95% CI [0.06, 0.47], </w:t>
      </w:r>
      <w:r w:rsidRPr="008B0A4F">
        <w:rPr>
          <w:i/>
          <w:iCs/>
        </w:rPr>
        <w:t>p</w:t>
      </w:r>
      <w:r w:rsidRPr="008B0A4F">
        <w:t xml:space="preserve"> = .015; </w:t>
      </w:r>
      <w:r w:rsidRPr="008B0A4F">
        <w:rPr>
          <w:i/>
          <w:iCs/>
        </w:rPr>
        <w:t>I</w:t>
      </w:r>
      <w:r w:rsidRPr="008B0A4F">
        <w:t xml:space="preserve">² = 63.3%), corresponding to a small effect by empirically derived benchmarks for child and adolescent psychotherapy. At follow-up, the pooled effects remained small (short-term, </w:t>
      </w:r>
      <w:r w:rsidRPr="008B0A4F">
        <w:rPr>
          <w:i/>
          <w:iCs/>
        </w:rPr>
        <w:t>k</w:t>
      </w:r>
      <w:r w:rsidRPr="008B0A4F">
        <w:t xml:space="preserve"> = 4, g = 0.12; long-term, </w:t>
      </w:r>
      <w:r w:rsidRPr="008B0A4F">
        <w:rPr>
          <w:i/>
          <w:iCs/>
        </w:rPr>
        <w:t xml:space="preserve">k </w:t>
      </w:r>
      <w:r w:rsidRPr="008B0A4F">
        <w:t xml:space="preserve">= 7, </w:t>
      </w:r>
      <w:r w:rsidRPr="008B0A4F">
        <w:rPr>
          <w:i/>
          <w:iCs/>
        </w:rPr>
        <w:t>g</w:t>
      </w:r>
      <w:r w:rsidRPr="008B0A4F">
        <w:t xml:space="preserve"> = 0.16)</w:t>
      </w:r>
      <w:r w:rsidR="009C7002">
        <w:rPr>
          <w:rFonts w:hint="eastAsia"/>
        </w:rPr>
        <w:t>.</w:t>
      </w:r>
      <w:r w:rsidR="00913DE5">
        <w:rPr>
          <w:rFonts w:hint="eastAsia"/>
        </w:rPr>
        <w:t xml:space="preserve"> B</w:t>
      </w:r>
      <w:r w:rsidRPr="008B0A4F">
        <w:t>ecause these estimates were drawn from non-identical subsets of trials, they cannot establish whether the effect was maintained over time.</w:t>
      </w:r>
    </w:p>
    <w:p w14:paraId="1B8DB03A" w14:textId="5F678AB9" w:rsidR="008B0A4F" w:rsidRPr="008B0A4F" w:rsidRDefault="008B0A4F" w:rsidP="008B0A4F">
      <w:pPr>
        <w:spacing w:after="120" w:line="360" w:lineRule="auto"/>
        <w:ind w:firstLine="360"/>
        <w:jc w:val="both"/>
      </w:pPr>
      <w:r w:rsidRPr="008B0A4F">
        <w:t>Second, when effect sizes were examined by moderator, none of the subgroup analyses showed a significant between-group difference. The pooled effect was robust across leave-one-out and sensitivity analyses (</w:t>
      </w:r>
      <w:r w:rsidRPr="008B0A4F">
        <w:rPr>
          <w:i/>
          <w:iCs/>
        </w:rPr>
        <w:t>g</w:t>
      </w:r>
      <w:r w:rsidRPr="008B0A4F">
        <w:t xml:space="preserve"> = 0.20 to 0.35)</w:t>
      </w:r>
      <w:r w:rsidR="001E6F8E">
        <w:rPr>
          <w:rFonts w:hint="eastAsia"/>
        </w:rPr>
        <w:t>. H</w:t>
      </w:r>
      <w:r w:rsidRPr="008B0A4F">
        <w:t xml:space="preserve">owever, the funnel plot was </w:t>
      </w:r>
      <w:proofErr w:type="gramStart"/>
      <w:r w:rsidRPr="008B0A4F">
        <w:t>asymmetric</w:t>
      </w:r>
      <w:proofErr w:type="gramEnd"/>
      <w:r w:rsidRPr="008B0A4F">
        <w:t xml:space="preserve"> and a trim-and-fill procedure attenuated the estimate to </w:t>
      </w:r>
      <w:r w:rsidRPr="008B0A4F">
        <w:rPr>
          <w:i/>
          <w:iCs/>
        </w:rPr>
        <w:t>g</w:t>
      </w:r>
      <w:r w:rsidRPr="008B0A4F">
        <w:t xml:space="preserve"> = 0.21, so small-study effects could not be ruled out.</w:t>
      </w:r>
    </w:p>
    <w:p w14:paraId="25AE573F" w14:textId="0EF103C1" w:rsidR="008B0A4F" w:rsidRPr="008B0A4F" w:rsidRDefault="008B0A4F" w:rsidP="008B0A4F">
      <w:pPr>
        <w:spacing w:after="120" w:line="360" w:lineRule="auto"/>
        <w:ind w:firstLine="360"/>
        <w:jc w:val="both"/>
      </w:pPr>
      <w:r w:rsidRPr="008B0A4F">
        <w:t>Third, for acceptability, dropout was somewhat higher in the intervention arm than in the control arm but did not reach significance (random-effects RR = 1.32, 95% CI [0.96, 1.82])</w:t>
      </w:r>
      <w:r w:rsidR="00D12127">
        <w:rPr>
          <w:rFonts w:hint="eastAsia"/>
        </w:rPr>
        <w:t>.</w:t>
      </w:r>
      <w:r w:rsidRPr="008B0A4F">
        <w:t xml:space="preserve"> </w:t>
      </w:r>
      <w:r w:rsidR="00D12127">
        <w:rPr>
          <w:rFonts w:hint="eastAsia"/>
        </w:rPr>
        <w:t>T</w:t>
      </w:r>
      <w:r w:rsidRPr="008B0A4F">
        <w:t>his difference was driven mainly by one highly influential trial</w:t>
      </w:r>
      <w:r w:rsidR="00285A56">
        <w:rPr>
          <w:rFonts w:hint="eastAsia"/>
        </w:rPr>
        <w:t xml:space="preserve"> study</w:t>
      </w:r>
      <w:r w:rsidRPr="008B0A4F">
        <w:t>, and removing it reduced the estimate to RR = 1.18.</w:t>
      </w:r>
    </w:p>
    <w:p w14:paraId="7629C375" w14:textId="77777777" w:rsidR="00E36A53" w:rsidRDefault="00E36A53" w:rsidP="008B0A4F">
      <w:pPr>
        <w:spacing w:after="120" w:line="360" w:lineRule="auto"/>
        <w:ind w:firstLine="360"/>
        <w:jc w:val="both"/>
      </w:pPr>
      <w:r w:rsidRPr="00E36A53">
        <w:t xml:space="preserve">Overall, this study suggests that unguided self-help CBT may provide a small short-term reduction in depressive symptoms among adolescents. It also helps clarify which intervention and study features may be worth considering in future research, even though the current evidence does not allow firm conclusions about moderators. These findings may be useful for designing more accessible and flexible support options </w:t>
      </w:r>
      <w:r w:rsidRPr="00E36A53">
        <w:lastRenderedPageBreak/>
        <w:t>for adolescents who are not easily reached by conventional mental health services.</w:t>
      </w:r>
      <w:r>
        <w:rPr>
          <w:rFonts w:hint="eastAsia"/>
        </w:rPr>
        <w:t xml:space="preserve"> </w:t>
      </w:r>
    </w:p>
    <w:p w14:paraId="7008BC13" w14:textId="77777777" w:rsidR="00E36A53" w:rsidRDefault="00E36A53" w:rsidP="008B0A4F">
      <w:pPr>
        <w:spacing w:after="120" w:line="360" w:lineRule="auto"/>
        <w:ind w:firstLine="360"/>
        <w:jc w:val="both"/>
      </w:pPr>
    </w:p>
    <w:p w14:paraId="5B4B1C03" w14:textId="77777777" w:rsidR="00E36A53" w:rsidRDefault="008B0A4F" w:rsidP="008B0A4F">
      <w:pPr>
        <w:spacing w:after="120" w:line="360" w:lineRule="auto"/>
        <w:ind w:firstLine="360"/>
        <w:jc w:val="both"/>
      </w:pPr>
      <w:r w:rsidRPr="008B0A4F">
        <w:rPr>
          <w:b/>
          <w:bCs/>
        </w:rPr>
        <w:t>Keywords</w:t>
      </w:r>
      <w:r w:rsidRPr="008B0A4F">
        <w:t xml:space="preserve">: </w:t>
      </w:r>
    </w:p>
    <w:p w14:paraId="727B2EDB" w14:textId="2CB5F37F" w:rsidR="008B0A4F" w:rsidRPr="008B0A4F" w:rsidRDefault="008B0A4F" w:rsidP="008B0A4F">
      <w:pPr>
        <w:spacing w:after="120" w:line="360" w:lineRule="auto"/>
        <w:ind w:firstLine="360"/>
        <w:jc w:val="both"/>
      </w:pPr>
      <w:r w:rsidRPr="008B0A4F">
        <w:t>unguided self-help intervention; cognitive behavioral therapy; adolescents; depression; meta-analysis</w:t>
      </w:r>
    </w:p>
    <w:p w14:paraId="7AF6CC06" w14:textId="77777777" w:rsidR="008B0A4F" w:rsidRPr="00DC68A9" w:rsidRDefault="008B0A4F" w:rsidP="00DC68A9">
      <w:pPr>
        <w:spacing w:after="120" w:line="360" w:lineRule="auto"/>
        <w:ind w:firstLine="360"/>
        <w:jc w:val="both"/>
      </w:pPr>
    </w:p>
    <w:p w14:paraId="2BBE3090" w14:textId="77777777" w:rsidR="00DC68A9" w:rsidRPr="00DC68A9" w:rsidRDefault="00DC68A9">
      <w:pPr>
        <w:spacing w:after="120" w:line="360" w:lineRule="auto"/>
        <w:ind w:firstLine="360"/>
        <w:jc w:val="both"/>
      </w:pPr>
    </w:p>
    <w:p w14:paraId="2CEF103E" w14:textId="77777777" w:rsidR="00A34638" w:rsidRDefault="00A34638">
      <w:pPr>
        <w:spacing w:after="120" w:line="360" w:lineRule="auto"/>
        <w:ind w:firstLine="360"/>
        <w:jc w:val="both"/>
      </w:pPr>
    </w:p>
    <w:p w14:paraId="525AB837" w14:textId="5582A412" w:rsidR="000C3784" w:rsidRPr="00254346" w:rsidRDefault="000C3784">
      <w:pPr>
        <w:spacing w:after="120" w:line="360" w:lineRule="auto"/>
        <w:ind w:firstLine="360"/>
        <w:jc w:val="both"/>
      </w:pPr>
    </w:p>
    <w:p w14:paraId="52057D84" w14:textId="77777777" w:rsidR="000C3784" w:rsidRDefault="00D450DC">
      <w:pPr>
        <w:pStyle w:val="1"/>
        <w:pageBreakBefore/>
      </w:pPr>
      <w:bookmarkStart w:id="2" w:name="OLE_LINK2"/>
      <w:bookmarkStart w:id="3" w:name="OLE_LINK1"/>
      <w:r>
        <w:lastRenderedPageBreak/>
        <w:t>Chapter 1. Introduction</w:t>
      </w:r>
    </w:p>
    <w:p w14:paraId="08E97C55" w14:textId="6B5570FE" w:rsidR="0010131B" w:rsidRPr="0010131B" w:rsidRDefault="00D450DC" w:rsidP="0010131B">
      <w:pPr>
        <w:pStyle w:val="2"/>
        <w:rPr>
          <w:rFonts w:eastAsiaTheme="minorEastAsia"/>
        </w:rPr>
      </w:pPr>
      <w:r>
        <w:t xml:space="preserve">1.1. </w:t>
      </w:r>
      <w:bookmarkStart w:id="4" w:name="OLE_LINK64"/>
      <w:r>
        <w:t>Necessity and Purpose of the Study</w:t>
      </w:r>
      <w:bookmarkEnd w:id="4"/>
    </w:p>
    <w:p w14:paraId="0974BAD3" w14:textId="20E68FA7" w:rsidR="001378D1" w:rsidRPr="001378D1" w:rsidRDefault="001378D1" w:rsidP="001378D1">
      <w:pPr>
        <w:spacing w:after="120" w:line="360" w:lineRule="auto"/>
        <w:ind w:firstLine="360"/>
        <w:jc w:val="both"/>
      </w:pPr>
      <w:r w:rsidRPr="001378D1">
        <w:t xml:space="preserve">Population-level evidence shows that the impact of major depressive disorder (MDD) extends far beyond the mood symptoms used to define it. This impact can be observed in three areas: subjective wellbeing, functional impairment, and comorbidity burden. For subjective wellbeing, depression has been associated with greater reductions in life satisfaction than debt, divorce, or diabetes (Birkjær et al., 2020). For functional impairment, </w:t>
      </w:r>
      <w:r w:rsidR="008C2A71">
        <w:rPr>
          <w:rFonts w:hint="eastAsia"/>
        </w:rPr>
        <w:t>t</w:t>
      </w:r>
      <w:r w:rsidR="008C2A71" w:rsidRPr="008C2A71">
        <w:t xml:space="preserve">he WHO World Mental Health Survey across fifteen countries reported that </w:t>
      </w:r>
      <w:r w:rsidR="00AC46ED" w:rsidRPr="00AC46ED">
        <w:t>mental disorders caused greater disability than many common physical illnesses, such as cancer, diabetes, and heart disease. Depression and bipolar disorder showed particularly high levels of disability. The impact was especially strong in social life and close relationships, suggesting that depression may affect not only mood, but also</w:t>
      </w:r>
      <w:r w:rsidR="00CC60BD">
        <w:rPr>
          <w:rFonts w:hint="eastAsia"/>
        </w:rPr>
        <w:t xml:space="preserve"> the</w:t>
      </w:r>
      <w:r w:rsidR="00AC46ED" w:rsidRPr="00AC46ED">
        <w:t xml:space="preserve"> ability to study, interact with others, and maintain everyday relationship</w:t>
      </w:r>
      <w:r w:rsidR="00CC60BD">
        <w:rPr>
          <w:rFonts w:hint="eastAsia"/>
        </w:rPr>
        <w:t>s</w:t>
      </w:r>
      <w:r w:rsidR="008C2A71" w:rsidRPr="008C2A71">
        <w:t xml:space="preserve"> (</w:t>
      </w:r>
      <w:proofErr w:type="spellStart"/>
      <w:r w:rsidR="008C2A71" w:rsidRPr="008C2A71">
        <w:t>Ormel</w:t>
      </w:r>
      <w:proofErr w:type="spellEnd"/>
      <w:r w:rsidR="008C2A71" w:rsidRPr="008C2A71">
        <w:t xml:space="preserve"> et al., 2008).</w:t>
      </w:r>
      <w:r w:rsidRPr="001378D1">
        <w:t xml:space="preserve"> For comorbidity, depression rarely occurs in isolation. MDD and depressive symptoms show bidirectional associations with anxiety disorders, are linked to increased risk of coronary heart disease, and predict higher mortality among patients with cancer (Jacobson &amp; Newman, 2017; </w:t>
      </w:r>
      <w:proofErr w:type="spellStart"/>
      <w:r w:rsidRPr="001378D1">
        <w:t>Pinquart</w:t>
      </w:r>
      <w:proofErr w:type="spellEnd"/>
      <w:r w:rsidRPr="001378D1">
        <w:t xml:space="preserve"> &amp; Duberstein, 2010; </w:t>
      </w:r>
      <w:proofErr w:type="spellStart"/>
      <w:r w:rsidRPr="001378D1">
        <w:t>Rugulies</w:t>
      </w:r>
      <w:proofErr w:type="spellEnd"/>
      <w:r w:rsidRPr="001378D1">
        <w:t>, 2002). These findings indicate that depression is not only a disorder of mood but also a condition that disrupts wellbeing, daily functioning, and broader health trajectories. This burden is particularly important for adolescents, because depression during this developmental period may interfere with education, social relationships, and the transition into adulthood. At the same time, the demand for adolescent mental health support has increasingly exceeded the capacity of existing services.</w:t>
      </w:r>
    </w:p>
    <w:p w14:paraId="5E2FD944" w14:textId="77777777" w:rsidR="001378D1" w:rsidRPr="001378D1" w:rsidRDefault="001378D1" w:rsidP="001378D1">
      <w:pPr>
        <w:spacing w:after="120" w:line="360" w:lineRule="auto"/>
        <w:ind w:firstLine="360"/>
        <w:jc w:val="both"/>
      </w:pPr>
      <w:r w:rsidRPr="001378D1">
        <w:t xml:space="preserve">While adolescent mental health needs have risen sharply, the capacity of conventional services has remained limited. Within one year after the onset of COVID-19, the global prevalence of MDD and anxiety disorders increased by approximately 28% and 26% respectively, with the impact most pronounced among young people (COVID-19 Mental Disorders Collaborators, 2021). Three persistent barriers limit adolescent access to care. The first is workforce shortage. According to the WHO Mental Health Atlas, the global median number of child and adolescent psychiatrists is only 0.3 per 100,000 </w:t>
      </w:r>
      <w:proofErr w:type="gramStart"/>
      <w:r w:rsidRPr="001378D1">
        <w:t>population, and</w:t>
      </w:r>
      <w:proofErr w:type="gramEnd"/>
      <w:r w:rsidRPr="001378D1">
        <w:t xml:space="preserve"> falls below 0.1 per 100,000 in low-income countries (World Health Organization, 2021). The second is economic disadvantage. Global evidence shows that treatment coverage for MDD is especially low in low- and lower-middle-income settings, while adolescents from lower socioeconomic backgrounds also report higher levels of depressive symptoms (Moitra et al., 2022; Zhou et al., 2018). The third is stigma, which restricts help-seeking, since adolescents with mental health conditions may be perceived as lazy, weak, or socially undesirable (World Health Organization, 2022). The result is a structural mismatch. Adolescents are among those most affected by post-pandemic increases in depression, but many cannot access timely, affordable, </w:t>
      </w:r>
      <w:r w:rsidRPr="001378D1">
        <w:lastRenderedPageBreak/>
        <w:t>and acceptable care.</w:t>
      </w:r>
    </w:p>
    <w:p w14:paraId="77FB1DF6" w14:textId="464B3B2C" w:rsidR="00E56A17" w:rsidRPr="00E56A17" w:rsidRDefault="00DF0EBA" w:rsidP="004D2DEC">
      <w:pPr>
        <w:spacing w:after="120" w:line="360" w:lineRule="auto"/>
        <w:ind w:firstLine="360"/>
        <w:jc w:val="both"/>
      </w:pPr>
      <w:bookmarkStart w:id="5" w:name="OLE_LINK62"/>
      <w:r w:rsidRPr="00DF0EBA">
        <w:t>Self-help interventions are well suited to address all three of these barriers. Because they require little or no direct therapist time, they reduce the burden on an already limited specialist workforce. Because they can be delivered at scale and at low cost, they may widen access for adolescents with limited financial resources. And because they are private and self-directed, they may reduce the stigma that often deters help-seeking. Through these features, self-help interventions may reach adolescents who would otherwise remain outside the conventional treatment system. This rationale aligns with the WHO World Mental Health Report, which calls for accessible and scalable mental health support in settings where existing services fall short (World Health Organization, 2022)</w:t>
      </w:r>
      <w:r w:rsidR="004D2DEC" w:rsidRPr="004D2DEC">
        <w:t>.</w:t>
      </w:r>
    </w:p>
    <w:p w14:paraId="77B96525" w14:textId="4806BB65" w:rsidR="00E56A17" w:rsidRPr="00E56A17" w:rsidRDefault="00E56A17" w:rsidP="00E56A17">
      <w:pPr>
        <w:spacing w:after="120" w:line="360" w:lineRule="auto"/>
        <w:ind w:firstLine="360"/>
        <w:jc w:val="both"/>
      </w:pPr>
      <w:r w:rsidRPr="00E56A17">
        <w:t xml:space="preserve">Among the therapies that can be adapted to a self-help format, cognitive behavioral therapy (CBT) is particularly relevant. CBT is one of the most extensively studied psychological treatments for adolescent depression, and it is recommended in formal treatment guidelines for young people (National Institute for Health and Care Excellence, 2019). </w:t>
      </w:r>
      <w:r w:rsidR="00DF0EBA" w:rsidRPr="00DF0EBA">
        <w:t>Its structured, manualized, and skills-based format makes it well suited to self-directed use. Core tasks, such as identifying negative thoughts, monitoring mood, and practicing coping strategies, can be organized into clear and sequential modules that adolescents can work through on their own. CBT is also developmentally appropriate for this age group. Adolescence is a period in which abstract reasoning, metacognition, and self-regulation continue to develop, and these emerging abilities support engagement with the cognitive and behavioral tasks involved in CBT (Steinberg, 2005)</w:t>
      </w:r>
      <w:r w:rsidRPr="00E56A17">
        <w:t>.</w:t>
      </w:r>
    </w:p>
    <w:bookmarkEnd w:id="5"/>
    <w:p w14:paraId="0C0A29ED" w14:textId="1A7A1A46" w:rsidR="001378D1" w:rsidRPr="001378D1" w:rsidRDefault="00E56A17" w:rsidP="001378D1">
      <w:pPr>
        <w:spacing w:after="120" w:line="360" w:lineRule="auto"/>
        <w:ind w:firstLine="360"/>
        <w:jc w:val="both"/>
      </w:pPr>
      <w:r w:rsidRPr="00E56A17">
        <w:t xml:space="preserve">However, self-help interventions cover a broad spectrum, </w:t>
      </w:r>
      <w:r w:rsidR="00DF0EBA">
        <w:rPr>
          <w:rFonts w:hint="eastAsia"/>
        </w:rPr>
        <w:t xml:space="preserve">the universal definition of self-help </w:t>
      </w:r>
      <w:r w:rsidR="00DF0EBA">
        <w:t>intervention</w:t>
      </w:r>
      <w:r w:rsidR="00DF0EBA">
        <w:rPr>
          <w:rFonts w:hint="eastAsia"/>
        </w:rPr>
        <w:t xml:space="preserve"> has not yet</w:t>
      </w:r>
      <w:r w:rsidR="00CC60BD">
        <w:rPr>
          <w:rFonts w:hint="eastAsia"/>
        </w:rPr>
        <w:t xml:space="preserve"> been</w:t>
      </w:r>
      <w:r w:rsidR="00DF0EBA">
        <w:rPr>
          <w:rFonts w:hint="eastAsia"/>
        </w:rPr>
        <w:t xml:space="preserve"> formally </w:t>
      </w:r>
      <w:r w:rsidR="00BE4AFB">
        <w:rPr>
          <w:rFonts w:hint="eastAsia"/>
        </w:rPr>
        <w:t>established.</w:t>
      </w:r>
      <w:r w:rsidR="00DF0EBA">
        <w:rPr>
          <w:rFonts w:hint="eastAsia"/>
        </w:rPr>
        <w:t xml:space="preserve"> </w:t>
      </w:r>
      <w:r w:rsidR="00BE0225">
        <w:rPr>
          <w:rFonts w:hint="eastAsia"/>
        </w:rPr>
        <w:t>Therefore,</w:t>
      </w:r>
      <w:r w:rsidRPr="00E56A17">
        <w:t xml:space="preserve"> the specific format most relevant to adolescents needs to be </w:t>
      </w:r>
      <w:r w:rsidR="00BE0225">
        <w:rPr>
          <w:rFonts w:hint="eastAsia"/>
        </w:rPr>
        <w:t>operationalized for the current study</w:t>
      </w:r>
      <w:r w:rsidRPr="00E56A17">
        <w:t xml:space="preserve">. </w:t>
      </w:r>
      <w:r w:rsidR="006363AD" w:rsidRPr="006363AD">
        <w:t>Among the formats that have been used in comparable studies</w:t>
      </w:r>
      <w:r w:rsidRPr="00E56A17">
        <w:t>, unguided self-help deserves particular attention.</w:t>
      </w:r>
      <w:r w:rsidR="001378D1" w:rsidRPr="001378D1">
        <w:t xml:space="preserve"> It should not be understood simply as a reduced or inferior version of guided intervention, because it aligns with the structural realities of adolescent help-seeking. For many adolescents, access to formal mental health care is mediated by adults and family systems. They often depend on caregivers for financial support, appointments, and transportation. Any intervention that requires repeated appointments, adult coordination, or caregiver awareness may therefore introduce additional barriers before treatment even begins.</w:t>
      </w:r>
    </w:p>
    <w:p w14:paraId="7CF72629" w14:textId="43604A5D" w:rsidR="001378D1" w:rsidRPr="001378D1" w:rsidRDefault="001378D1" w:rsidP="001378D1">
      <w:pPr>
        <w:spacing w:after="120" w:line="360" w:lineRule="auto"/>
        <w:ind w:firstLine="360"/>
        <w:jc w:val="both"/>
      </w:pPr>
      <w:bookmarkStart w:id="6" w:name="OLE_LINK22"/>
      <w:r w:rsidRPr="001378D1">
        <w:t xml:space="preserve">These barriers are not only practical but also relational. Family involvement is not always a neutral pathway to care. Family processes, including low parental warmth, inter-parental conflict, over-involvement, aversiveness, and limited autonomy granting, have been associated with depression and anxiety in young people (Yap et al., 2014). Parents may therefore function not only as facilitators of care, but in some circumstances also as barriers to access (Platell et al., 2023). In such contexts, unguided self-help CBT may provide a practical route to structured psychological support when access through families </w:t>
      </w:r>
      <w:r w:rsidRPr="001378D1">
        <w:lastRenderedPageBreak/>
        <w:t xml:space="preserve">or formal services is difficult. </w:t>
      </w:r>
      <w:r w:rsidR="000D4C51" w:rsidRPr="000D4C51">
        <w:t>Given the ecological constraints of adolescent help-seeking, together with adolescents' developing capacity to use structured self-help materials, unguided self-help CBT deserves to be examined</w:t>
      </w:r>
      <w:r w:rsidR="004248A9" w:rsidRPr="004248A9">
        <w:t xml:space="preserve"> as a meaningful intervention </w:t>
      </w:r>
      <w:proofErr w:type="gramStart"/>
      <w:r w:rsidR="004248A9" w:rsidRPr="004248A9">
        <w:t>format in its own right</w:t>
      </w:r>
      <w:proofErr w:type="gramEnd"/>
      <w:r w:rsidR="004248A9" w:rsidRPr="004248A9">
        <w:t>.</w:t>
      </w:r>
    </w:p>
    <w:bookmarkEnd w:id="6"/>
    <w:p w14:paraId="1AE95315" w14:textId="3655CE17" w:rsidR="007A71B9" w:rsidRPr="007A71B9" w:rsidRDefault="00FD7F17" w:rsidP="007A71B9">
      <w:pPr>
        <w:spacing w:after="120" w:line="360" w:lineRule="auto"/>
        <w:ind w:firstLine="360"/>
        <w:jc w:val="both"/>
      </w:pPr>
      <w:r w:rsidRPr="00FD7F17">
        <w:t>Although existing meta-analyses support the relevance of self-help CBT for depression, the evidence remains insufficiently specific to adolescents receiving unguided self-help interventions.</w:t>
      </w:r>
      <w:r w:rsidR="007A71B9" w:rsidRPr="007A71B9">
        <w:t xml:space="preserve"> Recent reviews have begun to examine self-help CBT at the level of delivery modalities, treatment components, and non-therapeutic support features (Bjornstad et al., 2024; Furukawa et al., 2021; Tong et al., 2024). However, this design-level approach has not yet been adequately extended to this population</w:t>
      </w:r>
      <w:r w:rsidR="004B73C7">
        <w:rPr>
          <w:rFonts w:hint="eastAsia"/>
        </w:rPr>
        <w:t>, especially for</w:t>
      </w:r>
      <w:r w:rsidR="00DD1225">
        <w:rPr>
          <w:rFonts w:hint="eastAsia"/>
        </w:rPr>
        <w:t xml:space="preserve"> the</w:t>
      </w:r>
      <w:r w:rsidR="004B73C7">
        <w:rPr>
          <w:rFonts w:hint="eastAsia"/>
        </w:rPr>
        <w:t xml:space="preserve"> unguided format</w:t>
      </w:r>
      <w:r w:rsidR="00DD1225">
        <w:rPr>
          <w:rFonts w:hint="eastAsia"/>
        </w:rPr>
        <w:t>s</w:t>
      </w:r>
      <w:r w:rsidR="004B73C7">
        <w:rPr>
          <w:rFonts w:hint="eastAsia"/>
        </w:rPr>
        <w:t>.</w:t>
      </w:r>
    </w:p>
    <w:p w14:paraId="5CC91D6B" w14:textId="3BC16BC6" w:rsidR="001378D1" w:rsidRPr="007A71B9" w:rsidRDefault="005B377E" w:rsidP="007A71B9">
      <w:pPr>
        <w:spacing w:after="120" w:line="360" w:lineRule="auto"/>
        <w:ind w:firstLine="360"/>
        <w:jc w:val="both"/>
      </w:pPr>
      <w:r w:rsidRPr="005B377E">
        <w:t>For adolescent depression, it is not sufficient to ask only whether unguided self-help CBT is effective in general. It is also necessary to ask which formats are effective, under what conditions, and with what forms of minimal support.</w:t>
      </w:r>
      <w:r>
        <w:rPr>
          <w:rFonts w:hint="eastAsia"/>
        </w:rPr>
        <w:t xml:space="preserve"> </w:t>
      </w:r>
      <w:r w:rsidR="007A71B9" w:rsidRPr="007A71B9">
        <w:t xml:space="preserve">The present meta-analysis addresses this gap by synthesizing randomized controlled trials of unguided self-help CBT for adolescents with depressive symptoms, and by examining whether intervention effects vary by control type, </w:t>
      </w:r>
      <w:r>
        <w:rPr>
          <w:rFonts w:hint="eastAsia"/>
        </w:rPr>
        <w:t xml:space="preserve">age group, non-therapeutic component, dosage, </w:t>
      </w:r>
      <w:r w:rsidR="007A71B9" w:rsidRPr="007A71B9">
        <w:t xml:space="preserve">support level, delivery modality, and baseline severity. The aim of this study is to clarify not only whether unguided self-help CBT is effective for adolescent depression, but also which design features may be associated with stronger or weaker effects. The findings may inform clinicians, developers, and policymakers when considering </w:t>
      </w:r>
      <w:r w:rsidR="004B73C7">
        <w:rPr>
          <w:rFonts w:hint="eastAsia"/>
        </w:rPr>
        <w:t xml:space="preserve">what features </w:t>
      </w:r>
      <w:r w:rsidR="007A71B9" w:rsidRPr="007A71B9">
        <w:t>should be incorporated into unguided programs for adolescents in resource-constrained settings.</w:t>
      </w:r>
    </w:p>
    <w:p w14:paraId="6DD0C840" w14:textId="77777777" w:rsidR="000C3784" w:rsidRDefault="00D450DC">
      <w:pPr>
        <w:pStyle w:val="2"/>
      </w:pPr>
      <w:r>
        <w:t>1.2. Research Questions</w:t>
      </w:r>
    </w:p>
    <w:p w14:paraId="7D9F212E" w14:textId="77777777" w:rsidR="000C3784" w:rsidRPr="00310A5F" w:rsidRDefault="00D450DC">
      <w:pPr>
        <w:spacing w:after="120" w:line="360" w:lineRule="auto"/>
        <w:ind w:firstLine="360"/>
        <w:jc w:val="both"/>
      </w:pPr>
      <w:r>
        <w:rPr>
          <w:rFonts w:eastAsia="Times New Roman"/>
        </w:rPr>
        <w:t>This meta-analysis addresses the following research questions.</w:t>
      </w:r>
    </w:p>
    <w:p w14:paraId="5CC8CB22" w14:textId="77777777" w:rsidR="000C3784" w:rsidRDefault="00D450DC">
      <w:pPr>
        <w:pStyle w:val="3"/>
      </w:pPr>
      <w:r>
        <w:t>1.2.1. Primary Research Questions</w:t>
      </w:r>
    </w:p>
    <w:p w14:paraId="1E25C712" w14:textId="77777777" w:rsidR="000C3784" w:rsidRDefault="00D450DC">
      <w:pPr>
        <w:spacing w:after="80" w:line="360" w:lineRule="auto"/>
        <w:ind w:left="720" w:hanging="360"/>
        <w:jc w:val="both"/>
      </w:pPr>
      <w:r>
        <w:rPr>
          <w:rFonts w:eastAsia="Times New Roman"/>
        </w:rPr>
        <w:t>• What are the research trends in unguided self-help CBT interventions for adolescents with depressive symptoms?</w:t>
      </w:r>
    </w:p>
    <w:p w14:paraId="2A52D0B6" w14:textId="77777777" w:rsidR="000C3784" w:rsidRDefault="00D450DC">
      <w:pPr>
        <w:spacing w:after="80" w:line="360" w:lineRule="auto"/>
        <w:ind w:left="720" w:hanging="360"/>
        <w:jc w:val="both"/>
      </w:pPr>
      <w:r>
        <w:rPr>
          <w:rFonts w:eastAsia="Times New Roman"/>
        </w:rPr>
        <w:t>• What is the overall effect size of unguided self-help CBT in reducing adolescent depressive symptoms at post-intervention?</w:t>
      </w:r>
    </w:p>
    <w:p w14:paraId="461DA16C" w14:textId="77777777" w:rsidR="000C3784" w:rsidRDefault="00D450DC">
      <w:pPr>
        <w:spacing w:after="80" w:line="360" w:lineRule="auto"/>
        <w:ind w:left="720" w:hanging="360"/>
        <w:jc w:val="both"/>
      </w:pPr>
      <w:r>
        <w:rPr>
          <w:rFonts w:eastAsia="Times New Roman"/>
        </w:rPr>
        <w:t>• To what extent are these effects maintained at follow-up?</w:t>
      </w:r>
    </w:p>
    <w:p w14:paraId="79C674C3" w14:textId="77777777" w:rsidR="000C3784" w:rsidRDefault="00D450DC">
      <w:pPr>
        <w:pStyle w:val="3"/>
      </w:pPr>
      <w:r>
        <w:t>1.2.2. Secondary Research Questions</w:t>
      </w:r>
    </w:p>
    <w:p w14:paraId="68DBE175" w14:textId="5C6DE828" w:rsidR="001F5182" w:rsidRPr="00E431FF" w:rsidRDefault="001F5182" w:rsidP="00E431FF">
      <w:pPr>
        <w:spacing w:after="120" w:line="360" w:lineRule="auto"/>
        <w:ind w:firstLine="360"/>
        <w:jc w:val="both"/>
      </w:pPr>
      <w:r w:rsidRPr="00E431FF">
        <w:t>To what extent does the effect size of unguided self-help CBT vary across the following pre-specified</w:t>
      </w:r>
      <w:r w:rsidR="00E431FF">
        <w:rPr>
          <w:rFonts w:hint="eastAsia"/>
        </w:rPr>
        <w:t xml:space="preserve"> </w:t>
      </w:r>
      <w:r w:rsidRPr="00E431FF">
        <w:lastRenderedPageBreak/>
        <w:t>study-level characteristics:</w:t>
      </w:r>
    </w:p>
    <w:p w14:paraId="3075AA8A" w14:textId="77777777" w:rsidR="008C1068" w:rsidRPr="008C1068" w:rsidRDefault="008C1068" w:rsidP="008C1068">
      <w:pPr>
        <w:spacing w:after="80" w:line="360" w:lineRule="auto"/>
        <w:ind w:left="720" w:hanging="360"/>
        <w:jc w:val="both"/>
      </w:pPr>
      <w:r w:rsidRPr="008C1068">
        <w:rPr>
          <w:b/>
          <w:bCs/>
        </w:rPr>
        <w:t>Confirmatory subgroup analyses (pre-specified)</w:t>
      </w:r>
      <w:r w:rsidRPr="008C1068">
        <w:t>:</w:t>
      </w:r>
    </w:p>
    <w:p w14:paraId="2D1C4554" w14:textId="77777777" w:rsidR="008C1068" w:rsidRPr="008C1068" w:rsidRDefault="008C1068" w:rsidP="008C1068">
      <w:pPr>
        <w:numPr>
          <w:ilvl w:val="0"/>
          <w:numId w:val="2"/>
        </w:numPr>
        <w:spacing w:after="80" w:line="360" w:lineRule="auto"/>
        <w:jc w:val="both"/>
      </w:pPr>
      <w:r w:rsidRPr="008C1068">
        <w:t>Control type (passive vs. minimally active control)</w:t>
      </w:r>
    </w:p>
    <w:p w14:paraId="309C6F26" w14:textId="77777777" w:rsidR="008C1068" w:rsidRDefault="008C1068" w:rsidP="008C1068">
      <w:pPr>
        <w:numPr>
          <w:ilvl w:val="0"/>
          <w:numId w:val="2"/>
        </w:numPr>
        <w:spacing w:after="80" w:line="360" w:lineRule="auto"/>
        <w:jc w:val="both"/>
      </w:pPr>
      <w:r w:rsidRPr="008C1068">
        <w:t>Baseline depression severity (low vs. high</w:t>
      </w:r>
    </w:p>
    <w:p w14:paraId="3BA408CC" w14:textId="77777777" w:rsidR="008C1068" w:rsidRPr="008C1068" w:rsidRDefault="008C1068" w:rsidP="008C1068">
      <w:pPr>
        <w:spacing w:after="80" w:line="360" w:lineRule="auto"/>
        <w:ind w:left="360"/>
        <w:jc w:val="both"/>
        <w:rPr>
          <w:b/>
          <w:bCs/>
        </w:rPr>
      </w:pPr>
      <w:r w:rsidRPr="008C1068">
        <w:rPr>
          <w:b/>
          <w:bCs/>
        </w:rPr>
        <w:t>Exploratory subgroup analyses:</w:t>
      </w:r>
    </w:p>
    <w:p w14:paraId="1EF250F4" w14:textId="77777777" w:rsidR="008C1068" w:rsidRPr="008C1068" w:rsidRDefault="008C1068" w:rsidP="008C1068">
      <w:pPr>
        <w:numPr>
          <w:ilvl w:val="0"/>
          <w:numId w:val="3"/>
        </w:numPr>
        <w:spacing w:after="80" w:line="360" w:lineRule="auto"/>
        <w:jc w:val="both"/>
      </w:pPr>
      <w:bookmarkStart w:id="7" w:name="OLE_LINK65"/>
      <w:r w:rsidRPr="008C1068">
        <w:t>Non-therapeutic human support (present vs. absent)</w:t>
      </w:r>
    </w:p>
    <w:p w14:paraId="5118681F" w14:textId="77777777" w:rsidR="008C1068" w:rsidRPr="008C1068" w:rsidRDefault="008C1068" w:rsidP="008C1068">
      <w:pPr>
        <w:numPr>
          <w:ilvl w:val="0"/>
          <w:numId w:val="3"/>
        </w:numPr>
        <w:spacing w:after="80" w:line="360" w:lineRule="auto"/>
        <w:jc w:val="both"/>
      </w:pPr>
      <w:r w:rsidRPr="008C1068">
        <w:t>Individual CBT components, namely relaxation, problem-solving, homework, relapse prevention, and interpersonal skills training (each compared present vs. absent)</w:t>
      </w:r>
    </w:p>
    <w:bookmarkEnd w:id="7"/>
    <w:p w14:paraId="305F520B" w14:textId="77777777" w:rsidR="008C1068" w:rsidRPr="008C1068" w:rsidRDefault="008C1068" w:rsidP="008C1068">
      <w:pPr>
        <w:spacing w:after="80" w:line="360" w:lineRule="auto"/>
        <w:ind w:left="360"/>
        <w:jc w:val="both"/>
        <w:rPr>
          <w:b/>
          <w:bCs/>
        </w:rPr>
      </w:pPr>
      <w:r w:rsidRPr="008C1068">
        <w:rPr>
          <w:b/>
          <w:bCs/>
        </w:rPr>
        <w:t>Meta-regression (pre-specified):</w:t>
      </w:r>
    </w:p>
    <w:p w14:paraId="53DB2F3C" w14:textId="77777777" w:rsidR="008C1068" w:rsidRDefault="008C1068" w:rsidP="008C1068">
      <w:pPr>
        <w:numPr>
          <w:ilvl w:val="0"/>
          <w:numId w:val="4"/>
        </w:numPr>
        <w:spacing w:after="80" w:line="360" w:lineRule="auto"/>
        <w:jc w:val="both"/>
      </w:pPr>
      <w:r w:rsidRPr="008C1068">
        <w:t>Number of CBT components</w:t>
      </w:r>
    </w:p>
    <w:p w14:paraId="4EA6F9A1" w14:textId="0E2F8788" w:rsidR="008C1068" w:rsidRPr="00300B48" w:rsidRDefault="008C1068" w:rsidP="008C1068">
      <w:pPr>
        <w:spacing w:after="120" w:line="360" w:lineRule="auto"/>
        <w:ind w:firstLine="360"/>
        <w:jc w:val="both"/>
      </w:pPr>
      <w:r w:rsidRPr="008C1068">
        <w:t>In addition, age group, total intended dose, and delivery modality were examined descriptively rather than through subgroup or meta-regression analysis, because the available trials did not support formal testing of these characteristics.</w:t>
      </w:r>
      <w:r w:rsidR="00300B48">
        <w:rPr>
          <w:rFonts w:hint="eastAsia"/>
        </w:rPr>
        <w:t xml:space="preserve"> </w:t>
      </w:r>
      <w:r w:rsidR="00300B48" w:rsidRPr="00300B48">
        <w:t>Initial human contact was not examined as a moderator because it was present in all eligible studies and therefore showed no between-study variation</w:t>
      </w:r>
      <w:r w:rsidR="00300B48">
        <w:rPr>
          <w:rFonts w:hint="eastAsia"/>
        </w:rPr>
        <w:t>.</w:t>
      </w:r>
    </w:p>
    <w:p w14:paraId="3C5A43A2" w14:textId="77777777" w:rsidR="000C3784" w:rsidRDefault="00D450DC">
      <w:pPr>
        <w:pStyle w:val="3"/>
      </w:pPr>
      <w:r>
        <w:t>1.2.3. Extended Research Question</w:t>
      </w:r>
    </w:p>
    <w:p w14:paraId="6DE1833A" w14:textId="77777777" w:rsidR="000C3784" w:rsidRDefault="00D450DC">
      <w:pPr>
        <w:spacing w:after="80" w:line="360" w:lineRule="auto"/>
        <w:ind w:left="720" w:hanging="360"/>
        <w:jc w:val="both"/>
      </w:pPr>
      <w:r>
        <w:rPr>
          <w:rFonts w:eastAsia="Times New Roman"/>
        </w:rPr>
        <w:t>• What is the acceptability of unguided self-help CBT among adolescents with depressive symptoms, as indexed by differential dropout between experimental and control arms?</w:t>
      </w:r>
    </w:p>
    <w:bookmarkEnd w:id="2"/>
    <w:p w14:paraId="7F743F0E" w14:textId="77777777" w:rsidR="000C3784" w:rsidRDefault="00D450DC">
      <w:pPr>
        <w:pStyle w:val="1"/>
        <w:pageBreakBefore/>
      </w:pPr>
      <w:r>
        <w:lastRenderedPageBreak/>
        <w:t>Chapter 2. Theoretical Background</w:t>
      </w:r>
    </w:p>
    <w:p w14:paraId="554BC26E" w14:textId="3330FF9B" w:rsidR="002E446A" w:rsidRPr="002E446A" w:rsidRDefault="00D450DC" w:rsidP="002E446A">
      <w:pPr>
        <w:pStyle w:val="2"/>
        <w:rPr>
          <w:rFonts w:eastAsiaTheme="minorEastAsia"/>
        </w:rPr>
      </w:pPr>
      <w:r>
        <w:t>2.1. Adolescent Depression</w:t>
      </w:r>
    </w:p>
    <w:p w14:paraId="5B82ED0A" w14:textId="76C5EAB8" w:rsidR="00F16F92" w:rsidRPr="00F16F92" w:rsidRDefault="00F16F92" w:rsidP="00F16F92">
      <w:pPr>
        <w:spacing w:after="120" w:line="360" w:lineRule="auto"/>
        <w:ind w:firstLine="360"/>
        <w:jc w:val="both"/>
      </w:pPr>
      <w:bookmarkStart w:id="8" w:name="OLE_LINK63"/>
      <w:r w:rsidRPr="00F16F92">
        <w:t>Depression is characterized by persistent low mood and/or a reduced capacity to experience pleasure, accompanied by emotional, cognitive, behavioral, and somatic symptoms such as fatigue, hopelessness, reduced motivation, sleep or appetite changes, and impaired concentration. In the Diagnostic and Statistical Manual of Mental Disorders, Fifth Edition (DSM-5; American Psychiatric Association, 2013), major depressive disorder is diagnosed when at least five symptoms are present for a minimum of two weeks, with either depressed mood or loss of interest or pleasure included among them. The DSM-5 also specifies severity, the presence or absence of psychotic features, and whether the episode is single or recurrent. Because the present review focuses on adolescents with clinically meaningful depressive symptoms rather than only formally diagnosed major depressive disorder, elevated scores on self-report measures were treated as indicators of symptom severity rather than as diagnoses in themselves.</w:t>
      </w:r>
    </w:p>
    <w:p w14:paraId="76B33FC9" w14:textId="240E814B" w:rsidR="002E446A" w:rsidRPr="002E446A" w:rsidRDefault="002E446A" w:rsidP="002E446A">
      <w:pPr>
        <w:spacing w:after="120" w:line="360" w:lineRule="auto"/>
        <w:ind w:firstLine="360"/>
        <w:jc w:val="both"/>
      </w:pPr>
      <w:r w:rsidRPr="002E446A">
        <w:t>Adolescent depression deserves special attention as a target for early intervention. Depressive episodes during adolescence are associated with greater risk of recurrence in adulthood, academic difficulty, social withdrawal, and suicidality (Thapar et al., 2012).</w:t>
      </w:r>
      <w:bookmarkEnd w:id="8"/>
      <w:r w:rsidRPr="002E446A">
        <w:t xml:space="preserve"> The clinical presentation in adolescents may differ from that in adults. Irritability is more prominent, and somatic complaints, declining school performance, and changes in peer engagement are commonly reported. Adolescence is also the period during which young people form their identity, develop autonomy, and expand their peer networks. For this reason, untreated depression at this stage can disrupt important developmental tasks and produce consequences that extend well beyond the depressive episode itself.</w:t>
      </w:r>
    </w:p>
    <w:p w14:paraId="72166959" w14:textId="77777777" w:rsidR="000C3784" w:rsidRDefault="00D450DC">
      <w:pPr>
        <w:pStyle w:val="2"/>
      </w:pPr>
      <w:r>
        <w:t>2.2. Cognitive Behavioral Therapy</w:t>
      </w:r>
    </w:p>
    <w:p w14:paraId="4918EB95" w14:textId="77777777" w:rsidR="00850064" w:rsidRPr="00850064" w:rsidRDefault="00850064" w:rsidP="00850064">
      <w:pPr>
        <w:spacing w:after="120" w:line="360" w:lineRule="auto"/>
        <w:ind w:firstLine="360"/>
        <w:jc w:val="both"/>
      </w:pPr>
      <w:r w:rsidRPr="00850064">
        <w:t xml:space="preserve">Cognitive Behavioral Therapy (CBT) emerged from the integration of cognitive therapy and behavior therapy during the late 1960s and 1970s. Beck's cognitive theory of depression proposed that depressed individuals show characteristic patterns of negative automatic thoughts and dysfunctional beliefs about the self, the world, and the future. These cognitive patterns are activated under stress and serve to maintain depressive mood and behavior (Beck, 1967; Beck, Rush, Shaw, &amp; Emery, 1979). Behavior therapy, which developed in parallel, applied principles of reinforcement, punishment, and extinction </w:t>
      </w:r>
      <w:proofErr w:type="gramStart"/>
      <w:r w:rsidRPr="00850064">
        <w:t>in order to</w:t>
      </w:r>
      <w:proofErr w:type="gramEnd"/>
      <w:r w:rsidRPr="00850064">
        <w:t xml:space="preserve"> modify maladaptive behavioral patterns and to increase engagement in activities likely to produce positive reinforcement. The integration of these two traditions, together with the addition of emotion as a central variable, gave rise to CBT. In the CBT framework, cognition, behavior, and emotion are understood as </w:t>
      </w:r>
      <w:r w:rsidRPr="00850064">
        <w:lastRenderedPageBreak/>
        <w:t>three components that interact reciprocally, so that a change in any one of them influences the others.</w:t>
      </w:r>
    </w:p>
    <w:p w14:paraId="50F05B66" w14:textId="64929DFF" w:rsidR="000C3784" w:rsidRPr="00850064" w:rsidRDefault="00850064" w:rsidP="00850064">
      <w:pPr>
        <w:spacing w:after="120" w:line="360" w:lineRule="auto"/>
        <w:ind w:firstLine="360"/>
        <w:jc w:val="both"/>
      </w:pPr>
      <w:r w:rsidRPr="00850064">
        <w:t>For adolescents, CBT is endorsed by clinical guidelines (National Institute for Health and Care Excellence, 2019), and its short-term efficacy is supported by extensive evidence. Meta-analytic effects at post-treatment are typically in the small range (</w:t>
      </w:r>
      <w:proofErr w:type="spellStart"/>
      <w:r w:rsidR="008A0D89">
        <w:rPr>
          <w:rFonts w:hint="eastAsia"/>
        </w:rPr>
        <w:t>Raksilp</w:t>
      </w:r>
      <w:proofErr w:type="spellEnd"/>
      <w:r w:rsidR="008A0D89">
        <w:rPr>
          <w:rFonts w:hint="eastAsia"/>
        </w:rPr>
        <w:t xml:space="preserve"> et al., 2025</w:t>
      </w:r>
      <w:r w:rsidRPr="00850064">
        <w:t>).</w:t>
      </w:r>
    </w:p>
    <w:p w14:paraId="2FEF2C47" w14:textId="77777777" w:rsidR="000C3784" w:rsidRDefault="00D450DC">
      <w:pPr>
        <w:pStyle w:val="2"/>
      </w:pPr>
      <w:r>
        <w:t>2.3. Self-Help Interventions</w:t>
      </w:r>
    </w:p>
    <w:p w14:paraId="4E27FEAA" w14:textId="77777777" w:rsidR="00C80059" w:rsidRDefault="00C80059" w:rsidP="00850064">
      <w:pPr>
        <w:spacing w:after="120" w:line="360" w:lineRule="auto"/>
        <w:ind w:firstLine="360"/>
        <w:jc w:val="both"/>
      </w:pPr>
      <w:r w:rsidRPr="00C80059">
        <w:t>Self-help interventions, in a broad sense, refer to interventions that individuals use largely on their own, without continuous or direct delivery by a professional. However, there is no single universally accepted definition of self-help psychological interventions, and the level of professional involvement can vary considerably across studies. For psychological interventions delivered in self-help formats, a useful operational distinction can be made between guided and unguided self-help. In guided self-help, a professional provides therapeutic guidance alongside the self-directed materials. This may include reviewing completed exercises, giving feedback on cognitive restructuring, or answering questions related to treatment content. In unguided self-help, by contrast, the intervention is delivered without such therapeutic guidance. Participants work through readings, exercises, videos, or interactive modules independently. Any support provided is usually limited to written instructions, automated reminders, or technical assistance that is not related to therapeutic content.</w:t>
      </w:r>
    </w:p>
    <w:p w14:paraId="09379DDE" w14:textId="1E08AED6" w:rsidR="000C3784" w:rsidRPr="00850064" w:rsidRDefault="00850064" w:rsidP="00850064">
      <w:pPr>
        <w:spacing w:after="120" w:line="360" w:lineRule="auto"/>
        <w:ind w:firstLine="360"/>
        <w:jc w:val="both"/>
      </w:pPr>
      <w:r w:rsidRPr="00850064">
        <w:t>Unguided self-help has historically been associated with bibliotherapy, that is, structured workbooks or self-help books. With the growth of digital technology, however, the range of available formats has expanded considerably. Contemporary unguided self-help CBT programs are delivered through desktop computer programs, web-based platforms, smartphone applications, and automated text-messaging systems. Many programs incorporate audio, video, and interactive elements alongside text. When delivered electronically, programs may also include automated reminders, progress tracking, and similar features intended to promote engagement without substituting for therapist involvement.</w:t>
      </w:r>
    </w:p>
    <w:p w14:paraId="35B0150E" w14:textId="6EFF3AC5" w:rsidR="000C3784" w:rsidRDefault="00D450DC">
      <w:pPr>
        <w:pStyle w:val="2"/>
        <w:rPr>
          <w:rFonts w:eastAsiaTheme="minorEastAsia"/>
        </w:rPr>
      </w:pPr>
      <w:r>
        <w:t xml:space="preserve">2.4. </w:t>
      </w:r>
      <w:r w:rsidR="00300B48" w:rsidRPr="00300B48">
        <w:t>Structural Dimensions of Self-Help CBT Interventions</w:t>
      </w:r>
    </w:p>
    <w:p w14:paraId="0060EB6B" w14:textId="0D4F1A90" w:rsidR="00B8502E" w:rsidRDefault="00300B48" w:rsidP="00300B48">
      <w:pPr>
        <w:pStyle w:val="3"/>
        <w:rPr>
          <w:rFonts w:eastAsiaTheme="minorEastAsia"/>
        </w:rPr>
      </w:pPr>
      <w:r w:rsidRPr="00300B48">
        <w:rPr>
          <w:rFonts w:eastAsiaTheme="minorEastAsia"/>
        </w:rPr>
        <w:t xml:space="preserve">2.4.1. Delivery </w:t>
      </w:r>
      <w:r w:rsidR="00B61FEB">
        <w:rPr>
          <w:rFonts w:eastAsiaTheme="minorEastAsia" w:hint="eastAsia"/>
        </w:rPr>
        <w:t>format</w:t>
      </w:r>
    </w:p>
    <w:p w14:paraId="2DFEE220" w14:textId="77777777" w:rsidR="001328FA" w:rsidRPr="001328FA" w:rsidRDefault="001328FA" w:rsidP="001328FA">
      <w:pPr>
        <w:spacing w:after="120" w:line="360" w:lineRule="auto"/>
        <w:ind w:firstLine="360"/>
        <w:jc w:val="both"/>
      </w:pPr>
      <w:r w:rsidRPr="001328FA">
        <w:t xml:space="preserve">Self-guided interventions can be delivered through a range of formats. Tong et al. (2024) identified several delivery modalities, including written self-help materials, computer-based programs, web-based programs, smartphone applications, and automated messaging systems. This distinction is relevant to the present study because unguided self-help CBT for adolescents is not tied to a single delivery format. Across </w:t>
      </w:r>
      <w:r w:rsidRPr="001328FA">
        <w:lastRenderedPageBreak/>
        <w:t>trials, the same broad therapeutic approach may be delivered through books, computer programs, websites, mobile applications, or text-message systems, each of which may differ in accessibility, interactivity, and capacity for automated engagement.</w:t>
      </w:r>
    </w:p>
    <w:p w14:paraId="5C9E41FD" w14:textId="2CDEC8BC" w:rsidR="001328FA" w:rsidRDefault="00300B48" w:rsidP="00300B48">
      <w:pPr>
        <w:pStyle w:val="3"/>
        <w:rPr>
          <w:rFonts w:eastAsiaTheme="minorEastAsia"/>
        </w:rPr>
      </w:pPr>
      <w:r w:rsidRPr="00300B48">
        <w:rPr>
          <w:rFonts w:eastAsiaTheme="minorEastAsia"/>
        </w:rPr>
        <w:t>2.4.2. Therapeutic components</w:t>
      </w:r>
    </w:p>
    <w:p w14:paraId="74943637" w14:textId="1B11F01F" w:rsidR="00F13FD5" w:rsidRDefault="00E96157" w:rsidP="00F13FD5">
      <w:pPr>
        <w:spacing w:after="120" w:line="360" w:lineRule="auto"/>
        <w:ind w:firstLine="360"/>
        <w:jc w:val="both"/>
      </w:pPr>
      <w:r w:rsidRPr="00E96157">
        <w:t xml:space="preserve">Furukawa et al. (2021) offered one of the most detailed operationalizations of internet-delivered CBT components for depression. Using an individual participant data component network meta-analysis, they decomposed </w:t>
      </w:r>
      <w:proofErr w:type="spellStart"/>
      <w:r w:rsidRPr="00E96157">
        <w:t>iCBT</w:t>
      </w:r>
      <w:proofErr w:type="spellEnd"/>
      <w:r w:rsidRPr="00E96157">
        <w:t xml:space="preserve"> packages into 17 components. </w:t>
      </w:r>
      <w:proofErr w:type="gramStart"/>
      <w:r w:rsidRPr="00E96157">
        <w:t>For the purpose of</w:t>
      </w:r>
      <w:proofErr w:type="gramEnd"/>
      <w:r w:rsidRPr="00E96157">
        <w:t xml:space="preserve"> the present review, nine of these components were treated as therapeutic CBT content components: psychoeducation, cognitive restructuring, behavioral activation, interpersonal skills training, problem-solving, relaxation, third-wave components, behavi</w:t>
      </w:r>
      <w:r>
        <w:rPr>
          <w:rFonts w:hint="eastAsia"/>
        </w:rPr>
        <w:t>o</w:t>
      </w:r>
      <w:r w:rsidRPr="00E96157">
        <w:t>r therapy for insomnia, and relapse prevention (see Table 1).</w:t>
      </w:r>
    </w:p>
    <w:p w14:paraId="0AA30571" w14:textId="27A6FD52" w:rsidR="00E8341B" w:rsidRDefault="00E8341B" w:rsidP="00E8341B">
      <w:pPr>
        <w:rPr>
          <w:b/>
          <w:bCs/>
        </w:rPr>
      </w:pPr>
      <w:r w:rsidRPr="00D673FC">
        <w:rPr>
          <w:rFonts w:eastAsia="Times New Roman"/>
          <w:b/>
          <w:bCs/>
        </w:rPr>
        <w:t>Table 1</w:t>
      </w:r>
      <w:r w:rsidRPr="00D673FC">
        <w:rPr>
          <w:rFonts w:hint="eastAsia"/>
          <w:b/>
          <w:bCs/>
        </w:rPr>
        <w:t>.</w:t>
      </w:r>
      <w:r w:rsidRPr="00D673FC">
        <w:rPr>
          <w:rFonts w:hint="eastAsia"/>
        </w:rPr>
        <w:t xml:space="preserve"> </w:t>
      </w:r>
      <w:r w:rsidRPr="00D673FC">
        <w:rPr>
          <w:rFonts w:eastAsia="Times New Roman"/>
          <w:b/>
          <w:bCs/>
        </w:rPr>
        <w:t>Therapeutic (CBT-Skill) Components of Internet-Based CBT for Depression</w:t>
      </w:r>
    </w:p>
    <w:p w14:paraId="7E5E4924" w14:textId="77777777" w:rsidR="00F13FD5" w:rsidRPr="00F13FD5" w:rsidRDefault="00F13FD5" w:rsidP="00E8341B">
      <w:pPr>
        <w:rPr>
          <w:b/>
          <w:bCs/>
        </w:rPr>
      </w:pP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0"/>
        <w:gridCol w:w="6716"/>
      </w:tblGrid>
      <w:tr w:rsidR="00D80A95" w14:paraId="1C385340" w14:textId="77777777" w:rsidTr="00D80A95">
        <w:trPr>
          <w:tblHeader/>
        </w:trPr>
        <w:tc>
          <w:tcPr>
            <w:tcW w:w="2640" w:type="dxa"/>
            <w:tcBorders>
              <w:top w:val="single" w:sz="8" w:space="0" w:color="000000"/>
              <w:left w:val="none" w:sz="0" w:space="0" w:color="FFFFFF"/>
              <w:bottom w:val="single" w:sz="4" w:space="0" w:color="000000"/>
              <w:right w:val="none" w:sz="0" w:space="0" w:color="FFFFFF"/>
            </w:tcBorders>
            <w:tcMar>
              <w:top w:w="60" w:type="dxa"/>
              <w:left w:w="100" w:type="dxa"/>
              <w:bottom w:w="60" w:type="dxa"/>
              <w:right w:w="100" w:type="dxa"/>
            </w:tcMar>
          </w:tcPr>
          <w:p w14:paraId="2B147E9E" w14:textId="77777777" w:rsidR="00D80A95" w:rsidRDefault="00D80A95" w:rsidP="000F1760">
            <w:r>
              <w:rPr>
                <w:rFonts w:eastAsia="Times New Roman"/>
                <w:b/>
                <w:bCs/>
              </w:rPr>
              <w:t>Component</w:t>
            </w:r>
          </w:p>
        </w:tc>
        <w:tc>
          <w:tcPr>
            <w:tcW w:w="6716" w:type="dxa"/>
            <w:tcBorders>
              <w:top w:val="single" w:sz="8" w:space="0" w:color="000000"/>
              <w:left w:val="none" w:sz="0" w:space="0" w:color="FFFFFF"/>
              <w:bottom w:val="single" w:sz="4" w:space="0" w:color="000000"/>
              <w:right w:val="none" w:sz="0" w:space="0" w:color="FFFFFF"/>
            </w:tcBorders>
            <w:tcMar>
              <w:top w:w="60" w:type="dxa"/>
              <w:left w:w="100" w:type="dxa"/>
              <w:bottom w:w="60" w:type="dxa"/>
              <w:right w:w="100" w:type="dxa"/>
            </w:tcMar>
          </w:tcPr>
          <w:p w14:paraId="4C4A4093" w14:textId="77777777" w:rsidR="00D80A95" w:rsidRDefault="00D80A95" w:rsidP="000F1760">
            <w:r>
              <w:rPr>
                <w:rFonts w:eastAsia="Times New Roman"/>
                <w:b/>
                <w:bCs/>
              </w:rPr>
              <w:t>Definition</w:t>
            </w:r>
          </w:p>
        </w:tc>
      </w:tr>
      <w:tr w:rsidR="00D80A95" w14:paraId="79D4492C"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7DE7386" w14:textId="77777777" w:rsidR="00D80A95" w:rsidRDefault="00D80A95" w:rsidP="000F1760">
            <w:r>
              <w:rPr>
                <w:rFonts w:eastAsia="Times New Roman"/>
              </w:rPr>
              <w:t>Psychoeducation about depression</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C02BB23" w14:textId="77777777" w:rsidR="00D80A95" w:rsidRDefault="00D80A95" w:rsidP="000F1760">
            <w:r>
              <w:rPr>
                <w:rFonts w:eastAsia="Times New Roman"/>
              </w:rPr>
              <w:t>Information on the causes and nature of depression framed within a defined psychopathological model; counted only when a dedicated module is present.</w:t>
            </w:r>
          </w:p>
        </w:tc>
      </w:tr>
      <w:tr w:rsidR="00D80A95" w14:paraId="4B60F530"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0080E46" w14:textId="77777777" w:rsidR="00D80A95" w:rsidRDefault="00D80A95" w:rsidP="000F1760">
            <w:r>
              <w:rPr>
                <w:rFonts w:eastAsia="Times New Roman"/>
              </w:rPr>
              <w:t>Cognitive restructuring</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01885D9" w14:textId="77777777" w:rsidR="00D80A95" w:rsidRDefault="00D80A95" w:rsidP="000F1760">
            <w:r>
              <w:rPr>
                <w:rFonts w:eastAsia="Times New Roman"/>
              </w:rPr>
              <w:t>Teaching patients to evaluate and revise maladaptive or distorted thoughts (e.g., Socratic questioning, guided imagery).</w:t>
            </w:r>
          </w:p>
        </w:tc>
      </w:tr>
      <w:tr w:rsidR="00D80A95" w14:paraId="2A6CF6CC"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1AB0874" w14:textId="727BAA57" w:rsidR="00D80A95" w:rsidRDefault="00D80A95" w:rsidP="000F1760">
            <w:r>
              <w:rPr>
                <w:rFonts w:eastAsia="Times New Roman"/>
              </w:rPr>
              <w:t>Behavioral activation</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970380F" w14:textId="77777777" w:rsidR="00D80A95" w:rsidRDefault="00D80A95" w:rsidP="000F1760">
            <w:r>
              <w:rPr>
                <w:rFonts w:eastAsia="Times New Roman"/>
              </w:rPr>
              <w:t>Scheduling activities to increase engagement in rewarding or pleasant experiences.</w:t>
            </w:r>
          </w:p>
        </w:tc>
      </w:tr>
      <w:tr w:rsidR="00D80A95" w14:paraId="416453E4"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144BD96" w14:textId="77777777" w:rsidR="00D80A95" w:rsidRDefault="00D80A95" w:rsidP="000F1760">
            <w:r>
              <w:rPr>
                <w:rFonts w:eastAsia="Times New Roman"/>
              </w:rPr>
              <w:t>Interpersonal skills training</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29F64A" w14:textId="57ACBB08" w:rsidR="00D80A95" w:rsidRDefault="00D80A95" w:rsidP="000F1760">
            <w:r>
              <w:rPr>
                <w:rFonts w:eastAsia="Times New Roman"/>
              </w:rPr>
              <w:t>Training in social behavior, including assertiveness in expressing one’s needs and feelings respectfully.</w:t>
            </w:r>
          </w:p>
        </w:tc>
      </w:tr>
      <w:tr w:rsidR="00D80A95" w14:paraId="224C4708"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0F32333" w14:textId="77777777" w:rsidR="00D80A95" w:rsidRDefault="00D80A95" w:rsidP="000F1760">
            <w:r>
              <w:rPr>
                <w:rFonts w:eastAsia="Times New Roman"/>
              </w:rPr>
              <w:t>Problem solving</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9A3F68" w14:textId="77777777" w:rsidR="00D80A95" w:rsidRDefault="00D80A95" w:rsidP="000F1760">
            <w:r>
              <w:rPr>
                <w:rFonts w:eastAsia="Times New Roman"/>
              </w:rPr>
              <w:t>A structured sequence: defining a problem, generating and selecting solutions, planning, and evaluating the outcome.</w:t>
            </w:r>
          </w:p>
        </w:tc>
      </w:tr>
      <w:tr w:rsidR="00D80A95" w14:paraId="4EF1331F"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34DB19B" w14:textId="77777777" w:rsidR="00D80A95" w:rsidRDefault="00D80A95" w:rsidP="000F1760">
            <w:r>
              <w:rPr>
                <w:rFonts w:eastAsia="Times New Roman"/>
              </w:rPr>
              <w:t>Relaxation</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6A36DE3" w14:textId="77777777" w:rsidR="00D80A95" w:rsidRDefault="00D80A95" w:rsidP="000F1760">
            <w:r>
              <w:rPr>
                <w:rFonts w:eastAsia="Times New Roman"/>
              </w:rPr>
              <w:t>Lowering bodily tension through techniques such as progressive muscle relaxation or applied relaxation.</w:t>
            </w:r>
          </w:p>
        </w:tc>
      </w:tr>
      <w:tr w:rsidR="00D80A95" w14:paraId="3D3BFF37"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64313D1" w14:textId="77777777" w:rsidR="00D80A95" w:rsidRDefault="00D80A95" w:rsidP="000F1760">
            <w:r>
              <w:rPr>
                <w:rFonts w:eastAsia="Times New Roman"/>
              </w:rPr>
              <w:t>Third-wave components</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65BED74" w14:textId="77777777" w:rsidR="00D80A95" w:rsidRDefault="00D80A95" w:rsidP="000F1760">
            <w:r>
              <w:rPr>
                <w:rFonts w:eastAsia="Times New Roman"/>
              </w:rPr>
              <w:t>Techniques fostering more adaptive emotional responses, such as mindfulness, self-compassion, and acceptance.</w:t>
            </w:r>
          </w:p>
        </w:tc>
      </w:tr>
      <w:tr w:rsidR="00D80A95" w14:paraId="3B865078"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1BAB473" w14:textId="0D42C272" w:rsidR="00D80A95" w:rsidRDefault="00D80A95" w:rsidP="000F1760">
            <w:r>
              <w:rPr>
                <w:rFonts w:eastAsia="Times New Roman"/>
              </w:rPr>
              <w:t>Behavior therapy for insomnia</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A986F4" w14:textId="77777777" w:rsidR="00D80A95" w:rsidRDefault="00D80A95" w:rsidP="000F1760">
            <w:r>
              <w:rPr>
                <w:rFonts w:eastAsia="Times New Roman"/>
              </w:rPr>
              <w:t>Sleep restriction and stimulus control for chronic insomnia; may include sleep-related cognitive work.</w:t>
            </w:r>
          </w:p>
        </w:tc>
      </w:tr>
      <w:tr w:rsidR="00D80A95" w14:paraId="7CB3E42A" w14:textId="77777777" w:rsidTr="00D80A95">
        <w:tc>
          <w:tcPr>
            <w:tcW w:w="264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2AC9CFC8" w14:textId="77777777" w:rsidR="00D80A95" w:rsidRDefault="00D80A95" w:rsidP="000F1760">
            <w:r>
              <w:rPr>
                <w:rFonts w:eastAsia="Times New Roman"/>
              </w:rPr>
              <w:t>Relapse prevention</w:t>
            </w:r>
          </w:p>
        </w:tc>
        <w:tc>
          <w:tcPr>
            <w:tcW w:w="6716"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1B34EA60" w14:textId="77777777" w:rsidR="00D80A95" w:rsidRDefault="00D80A95" w:rsidP="000F1760">
            <w:r>
              <w:rPr>
                <w:rFonts w:eastAsia="Times New Roman"/>
              </w:rPr>
              <w:t>Reviewing acquired skills and building action plans for anticipated future difficulties; requires active patient input.</w:t>
            </w:r>
          </w:p>
        </w:tc>
      </w:tr>
    </w:tbl>
    <w:p w14:paraId="10B006FF" w14:textId="1430FF3C" w:rsidR="00E22328" w:rsidRDefault="00E22328" w:rsidP="00E22328">
      <w:pPr>
        <w:spacing w:before="120"/>
        <w:rPr>
          <w:sz w:val="20"/>
          <w:szCs w:val="20"/>
        </w:rPr>
      </w:pPr>
      <w:r>
        <w:rPr>
          <w:rFonts w:eastAsia="Times New Roman"/>
          <w:i/>
          <w:iCs/>
          <w:sz w:val="20"/>
          <w:szCs w:val="20"/>
        </w:rPr>
        <w:t>Note.</w:t>
      </w:r>
      <w:r>
        <w:rPr>
          <w:rFonts w:eastAsia="Times New Roman"/>
          <w:sz w:val="20"/>
          <w:szCs w:val="20"/>
        </w:rPr>
        <w:t xml:space="preserve"> The taxonomy is adapted </w:t>
      </w:r>
      <w:r>
        <w:rPr>
          <w:rFonts w:hint="eastAsia"/>
          <w:sz w:val="20"/>
          <w:szCs w:val="20"/>
        </w:rPr>
        <w:t>and</w:t>
      </w:r>
      <w:r>
        <w:rPr>
          <w:rFonts w:eastAsia="Times New Roman"/>
          <w:sz w:val="20"/>
          <w:szCs w:val="20"/>
        </w:rPr>
        <w:t xml:space="preserve"> paraphrased from</w:t>
      </w:r>
      <w:r>
        <w:rPr>
          <w:rFonts w:hint="eastAsia"/>
          <w:sz w:val="20"/>
          <w:szCs w:val="20"/>
        </w:rPr>
        <w:t xml:space="preserve"> </w:t>
      </w:r>
      <w:r w:rsidRPr="00682375">
        <w:rPr>
          <w:sz w:val="20"/>
          <w:szCs w:val="20"/>
        </w:rPr>
        <w:t xml:space="preserve">Furukawa et al. (2021) </w:t>
      </w:r>
      <w:r>
        <w:rPr>
          <w:rFonts w:hint="eastAsia"/>
          <w:sz w:val="20"/>
          <w:szCs w:val="20"/>
        </w:rPr>
        <w:t xml:space="preserve">and </w:t>
      </w:r>
      <w:r>
        <w:rPr>
          <w:rFonts w:eastAsia="Times New Roman"/>
          <w:sz w:val="20"/>
          <w:szCs w:val="20"/>
        </w:rPr>
        <w:t>Tong</w:t>
      </w:r>
      <w:r>
        <w:rPr>
          <w:rFonts w:hint="eastAsia"/>
          <w:sz w:val="20"/>
          <w:szCs w:val="20"/>
        </w:rPr>
        <w:t xml:space="preserve"> et al. (2024).</w:t>
      </w:r>
    </w:p>
    <w:p w14:paraId="74F390D4" w14:textId="77777777" w:rsidR="00E22328" w:rsidRPr="00E22328" w:rsidRDefault="00E22328" w:rsidP="00E22328">
      <w:pPr>
        <w:spacing w:before="120"/>
      </w:pPr>
    </w:p>
    <w:p w14:paraId="59947498" w14:textId="690C1C8C" w:rsidR="00300B48" w:rsidRPr="00300B48" w:rsidRDefault="00300B48" w:rsidP="00300B48">
      <w:pPr>
        <w:pStyle w:val="3"/>
        <w:rPr>
          <w:rFonts w:eastAsiaTheme="minorEastAsia"/>
        </w:rPr>
      </w:pPr>
      <w:r w:rsidRPr="00300B48">
        <w:rPr>
          <w:rFonts w:eastAsiaTheme="minorEastAsia"/>
        </w:rPr>
        <w:t>2.4.3. Non-therapeutic support level</w:t>
      </w:r>
    </w:p>
    <w:p w14:paraId="0FABF334" w14:textId="5101AD97" w:rsidR="00C51A70" w:rsidRDefault="00C51A70" w:rsidP="00C51A70">
      <w:pPr>
        <w:spacing w:after="120" w:line="360" w:lineRule="auto"/>
        <w:ind w:firstLine="360"/>
        <w:jc w:val="both"/>
      </w:pPr>
      <w:r w:rsidRPr="00C51A70">
        <w:t xml:space="preserve">An important methodological contribution of recent research has been to separate non-therapeutic </w:t>
      </w:r>
      <w:r w:rsidRPr="00C51A70">
        <w:lastRenderedPageBreak/>
        <w:t xml:space="preserve">support from therapeutic guidance. Drawing on the component-level framework of Furukawa et al. (2021) and the analytical approach of Tong et al. (2024), the present study distinguishes </w:t>
      </w:r>
      <w:r w:rsidR="0040543E">
        <w:rPr>
          <w:rFonts w:hint="eastAsia"/>
        </w:rPr>
        <w:t>five</w:t>
      </w:r>
      <w:r w:rsidRPr="00C51A70">
        <w:t xml:space="preserve"> types of non-therapeutic support that may accompany a self-help intervention. </w:t>
      </w:r>
    </w:p>
    <w:p w14:paraId="23F71082" w14:textId="77777777" w:rsidR="006E4B12" w:rsidRDefault="006E4B12" w:rsidP="00C51A70">
      <w:pPr>
        <w:spacing w:after="120" w:line="360" w:lineRule="auto"/>
        <w:ind w:firstLine="360"/>
        <w:jc w:val="both"/>
      </w:pPr>
    </w:p>
    <w:p w14:paraId="43038E53" w14:textId="5AC11190" w:rsidR="006E4B12" w:rsidRPr="006E4B12" w:rsidRDefault="006E4B12" w:rsidP="006E4B12">
      <w:pPr>
        <w:rPr>
          <w:b/>
          <w:bCs/>
        </w:rPr>
      </w:pPr>
      <w:r w:rsidRPr="006E4B12">
        <w:rPr>
          <w:rFonts w:eastAsia="Times New Roman"/>
          <w:b/>
          <w:bCs/>
        </w:rPr>
        <w:t>Table 2</w:t>
      </w:r>
      <w:r w:rsidRPr="006E4B12">
        <w:rPr>
          <w:rFonts w:hint="eastAsia"/>
        </w:rPr>
        <w:t xml:space="preserve">. </w:t>
      </w:r>
      <w:r w:rsidRPr="006E4B12">
        <w:rPr>
          <w:rFonts w:eastAsia="Times New Roman"/>
          <w:b/>
          <w:bCs/>
        </w:rPr>
        <w:t>Non-Therapeutic Support Levels in Self-Guided Interventions for Adult Depression</w:t>
      </w:r>
    </w:p>
    <w:p w14:paraId="6D518C86" w14:textId="77777777" w:rsidR="006E4B12" w:rsidRPr="006E4B12" w:rsidRDefault="006E4B12" w:rsidP="006E4B1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6E4B12" w:rsidRPr="006E4B12" w14:paraId="795FADD4" w14:textId="77777777" w:rsidTr="000F1760">
        <w:trPr>
          <w:tblHeader/>
        </w:trPr>
        <w:tc>
          <w:tcPr>
            <w:tcW w:w="3000" w:type="dxa"/>
            <w:tcBorders>
              <w:top w:val="single" w:sz="8" w:space="0" w:color="000000"/>
              <w:left w:val="none" w:sz="0" w:space="0" w:color="FFFFFF"/>
              <w:bottom w:val="single" w:sz="4" w:space="0" w:color="000000"/>
              <w:right w:val="none" w:sz="0" w:space="0" w:color="FFFFFF"/>
            </w:tcBorders>
            <w:tcMar>
              <w:top w:w="60" w:type="dxa"/>
              <w:left w:w="100" w:type="dxa"/>
              <w:bottom w:w="60" w:type="dxa"/>
              <w:right w:w="100" w:type="dxa"/>
            </w:tcMar>
          </w:tcPr>
          <w:p w14:paraId="7A77DA25" w14:textId="77777777" w:rsidR="006E4B12" w:rsidRPr="006E4B12" w:rsidRDefault="006E4B12" w:rsidP="000F1760">
            <w:r w:rsidRPr="006E4B12">
              <w:rPr>
                <w:rFonts w:eastAsia="Times New Roman"/>
                <w:b/>
                <w:bCs/>
              </w:rPr>
              <w:t>Support level</w:t>
            </w:r>
          </w:p>
        </w:tc>
        <w:tc>
          <w:tcPr>
            <w:tcW w:w="6360" w:type="dxa"/>
            <w:tcBorders>
              <w:top w:val="single" w:sz="8" w:space="0" w:color="000000"/>
              <w:left w:val="none" w:sz="0" w:space="0" w:color="FFFFFF"/>
              <w:bottom w:val="single" w:sz="4" w:space="0" w:color="000000"/>
              <w:right w:val="none" w:sz="0" w:space="0" w:color="FFFFFF"/>
            </w:tcBorders>
            <w:tcMar>
              <w:top w:w="60" w:type="dxa"/>
              <w:left w:w="100" w:type="dxa"/>
              <w:bottom w:w="60" w:type="dxa"/>
              <w:right w:w="100" w:type="dxa"/>
            </w:tcMar>
          </w:tcPr>
          <w:p w14:paraId="62F8AF08" w14:textId="77777777" w:rsidR="006E4B12" w:rsidRPr="006E4B12" w:rsidRDefault="006E4B12" w:rsidP="000F1760">
            <w:r w:rsidRPr="006E4B12">
              <w:rPr>
                <w:rFonts w:eastAsia="Times New Roman"/>
                <w:b/>
                <w:bCs/>
              </w:rPr>
              <w:t>Definition</w:t>
            </w:r>
          </w:p>
        </w:tc>
      </w:tr>
      <w:tr w:rsidR="006E4B12" w:rsidRPr="006E4B12" w14:paraId="74563830" w14:textId="77777777" w:rsidTr="000F1760">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69C9BBE" w14:textId="77777777" w:rsidR="006E4B12" w:rsidRPr="006E4B12" w:rsidRDefault="006E4B12" w:rsidP="000F1760">
            <w:r w:rsidRPr="006E4B12">
              <w:rPr>
                <w:rFonts w:eastAsia="Times New Roman"/>
              </w:rPr>
              <w:t>No support</w:t>
            </w:r>
          </w:p>
        </w:tc>
        <w:tc>
          <w:tcPr>
            <w:tcW w:w="6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10FC06F" w14:textId="77777777" w:rsidR="006E4B12" w:rsidRPr="006E4B12" w:rsidRDefault="006E4B12" w:rsidP="000F1760">
            <w:r w:rsidRPr="006E4B12">
              <w:rPr>
                <w:rFonts w:eastAsia="Times New Roman"/>
              </w:rPr>
              <w:t>The intervention is completed entirely independently, with no prompts, contact, or assistance of any kind.</w:t>
            </w:r>
          </w:p>
        </w:tc>
      </w:tr>
      <w:tr w:rsidR="006E4B12" w:rsidRPr="006E4B12" w14:paraId="5AB17D8B" w14:textId="77777777" w:rsidTr="000F1760">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AB68FC9" w14:textId="77777777" w:rsidR="006E4B12" w:rsidRPr="006E4B12" w:rsidRDefault="006E4B12" w:rsidP="000F1760">
            <w:r w:rsidRPr="006E4B12">
              <w:rPr>
                <w:rFonts w:eastAsia="Times New Roman"/>
              </w:rPr>
              <w:t>Technical support</w:t>
            </w:r>
          </w:p>
        </w:tc>
        <w:tc>
          <w:tcPr>
            <w:tcW w:w="6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8B6DFB9" w14:textId="77777777" w:rsidR="006E4B12" w:rsidRPr="006E4B12" w:rsidRDefault="006E4B12" w:rsidP="000F1760">
            <w:r w:rsidRPr="006E4B12">
              <w:rPr>
                <w:rFonts w:eastAsia="Times New Roman"/>
              </w:rPr>
              <w:t>Assistance is confined to operational or technical issues (e.g., navigating the platform) and never addresses therapeutic content.</w:t>
            </w:r>
          </w:p>
        </w:tc>
      </w:tr>
      <w:tr w:rsidR="006E4B12" w:rsidRPr="006E4B12" w14:paraId="5E481787" w14:textId="77777777" w:rsidTr="000F1760">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62A2652" w14:textId="77777777" w:rsidR="006E4B12" w:rsidRPr="006E4B12" w:rsidRDefault="006E4B12" w:rsidP="000F1760">
            <w:r w:rsidRPr="006E4B12">
              <w:rPr>
                <w:rFonts w:eastAsia="Times New Roman"/>
              </w:rPr>
              <w:t>Automated encouragement</w:t>
            </w:r>
          </w:p>
        </w:tc>
        <w:tc>
          <w:tcPr>
            <w:tcW w:w="6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A0CF60C" w14:textId="091316D7" w:rsidR="006E4B12" w:rsidRPr="006E4B12" w:rsidRDefault="006E4B12" w:rsidP="000F1760">
            <w:r w:rsidRPr="006E4B12">
              <w:rPr>
                <w:rFonts w:eastAsia="Times New Roman"/>
              </w:rPr>
              <w:t>System-generated prompts (personali</w:t>
            </w:r>
            <w:r>
              <w:rPr>
                <w:rFonts w:hint="eastAsia"/>
              </w:rPr>
              <w:t>z</w:t>
            </w:r>
            <w:r w:rsidRPr="006E4B12">
              <w:rPr>
                <w:rFonts w:eastAsia="Times New Roman"/>
              </w:rPr>
              <w:t>ed or non-personali</w:t>
            </w:r>
            <w:r>
              <w:rPr>
                <w:rFonts w:hint="eastAsia"/>
              </w:rPr>
              <w:t>z</w:t>
            </w:r>
            <w:r w:rsidRPr="006E4B12">
              <w:rPr>
                <w:rFonts w:eastAsia="Times New Roman"/>
              </w:rPr>
              <w:t>ed) that encourage continued engagement, delivered without human involvement.</w:t>
            </w:r>
          </w:p>
        </w:tc>
      </w:tr>
      <w:tr w:rsidR="006E4B12" w:rsidRPr="006E4B12" w14:paraId="0A13CBFC" w14:textId="77777777" w:rsidTr="003674DF">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C159EBD" w14:textId="77777777" w:rsidR="006E4B12" w:rsidRPr="006E4B12" w:rsidRDefault="006E4B12" w:rsidP="000F1760">
            <w:r w:rsidRPr="006E4B12">
              <w:rPr>
                <w:rFonts w:eastAsia="Times New Roman"/>
              </w:rPr>
              <w:t>Human encouragement</w:t>
            </w:r>
          </w:p>
        </w:tc>
        <w:tc>
          <w:tcPr>
            <w:tcW w:w="6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779173" w14:textId="77777777" w:rsidR="006E4B12" w:rsidRPr="006E4B12" w:rsidRDefault="006E4B12" w:rsidP="000F1760">
            <w:r w:rsidRPr="006E4B12">
              <w:rPr>
                <w:rFonts w:eastAsia="Times New Roman"/>
              </w:rPr>
              <w:t>A person provides prompts or encouragement (e.g., periodic phone calls) to support adherence, without addressing therapeutic content.</w:t>
            </w:r>
          </w:p>
        </w:tc>
      </w:tr>
      <w:tr w:rsidR="003674DF" w:rsidRPr="006E4B12" w14:paraId="463A86FC" w14:textId="77777777" w:rsidTr="000F1760">
        <w:tc>
          <w:tcPr>
            <w:tcW w:w="300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0C2AA688" w14:textId="1A2FB666" w:rsidR="003674DF" w:rsidRPr="006E4B12" w:rsidRDefault="003674DF" w:rsidP="000F1760">
            <w:pPr>
              <w:rPr>
                <w:rFonts w:eastAsia="Times New Roman"/>
              </w:rPr>
            </w:pPr>
            <w:r w:rsidRPr="00C51A70">
              <w:t>Initial face-to-face contact</w:t>
            </w:r>
          </w:p>
        </w:tc>
        <w:tc>
          <w:tcPr>
            <w:tcW w:w="636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5B437709" w14:textId="0C735AA7" w:rsidR="003674DF" w:rsidRPr="006E4B12" w:rsidRDefault="003674DF" w:rsidP="000F1760">
            <w:pPr>
              <w:rPr>
                <w:rFonts w:eastAsia="Times New Roman"/>
              </w:rPr>
            </w:pPr>
            <w:r>
              <w:rPr>
                <w:rFonts w:hint="eastAsia"/>
              </w:rPr>
              <w:t>I</w:t>
            </w:r>
            <w:r w:rsidRPr="00C51A70">
              <w:t>n-person contact at the start of the intervention, such as an initial assessment or orientation session</w:t>
            </w:r>
            <w:r w:rsidR="0040543E">
              <w:rPr>
                <w:rFonts w:hint="eastAsia"/>
              </w:rPr>
              <w:t>.</w:t>
            </w:r>
          </w:p>
        </w:tc>
      </w:tr>
    </w:tbl>
    <w:p w14:paraId="45D5C5A9" w14:textId="1F7C550C" w:rsidR="00C51A70" w:rsidRPr="00377E50" w:rsidRDefault="00377E50" w:rsidP="00377E50">
      <w:pPr>
        <w:spacing w:before="120"/>
      </w:pPr>
      <w:r>
        <w:rPr>
          <w:rFonts w:eastAsia="Times New Roman"/>
          <w:i/>
          <w:iCs/>
          <w:sz w:val="20"/>
          <w:szCs w:val="20"/>
        </w:rPr>
        <w:t>Note.</w:t>
      </w:r>
      <w:r>
        <w:rPr>
          <w:rFonts w:eastAsia="Times New Roman"/>
          <w:sz w:val="20"/>
          <w:szCs w:val="20"/>
        </w:rPr>
        <w:t xml:space="preserve"> The taxonomy is adapted </w:t>
      </w:r>
      <w:r w:rsidR="00682375">
        <w:rPr>
          <w:rFonts w:hint="eastAsia"/>
          <w:sz w:val="20"/>
          <w:szCs w:val="20"/>
        </w:rPr>
        <w:t>and</w:t>
      </w:r>
      <w:r>
        <w:rPr>
          <w:rFonts w:eastAsia="Times New Roman"/>
          <w:sz w:val="20"/>
          <w:szCs w:val="20"/>
        </w:rPr>
        <w:t xml:space="preserve"> paraphrased from</w:t>
      </w:r>
      <w:r w:rsidR="00682375">
        <w:rPr>
          <w:rFonts w:hint="eastAsia"/>
          <w:sz w:val="20"/>
          <w:szCs w:val="20"/>
        </w:rPr>
        <w:t xml:space="preserve"> </w:t>
      </w:r>
      <w:r w:rsidR="00682375" w:rsidRPr="00682375">
        <w:rPr>
          <w:sz w:val="20"/>
          <w:szCs w:val="20"/>
        </w:rPr>
        <w:t xml:space="preserve">Furukawa et al. (2021) </w:t>
      </w:r>
      <w:r w:rsidR="00682375">
        <w:rPr>
          <w:rFonts w:hint="eastAsia"/>
          <w:sz w:val="20"/>
          <w:szCs w:val="20"/>
        </w:rPr>
        <w:t>and</w:t>
      </w:r>
      <w:r>
        <w:rPr>
          <w:rFonts w:hint="eastAsia"/>
          <w:sz w:val="20"/>
          <w:szCs w:val="20"/>
        </w:rPr>
        <w:t xml:space="preserve"> </w:t>
      </w:r>
      <w:r>
        <w:rPr>
          <w:rFonts w:eastAsia="Times New Roman"/>
          <w:sz w:val="20"/>
          <w:szCs w:val="20"/>
        </w:rPr>
        <w:t>Tong</w:t>
      </w:r>
      <w:r>
        <w:rPr>
          <w:rFonts w:hint="eastAsia"/>
          <w:sz w:val="20"/>
          <w:szCs w:val="20"/>
        </w:rPr>
        <w:t xml:space="preserve"> et al. (2024).</w:t>
      </w:r>
    </w:p>
    <w:p w14:paraId="5F012402" w14:textId="77777777" w:rsidR="00377E50" w:rsidRPr="00377E50" w:rsidRDefault="00377E50" w:rsidP="00377E50">
      <w:pPr>
        <w:spacing w:before="120"/>
      </w:pPr>
    </w:p>
    <w:p w14:paraId="3978B0B8" w14:textId="33FCAB49" w:rsidR="00C51A70" w:rsidRPr="00C51A70" w:rsidRDefault="00C51A70" w:rsidP="00C51A70">
      <w:pPr>
        <w:spacing w:after="120" w:line="360" w:lineRule="auto"/>
        <w:ind w:firstLine="360"/>
        <w:jc w:val="both"/>
      </w:pPr>
      <w:r w:rsidRPr="00C51A70">
        <w:t xml:space="preserve">This separation is conceptually important because it distinguishes the intensity of human contact from the provision of therapeutic guidance. An intervention delivered without any therapist-led content can still include human encouragement. Conversely, an intervention with therapist-delivered content might rely on automated rather than human reminders. In the present meta-analysis, "unguided" is defined strictly in terms of the absence of therapist-delivered therapeutic content. Support level, which covers the </w:t>
      </w:r>
      <w:r w:rsidR="00377E50">
        <w:rPr>
          <w:rFonts w:hint="eastAsia"/>
        </w:rPr>
        <w:t>five</w:t>
      </w:r>
      <w:r w:rsidRPr="00C51A70">
        <w:t xml:space="preserve"> components listed above, is treated as a separate dimension and will be examined as a moderator.</w:t>
      </w:r>
    </w:p>
    <w:p w14:paraId="5499CE61" w14:textId="77777777" w:rsidR="000C3784" w:rsidRDefault="00D450DC">
      <w:pPr>
        <w:pStyle w:val="2"/>
      </w:pPr>
      <w:bookmarkStart w:id="9" w:name="OLE_LINK74"/>
      <w:r>
        <w:t>2.5. Prior Meta-Analyses and Remaining Gaps</w:t>
      </w:r>
    </w:p>
    <w:bookmarkEnd w:id="9"/>
    <w:p w14:paraId="3F486164" w14:textId="77777777" w:rsidR="00C51A70" w:rsidRPr="00C51A70" w:rsidRDefault="00C51A70" w:rsidP="00C51A70">
      <w:pPr>
        <w:spacing w:after="120" w:line="360" w:lineRule="auto"/>
        <w:ind w:firstLine="360"/>
        <w:jc w:val="both"/>
      </w:pPr>
      <w:r w:rsidRPr="00C51A70">
        <w:t>Several meta-analyses inform the present work. Each addresses a different part of the evidence base, and each leaves complementary questions open.</w:t>
      </w:r>
    </w:p>
    <w:p w14:paraId="56CD06BA" w14:textId="77777777" w:rsidR="00C51A70" w:rsidRPr="00C51A70" w:rsidRDefault="00C51A70" w:rsidP="00C51A70">
      <w:pPr>
        <w:spacing w:after="120" w:line="360" w:lineRule="auto"/>
        <w:ind w:firstLine="360"/>
        <w:jc w:val="both"/>
      </w:pPr>
      <w:r w:rsidRPr="00C51A70">
        <w:t xml:space="preserve">Bjornstad et al. (2024) conducted a systematic review and network meta-analysis comparing CBT delivery modalities for adolescent depressive symptoms. The included modalities were group CBT, individual CBT, remote CBT, guided self-help CBT, and unguided self-help CBT. They reported that most delivery modalities effectively reduced depressive symptoms at post-intervention, with effect sizes of broadly similar magnitude. Guided self-help received the most favorable short-term ranking, whereas </w:t>
      </w:r>
      <w:r w:rsidRPr="00C51A70">
        <w:lastRenderedPageBreak/>
        <w:t>unguided self-help received the most favorable long-term ranking. The review also noted that differences among delivery modalities were small and that evidence for remote CBT remained insufficient. However, their classification was based on delivery features and did not isolate the effects of non-therapeutic support. As a result, the relative contributions of the various support components within self-help formats could not be identified.</w:t>
      </w:r>
    </w:p>
    <w:p w14:paraId="1287FFC4" w14:textId="77777777" w:rsidR="00C51A70" w:rsidRPr="00C51A70" w:rsidRDefault="00C51A70" w:rsidP="00C51A70">
      <w:pPr>
        <w:spacing w:after="120" w:line="360" w:lineRule="auto"/>
        <w:ind w:firstLine="360"/>
        <w:jc w:val="both"/>
      </w:pPr>
      <w:bookmarkStart w:id="10" w:name="OLE_LINK66"/>
      <w:r w:rsidRPr="00C51A70">
        <w:t>Furukawa et al. (2021) systematically examined the effects of individual components of internet-delivered CBT for depression, using a component network meta-analysis with individual participant data.</w:t>
      </w:r>
      <w:bookmarkEnd w:id="10"/>
      <w:r w:rsidRPr="00C51A70">
        <w:t xml:space="preserve"> They decomposed </w:t>
      </w:r>
      <w:proofErr w:type="spellStart"/>
      <w:r w:rsidRPr="00C51A70">
        <w:t>iCBT</w:t>
      </w:r>
      <w:proofErr w:type="spellEnd"/>
      <w:r w:rsidRPr="00C51A70">
        <w:t xml:space="preserve"> into seventeen components. They found that the apparent benefit of "guided" </w:t>
      </w:r>
      <w:proofErr w:type="spellStart"/>
      <w:r w:rsidRPr="00C51A70">
        <w:t>iCBT</w:t>
      </w:r>
      <w:proofErr w:type="spellEnd"/>
      <w:r w:rsidRPr="00C51A70">
        <w:t xml:space="preserve"> may derive from human encouragement, or from its combination with therapeutic guidance, rather than from therapeutic guidance alone. Behavioral activation was identified as one of the most consistently beneficial components. By contrast, relaxation as implemented in the trials they examined was found to be potentially detrimental. The study was limited to </w:t>
      </w:r>
      <w:proofErr w:type="spellStart"/>
      <w:r w:rsidRPr="00C51A70">
        <w:t>iCBT</w:t>
      </w:r>
      <w:proofErr w:type="spellEnd"/>
      <w:r w:rsidRPr="00C51A70">
        <w:t xml:space="preserve"> in adults and assumed that component effects were additive.</w:t>
      </w:r>
    </w:p>
    <w:p w14:paraId="066BAECA" w14:textId="77777777" w:rsidR="00C51A70" w:rsidRPr="00C51A70" w:rsidRDefault="00C51A70" w:rsidP="00C51A70">
      <w:pPr>
        <w:spacing w:after="120" w:line="360" w:lineRule="auto"/>
        <w:ind w:firstLine="360"/>
        <w:jc w:val="both"/>
      </w:pPr>
      <w:r w:rsidRPr="00C51A70">
        <w:t>Tong et al. (2024) evaluated the effectiveness of self-guided interventions for adult depression by pooling aggregate data from 92 randomized trials, while drawing on the support-level classification developed by Furukawa et al. (2021). They reported that self-guided interventions produced a moderate reduction in depressive symptoms relative to inactive controls, that differences across support levels did not significantly affect outcomes, and that overall treatment acceptability was low. The included interventions covered a range of psychological approaches, and the population was restricted to adults, so adolescent-specific evidence was not examined.</w:t>
      </w:r>
    </w:p>
    <w:p w14:paraId="6035A664" w14:textId="53C18470" w:rsidR="00830F7C" w:rsidRDefault="00774AAF" w:rsidP="00830F7C">
      <w:pPr>
        <w:spacing w:after="120" w:line="360" w:lineRule="auto"/>
        <w:ind w:firstLine="360"/>
        <w:jc w:val="both"/>
      </w:pPr>
      <w:bookmarkStart w:id="11" w:name="OLE_LINK75"/>
      <w:r w:rsidRPr="00774AAF">
        <w:t xml:space="preserve">The three reviews together point to several remaining gaps that the present meta-analysis aims to address. First, adolescent-specific evidence on unguided self-help CBT has not been comprehensively synthesized using a support-level framework that is independent from the guided/unguided distinction. Second, existing syntheses have generally not examined whether effect sizes differ systematically by control type, specifically between passive controls (waitlist, TAU, no treatment) and minimally active controls (attention or information-only), even though the choice of comparator can substantially shape apparent effect sizes. Third, depression in adolescence often overlaps with adjacent presentations such as suicidality, self-harm, and bereavement-related emotional difficulties (Herrman et al., 2022). Suicidal ideation is a recognized component of depressive symptomatology, self-harm frequently co-occurs with depressive disorders, and bereavement-related presentations may overlap with or precipitate depressive episodes. By including trials in which depression was assessed as a central outcome alongside these presentations, the present study aims to characterize the reach of unguided self-help CBT across the clinically proximal range in which it is </w:t>
      </w:r>
      <w:proofErr w:type="gramStart"/>
      <w:r w:rsidRPr="00774AAF">
        <w:t>actually deployed</w:t>
      </w:r>
      <w:proofErr w:type="gramEnd"/>
      <w:r w:rsidRPr="00774AAF">
        <w:t>.</w:t>
      </w:r>
    </w:p>
    <w:bookmarkEnd w:id="11"/>
    <w:p w14:paraId="2C6C88F0" w14:textId="21978C3C" w:rsidR="00134A8E" w:rsidRDefault="00134A8E" w:rsidP="00134A8E">
      <w:pPr>
        <w:pStyle w:val="2"/>
        <w:rPr>
          <w:rFonts w:eastAsiaTheme="minorEastAsia"/>
        </w:rPr>
      </w:pPr>
      <w:r>
        <w:lastRenderedPageBreak/>
        <w:t>2.</w:t>
      </w:r>
      <w:r>
        <w:rPr>
          <w:rFonts w:eastAsiaTheme="minorEastAsia" w:hint="eastAsia"/>
        </w:rPr>
        <w:t>6</w:t>
      </w:r>
      <w:r>
        <w:t xml:space="preserve">. </w:t>
      </w:r>
      <w:r>
        <w:rPr>
          <w:rFonts w:eastAsiaTheme="minorEastAsia" w:hint="eastAsia"/>
        </w:rPr>
        <w:t>Meta-Analyses</w:t>
      </w:r>
    </w:p>
    <w:p w14:paraId="7B959CDA" w14:textId="77777777" w:rsidR="0013278B" w:rsidRDefault="0013278B" w:rsidP="0013278B">
      <w:pPr>
        <w:spacing w:after="120" w:line="360" w:lineRule="auto"/>
        <w:ind w:firstLine="360"/>
        <w:jc w:val="both"/>
      </w:pPr>
      <w:r w:rsidRPr="0013278B">
        <w:t>Evidence from a body of related studies can be synthesized in several ways, including traditional or narrative reviews, systematic reviews, and meta-analyses (Cuijpers, 2016). A meta-analysis is commonly understood as a quantitative extension of a systematic review. Its distinctive feature is that it combines results from previous studies statistically, usually by converting study findings into a common effect-size metric. This approach is useful when studies address a comparable research question but differ in sample characteristics, intervention format, outcome measures, or study design. Such differences can create heterogeneity, which must be considered when interpreting the pooled result. Although a numerical summary can often be calculated statistically, it is only meaningful when the included studies are sufficiently comparable with respect to the research question. In this sense, meta-analysis not only estimates the overall intervention effect but also allows the extent of variation between studies to be quantified and examined (Harrer et al., 2021).</w:t>
      </w:r>
    </w:p>
    <w:p w14:paraId="6FCF1BBC" w14:textId="734583E9" w:rsidR="005F7796" w:rsidRPr="00E55FA6" w:rsidRDefault="00E55FA6" w:rsidP="00E55FA6">
      <w:pPr>
        <w:spacing w:after="120" w:line="360" w:lineRule="auto"/>
        <w:ind w:firstLine="360"/>
        <w:jc w:val="both"/>
      </w:pPr>
      <w:r w:rsidRPr="00E55FA6">
        <w:t>A central statistical distinction in meta-analysis is between fixed-effect and random-effects models. A fixed-effect model assumes that all included studies estimate one common true effect, and that differences between observed study results are due only to sampling error. A random-effects model, by contrast, allows the true effect to vary across studies and estimates the mean of the distribution of true effects. This distinction is important when the included studies differ in participant characteristics, intervention format, dosage, or outcome measurement.</w:t>
      </w:r>
    </w:p>
    <w:p w14:paraId="03162D13" w14:textId="77777777" w:rsidR="00134A8E" w:rsidRPr="00134A8E" w:rsidRDefault="00134A8E" w:rsidP="00134A8E">
      <w:pPr>
        <w:spacing w:after="120" w:line="360" w:lineRule="auto"/>
        <w:jc w:val="both"/>
      </w:pPr>
    </w:p>
    <w:bookmarkEnd w:id="3"/>
    <w:p w14:paraId="555A7ADF" w14:textId="77777777" w:rsidR="000C3784" w:rsidRDefault="00D450DC">
      <w:pPr>
        <w:pStyle w:val="1"/>
        <w:pageBreakBefore/>
      </w:pPr>
      <w:r>
        <w:lastRenderedPageBreak/>
        <w:t>Chapter 3. Methods</w:t>
      </w:r>
    </w:p>
    <w:p w14:paraId="0B28AA8F" w14:textId="77777777" w:rsidR="000C3784" w:rsidRDefault="00D450DC">
      <w:pPr>
        <w:pStyle w:val="2"/>
      </w:pPr>
      <w:r>
        <w:t>3.1. Study Design and Reporting Standards</w:t>
      </w:r>
    </w:p>
    <w:p w14:paraId="4FA567C3" w14:textId="118EE73C" w:rsidR="002863D9" w:rsidRPr="002863D9" w:rsidRDefault="002863D9">
      <w:pPr>
        <w:spacing w:after="120" w:line="360" w:lineRule="auto"/>
        <w:ind w:firstLine="360"/>
        <w:jc w:val="both"/>
      </w:pPr>
      <w:r w:rsidRPr="002863D9">
        <w:t>This meta-analysis was conducted in accordance with the Preferred Reporting Items for Systematic Reviews and Meta-Analyses (PRISMA) 2020 guidelines (Page et al., 2021). Eligibility criteria were pre-specified using the PICOS framework (Higgins et al., 2021), and a standardized data-extraction form was developed in advance to record study characteristics, intervention features, outcome data, and risk-of-bias judgments.</w:t>
      </w:r>
    </w:p>
    <w:p w14:paraId="290EB949" w14:textId="77777777" w:rsidR="000C3784" w:rsidRDefault="00D450DC">
      <w:pPr>
        <w:pStyle w:val="2"/>
      </w:pPr>
      <w:r>
        <w:t>3.2. Literature Search Strategy</w:t>
      </w:r>
    </w:p>
    <w:p w14:paraId="1EF2C0D6" w14:textId="40F11646" w:rsidR="002863D9" w:rsidRPr="002863D9" w:rsidRDefault="002863D9" w:rsidP="002863D9">
      <w:pPr>
        <w:spacing w:after="120" w:line="360" w:lineRule="auto"/>
        <w:ind w:firstLine="360"/>
        <w:jc w:val="both"/>
        <w:rPr>
          <w:rFonts w:eastAsia="Times New Roman"/>
        </w:rPr>
      </w:pPr>
      <w:r w:rsidRPr="002863D9">
        <w:rPr>
          <w:rFonts w:eastAsia="Times New Roman"/>
        </w:rPr>
        <w:t xml:space="preserve">A systematic literature search was conducted across four electronic databases up to April 3, 2026: PubMed, Embase (Elsevier platform), the Cochrane Central Register of Controlled Trials (CENTRAL), and APA </w:t>
      </w:r>
      <w:proofErr w:type="spellStart"/>
      <w:r w:rsidRPr="002863D9">
        <w:rPr>
          <w:rFonts w:eastAsia="Times New Roman"/>
        </w:rPr>
        <w:t>PsycArticles</w:t>
      </w:r>
      <w:proofErr w:type="spellEnd"/>
      <w:r w:rsidRPr="002863D9">
        <w:rPr>
          <w:rFonts w:eastAsia="Times New Roman"/>
        </w:rPr>
        <w:t xml:space="preserve">. </w:t>
      </w:r>
    </w:p>
    <w:p w14:paraId="00B0844E" w14:textId="77777777" w:rsidR="00855297" w:rsidRDefault="00855297" w:rsidP="002863D9">
      <w:pPr>
        <w:spacing w:after="120" w:line="360" w:lineRule="auto"/>
        <w:ind w:firstLine="360"/>
        <w:jc w:val="both"/>
      </w:pPr>
      <w:r w:rsidRPr="00855297">
        <w:rPr>
          <w:rFonts w:eastAsia="Times New Roman"/>
        </w:rPr>
        <w:t xml:space="preserve">The search strategy was constructed from four concept blocks combined with the Boolean AND operator: (1) adolescent population, (2) depression, (3) cognitive behavioral therapy, and (4) unguided self-help and related delivery formats. Within each block, </w:t>
      </w:r>
      <w:proofErr w:type="spellStart"/>
      <w:proofErr w:type="gramStart"/>
      <w:r w:rsidRPr="00855297">
        <w:rPr>
          <w:rFonts w:eastAsia="Times New Roman"/>
        </w:rPr>
        <w:t>MeSH</w:t>
      </w:r>
      <w:proofErr w:type="spellEnd"/>
      <w:proofErr w:type="gramEnd"/>
      <w:r w:rsidRPr="00855297">
        <w:rPr>
          <w:rFonts w:eastAsia="Times New Roman"/>
        </w:rPr>
        <w:t xml:space="preserve"> terms and free-text synonyms were combined with the Boolean OR operator. Block 4 was adapted from Tong et al. (2024). A randomized controlled trial filter was additionally applied where appropriate and adapted to the syntax of each database. The full search strings were adapted to the syntax of each database. The PubMed strategy is presented in Appendix A as a worked example.</w:t>
      </w:r>
    </w:p>
    <w:p w14:paraId="43F27138" w14:textId="726AA7B3" w:rsidR="000C3784" w:rsidRDefault="002863D9" w:rsidP="002863D9">
      <w:pPr>
        <w:spacing w:after="120" w:line="360" w:lineRule="auto"/>
        <w:ind w:firstLine="360"/>
        <w:jc w:val="both"/>
      </w:pPr>
      <w:r w:rsidRPr="002863D9">
        <w:rPr>
          <w:rFonts w:eastAsia="Times New Roman"/>
        </w:rPr>
        <w:t xml:space="preserve">No restrictions were placed on language at the search stage, </w:t>
      </w:r>
      <w:r w:rsidR="00933AFA">
        <w:rPr>
          <w:rFonts w:hint="eastAsia"/>
        </w:rPr>
        <w:t>and languages that are out of the author</w:t>
      </w:r>
      <w:r w:rsidR="00933AFA">
        <w:t>’</w:t>
      </w:r>
      <w:r w:rsidR="00933AFA">
        <w:rPr>
          <w:rFonts w:hint="eastAsia"/>
        </w:rPr>
        <w:t xml:space="preserve">s mastery </w:t>
      </w:r>
      <w:r w:rsidR="00FA6149">
        <w:rPr>
          <w:rFonts w:hint="eastAsia"/>
        </w:rPr>
        <w:t>would</w:t>
      </w:r>
      <w:r w:rsidR="00933AFA">
        <w:rPr>
          <w:rFonts w:hint="eastAsia"/>
        </w:rPr>
        <w:t xml:space="preserve"> </w:t>
      </w:r>
      <w:r w:rsidR="00C8475D">
        <w:rPr>
          <w:rFonts w:hint="eastAsia"/>
        </w:rPr>
        <w:t xml:space="preserve">be </w:t>
      </w:r>
      <w:r w:rsidR="00933AFA">
        <w:rPr>
          <w:rFonts w:hint="eastAsia"/>
        </w:rPr>
        <w:t xml:space="preserve">excluded in </w:t>
      </w:r>
      <w:r w:rsidR="00F048E8">
        <w:rPr>
          <w:rFonts w:hint="eastAsia"/>
        </w:rPr>
        <w:t xml:space="preserve">the </w:t>
      </w:r>
      <w:r w:rsidR="00933AFA">
        <w:rPr>
          <w:rFonts w:hint="eastAsia"/>
        </w:rPr>
        <w:t>later screening stage</w:t>
      </w:r>
      <w:r w:rsidR="00FD0115">
        <w:rPr>
          <w:rFonts w:hint="eastAsia"/>
        </w:rPr>
        <w:t xml:space="preserve">. </w:t>
      </w:r>
      <w:r w:rsidRPr="002863D9">
        <w:rPr>
          <w:rFonts w:eastAsia="Times New Roman"/>
        </w:rPr>
        <w:t xml:space="preserve">No restrictions were placed on publication status. Grey literature, including doctoral dissertations and preprints, was retained at the search stage </w:t>
      </w:r>
      <w:proofErr w:type="gramStart"/>
      <w:r w:rsidRPr="002863D9">
        <w:rPr>
          <w:rFonts w:eastAsia="Times New Roman"/>
        </w:rPr>
        <w:t>in order to</w:t>
      </w:r>
      <w:proofErr w:type="gramEnd"/>
      <w:r w:rsidRPr="002863D9">
        <w:rPr>
          <w:rFonts w:eastAsia="Times New Roman"/>
        </w:rPr>
        <w:t xml:space="preserve"> enhance the comprehensiveness of the review and to reduce the risk of publication bias (</w:t>
      </w:r>
      <w:r w:rsidR="00C57F8B" w:rsidRPr="00A35027">
        <w:t>McAuley</w:t>
      </w:r>
      <w:r w:rsidR="00C57F8B">
        <w:rPr>
          <w:rFonts w:hint="eastAsia"/>
        </w:rPr>
        <w:t xml:space="preserve"> et al., 2000</w:t>
      </w:r>
      <w:r w:rsidRPr="002863D9">
        <w:rPr>
          <w:rFonts w:eastAsia="Times New Roman"/>
        </w:rPr>
        <w:t xml:space="preserve">). </w:t>
      </w:r>
    </w:p>
    <w:p w14:paraId="4C7E7C3B" w14:textId="38D4CA4E" w:rsidR="000E1D84" w:rsidRPr="000E1D84" w:rsidRDefault="00A255EA" w:rsidP="002863D9">
      <w:pPr>
        <w:spacing w:after="120" w:line="360" w:lineRule="auto"/>
        <w:ind w:firstLine="360"/>
        <w:jc w:val="both"/>
      </w:pPr>
      <w:r w:rsidRPr="00A255EA">
        <w:t>To complement the database search, backward citation searching was performed by screening the reference lists of [N=6] relevant systematic reviews and meta-analyses (Bjornstad et al., 2024; Ma et al., 2024; Wang et al., 2023; Pennant et al., 2015; Grist et al., 2019;</w:t>
      </w:r>
      <w:r>
        <w:rPr>
          <w:rFonts w:hint="eastAsia"/>
        </w:rPr>
        <w:t xml:space="preserve"> </w:t>
      </w:r>
      <w:proofErr w:type="spellStart"/>
      <w:r w:rsidRPr="00A255EA">
        <w:t>Reitegger</w:t>
      </w:r>
      <w:proofErr w:type="spellEnd"/>
      <w:r>
        <w:rPr>
          <w:rFonts w:hint="eastAsia"/>
        </w:rPr>
        <w:t xml:space="preserve"> et al., 2024</w:t>
      </w:r>
      <w:r w:rsidRPr="00A255EA">
        <w:t>) together with the reference lists of all included studies. This procedure yielded one additional eligible study (</w:t>
      </w:r>
      <w:r>
        <w:rPr>
          <w:rFonts w:hint="eastAsia"/>
        </w:rPr>
        <w:t>Ackerson et al., 1998</w:t>
      </w:r>
      <w:r w:rsidRPr="00A255EA">
        <w:t>) that had not been retrieved through the database search.</w:t>
      </w:r>
    </w:p>
    <w:p w14:paraId="46EE4C28" w14:textId="77777777" w:rsidR="000C3784" w:rsidRDefault="00D450DC">
      <w:pPr>
        <w:pStyle w:val="2"/>
      </w:pPr>
      <w:r>
        <w:lastRenderedPageBreak/>
        <w:t xml:space="preserve">3.3. </w:t>
      </w:r>
      <w:bookmarkStart w:id="12" w:name="OLE_LINK68"/>
      <w:r>
        <w:t>Eligibility Criteria</w:t>
      </w:r>
      <w:bookmarkEnd w:id="12"/>
    </w:p>
    <w:p w14:paraId="3EEC7A11" w14:textId="39912C34" w:rsidR="000C3784" w:rsidRDefault="000F7427">
      <w:pPr>
        <w:spacing w:after="120" w:line="360" w:lineRule="auto"/>
        <w:ind w:firstLine="360"/>
        <w:jc w:val="both"/>
      </w:pPr>
      <w:r w:rsidRPr="000F7427">
        <w:rPr>
          <w:rFonts w:eastAsia="Times New Roman"/>
        </w:rPr>
        <w:t>Eligibility was specified using the PICOS framework. Inclusion criteria define which studies fall within the scope of the review. Exclusion criteria specify additional conditions that, although not directly captured by the inclusion criteria, would compromise attribution of effects to the intervention</w:t>
      </w:r>
      <w:r>
        <w:rPr>
          <w:rFonts w:eastAsia="Times New Roman"/>
        </w:rPr>
        <w:t>.</w:t>
      </w:r>
    </w:p>
    <w:p w14:paraId="1113A85C" w14:textId="77777777" w:rsidR="000C3784" w:rsidRDefault="00D450DC">
      <w:pPr>
        <w:pStyle w:val="3"/>
      </w:pPr>
      <w:r>
        <w:t>3.3.1. Scope of Eligible Studies</w:t>
      </w:r>
    </w:p>
    <w:p w14:paraId="5E310BD4" w14:textId="77777777" w:rsidR="000F7427" w:rsidRPr="000F7427" w:rsidRDefault="000F7427" w:rsidP="0081610B">
      <w:pPr>
        <w:spacing w:after="120" w:line="360" w:lineRule="auto"/>
        <w:ind w:firstLine="360"/>
        <w:jc w:val="both"/>
        <w:rPr>
          <w:rFonts w:eastAsia="Times New Roman"/>
        </w:rPr>
      </w:pPr>
      <w:r w:rsidRPr="000F7427">
        <w:rPr>
          <w:rFonts w:eastAsia="Times New Roman"/>
        </w:rPr>
        <w:t xml:space="preserve">Studies were eligible for inclusion when they satisfied </w:t>
      </w:r>
      <w:proofErr w:type="gramStart"/>
      <w:r w:rsidRPr="000F7427">
        <w:rPr>
          <w:rFonts w:eastAsia="Times New Roman"/>
        </w:rPr>
        <w:t>all of</w:t>
      </w:r>
      <w:proofErr w:type="gramEnd"/>
      <w:r w:rsidRPr="000F7427">
        <w:rPr>
          <w:rFonts w:eastAsia="Times New Roman"/>
        </w:rPr>
        <w:t xml:space="preserve"> the following criteria.</w:t>
      </w:r>
    </w:p>
    <w:p w14:paraId="1A9FAFB1" w14:textId="076A4F69" w:rsidR="000F7427" w:rsidRPr="0081610B" w:rsidRDefault="000F7427" w:rsidP="0081610B">
      <w:pPr>
        <w:spacing w:after="120" w:line="360" w:lineRule="auto"/>
        <w:ind w:firstLine="360"/>
        <w:jc w:val="both"/>
      </w:pPr>
      <w:r w:rsidRPr="0081610B">
        <w:rPr>
          <w:rFonts w:eastAsia="Times New Roman"/>
          <w:b/>
          <w:bCs/>
        </w:rPr>
        <w:t>Study design</w:t>
      </w:r>
      <w:r w:rsidR="0081610B" w:rsidRPr="0081610B">
        <w:rPr>
          <w:rFonts w:hint="eastAsia"/>
          <w:b/>
          <w:bCs/>
        </w:rPr>
        <w:t>.</w:t>
      </w:r>
      <w:r w:rsidR="0081610B">
        <w:rPr>
          <w:rFonts w:hint="eastAsia"/>
        </w:rPr>
        <w:t xml:space="preserve"> </w:t>
      </w:r>
      <w:r w:rsidRPr="000F7427">
        <w:rPr>
          <w:rFonts w:eastAsia="Times New Roman"/>
        </w:rPr>
        <w:t>Studies were required to be randomized controlled trials (RCTs)</w:t>
      </w:r>
      <w:r w:rsidR="0081610B">
        <w:rPr>
          <w:rFonts w:hint="eastAsia"/>
        </w:rPr>
        <w:t>.</w:t>
      </w:r>
    </w:p>
    <w:p w14:paraId="278D9ECD" w14:textId="378DF0DC" w:rsidR="000F7427" w:rsidRDefault="000F7427" w:rsidP="00D71CDE">
      <w:pPr>
        <w:spacing w:after="120" w:line="360" w:lineRule="auto"/>
        <w:ind w:firstLine="360"/>
        <w:jc w:val="both"/>
      </w:pPr>
      <w:r w:rsidRPr="0081610B">
        <w:rPr>
          <w:rFonts w:eastAsia="Times New Roman"/>
          <w:b/>
          <w:bCs/>
        </w:rPr>
        <w:t>Participants.</w:t>
      </w:r>
      <w:r w:rsidRPr="000F7427">
        <w:rPr>
          <w:rFonts w:eastAsia="Times New Roman"/>
        </w:rPr>
        <w:t xml:space="preserve"> The study population was required to consist of adolescents aged 10 to 19 years. Age eligibility was determined by the study's </w:t>
      </w:r>
      <w:r w:rsidR="00F757DC">
        <w:rPr>
          <w:rFonts w:hint="eastAsia"/>
        </w:rPr>
        <w:t>re</w:t>
      </w:r>
      <w:r w:rsidR="00C31385">
        <w:rPr>
          <w:rFonts w:hint="eastAsia"/>
        </w:rPr>
        <w:t>c</w:t>
      </w:r>
      <w:r w:rsidR="00F757DC">
        <w:rPr>
          <w:rFonts w:hint="eastAsia"/>
        </w:rPr>
        <w:t>ruited</w:t>
      </w:r>
      <w:r w:rsidRPr="000F7427">
        <w:rPr>
          <w:rFonts w:eastAsia="Times New Roman"/>
        </w:rPr>
        <w:t xml:space="preserve"> age range, which had to fall entirely within 10 to 19 years. </w:t>
      </w:r>
      <w:r w:rsidR="00D71CDE" w:rsidRPr="00D71CDE">
        <w:rPr>
          <w:rFonts w:eastAsia="Times New Roman"/>
        </w:rPr>
        <w:t xml:space="preserve">Participants had to show clinically significant depressive symptoms at baseline. This was established either by a baseline score meeting or exceeding a published clinical cutoff on a validated depression measure, or by clinician-led identification of clinically significant symptoms when no formal cutoff was applied. </w:t>
      </w:r>
    </w:p>
    <w:p w14:paraId="16EF18C4" w14:textId="048A5252" w:rsidR="00D71CDE" w:rsidRPr="00905454" w:rsidRDefault="00D71CDE" w:rsidP="00D71CDE">
      <w:pPr>
        <w:spacing w:before="240" w:after="120" w:line="276" w:lineRule="auto"/>
      </w:pPr>
      <w:r>
        <w:rPr>
          <w:rFonts w:eastAsia="Times New Roman"/>
          <w:b/>
          <w:bCs/>
        </w:rPr>
        <w:t xml:space="preserve">Table </w:t>
      </w:r>
      <w:r w:rsidR="00086119">
        <w:rPr>
          <w:rFonts w:hint="eastAsia"/>
          <w:b/>
          <w:bCs/>
        </w:rPr>
        <w:t>3</w:t>
      </w:r>
      <w:r>
        <w:rPr>
          <w:rFonts w:eastAsia="Times New Roman"/>
          <w:b/>
          <w:bCs/>
        </w:rPr>
        <w:t>. Validated Depression Measures and Clinical Cutoffs Used for Baseline Eligibility and Severity Classification</w:t>
      </w:r>
      <w:r w:rsidR="00905454">
        <w:rPr>
          <w:rFonts w:hint="eastAsia"/>
          <w:b/>
          <w:bCs/>
        </w:rPr>
        <w:t xml:space="preserve"> (Adapted from </w:t>
      </w:r>
      <w:r w:rsidR="00905454" w:rsidRPr="00905454">
        <w:rPr>
          <w:b/>
          <w:bCs/>
        </w:rPr>
        <w:t>Bjornstad</w:t>
      </w:r>
      <w:r w:rsidR="00905454">
        <w:rPr>
          <w:rFonts w:hint="eastAsia"/>
          <w:b/>
          <w:bCs/>
        </w:rPr>
        <w:t xml:space="preserve"> et al. (2024))</w:t>
      </w:r>
    </w:p>
    <w:tbl>
      <w:tblPr>
        <w:tblW w:w="9360" w:type="dxa"/>
        <w:tblBorders>
          <w:top w:val="single" w:sz="8" w:space="0" w:color="000000"/>
          <w:bottom w:val="single" w:sz="8" w:space="0" w:color="000000"/>
        </w:tblBorders>
        <w:tblLayout w:type="fixed"/>
        <w:tblCellMar>
          <w:left w:w="10" w:type="dxa"/>
          <w:right w:w="10" w:type="dxa"/>
        </w:tblCellMar>
        <w:tblLook w:val="0000" w:firstRow="0" w:lastRow="0" w:firstColumn="0" w:lastColumn="0" w:noHBand="0" w:noVBand="0"/>
      </w:tblPr>
      <w:tblGrid>
        <w:gridCol w:w="1276"/>
        <w:gridCol w:w="1985"/>
        <w:gridCol w:w="1275"/>
        <w:gridCol w:w="993"/>
        <w:gridCol w:w="732"/>
        <w:gridCol w:w="1033"/>
        <w:gridCol w:w="788"/>
        <w:gridCol w:w="1278"/>
      </w:tblGrid>
      <w:tr w:rsidR="00B17069" w14:paraId="57308CE1" w14:textId="77777777" w:rsidTr="00A41A09">
        <w:tc>
          <w:tcPr>
            <w:tcW w:w="1276"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6D95D7B7" w14:textId="77777777" w:rsidR="00D71CDE" w:rsidRDefault="00D71CDE" w:rsidP="00A41B70">
            <w:pPr>
              <w:spacing w:line="276" w:lineRule="auto"/>
            </w:pPr>
            <w:r>
              <w:rPr>
                <w:rFonts w:eastAsia="Times New Roman"/>
                <w:b/>
                <w:bCs/>
                <w:sz w:val="20"/>
                <w:szCs w:val="20"/>
              </w:rPr>
              <w:t>Measure</w:t>
            </w:r>
          </w:p>
        </w:tc>
        <w:tc>
          <w:tcPr>
            <w:tcW w:w="1985"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28817062" w14:textId="77777777" w:rsidR="00D71CDE" w:rsidRDefault="00D71CDE" w:rsidP="00A41B70">
            <w:pPr>
              <w:spacing w:line="276" w:lineRule="auto"/>
            </w:pPr>
            <w:r>
              <w:rPr>
                <w:rFonts w:eastAsia="Times New Roman"/>
                <w:b/>
                <w:bCs/>
                <w:sz w:val="20"/>
                <w:szCs w:val="20"/>
              </w:rPr>
              <w:t>Full Name</w:t>
            </w:r>
          </w:p>
        </w:tc>
        <w:tc>
          <w:tcPr>
            <w:tcW w:w="1275"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08C11E78" w14:textId="77777777" w:rsidR="00D71CDE" w:rsidRDefault="00D71CDE" w:rsidP="00A41B70">
            <w:pPr>
              <w:spacing w:line="276" w:lineRule="auto"/>
            </w:pPr>
            <w:r>
              <w:rPr>
                <w:rFonts w:eastAsia="Times New Roman"/>
                <w:b/>
                <w:bCs/>
                <w:sz w:val="20"/>
                <w:szCs w:val="20"/>
              </w:rPr>
              <w:t>Target Population</w:t>
            </w:r>
          </w:p>
        </w:tc>
        <w:tc>
          <w:tcPr>
            <w:tcW w:w="993"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73BAA447" w14:textId="77777777" w:rsidR="00D71CDE" w:rsidRDefault="00D71CDE" w:rsidP="00A41B70">
            <w:pPr>
              <w:spacing w:line="276" w:lineRule="auto"/>
              <w:jc w:val="center"/>
            </w:pPr>
            <w:r>
              <w:rPr>
                <w:rFonts w:eastAsia="Times New Roman"/>
                <w:b/>
                <w:bCs/>
                <w:sz w:val="20"/>
                <w:szCs w:val="20"/>
              </w:rPr>
              <w:t>Range</w:t>
            </w:r>
          </w:p>
        </w:tc>
        <w:tc>
          <w:tcPr>
            <w:tcW w:w="732"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5A3D2AF5" w14:textId="77777777" w:rsidR="00D71CDE" w:rsidRDefault="00D71CDE" w:rsidP="00A41B70">
            <w:pPr>
              <w:spacing w:line="276" w:lineRule="auto"/>
              <w:jc w:val="center"/>
            </w:pPr>
            <w:r>
              <w:rPr>
                <w:rFonts w:eastAsia="Times New Roman"/>
                <w:b/>
                <w:bCs/>
                <w:sz w:val="20"/>
                <w:szCs w:val="20"/>
              </w:rPr>
              <w:t>Mild</w:t>
            </w:r>
          </w:p>
        </w:tc>
        <w:tc>
          <w:tcPr>
            <w:tcW w:w="1033"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77A5D9E2" w14:textId="77777777" w:rsidR="00D71CDE" w:rsidRDefault="00D71CDE" w:rsidP="00A41B70">
            <w:pPr>
              <w:spacing w:line="276" w:lineRule="auto"/>
              <w:jc w:val="center"/>
            </w:pPr>
            <w:r>
              <w:rPr>
                <w:rFonts w:eastAsia="Times New Roman"/>
                <w:b/>
                <w:bCs/>
                <w:sz w:val="20"/>
                <w:szCs w:val="20"/>
              </w:rPr>
              <w:t>Moderate</w:t>
            </w:r>
          </w:p>
        </w:tc>
        <w:tc>
          <w:tcPr>
            <w:tcW w:w="788"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30A4ADFC" w14:textId="77777777" w:rsidR="00D71CDE" w:rsidRDefault="00D71CDE" w:rsidP="00A41B70">
            <w:pPr>
              <w:spacing w:line="276" w:lineRule="auto"/>
              <w:jc w:val="center"/>
            </w:pPr>
            <w:r>
              <w:rPr>
                <w:rFonts w:eastAsia="Times New Roman"/>
                <w:b/>
                <w:bCs/>
                <w:sz w:val="20"/>
                <w:szCs w:val="20"/>
              </w:rPr>
              <w:t>Severe</w:t>
            </w:r>
          </w:p>
        </w:tc>
        <w:tc>
          <w:tcPr>
            <w:tcW w:w="1278"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38B37231" w14:textId="77777777" w:rsidR="00D71CDE" w:rsidRDefault="00D71CDE" w:rsidP="00A41B70">
            <w:pPr>
              <w:spacing w:line="276" w:lineRule="auto"/>
              <w:jc w:val="center"/>
            </w:pPr>
            <w:r>
              <w:rPr>
                <w:rFonts w:eastAsia="Times New Roman"/>
                <w:b/>
                <w:bCs/>
                <w:sz w:val="20"/>
                <w:szCs w:val="20"/>
              </w:rPr>
              <w:t>Clinical Cutoff</w:t>
            </w:r>
          </w:p>
        </w:tc>
      </w:tr>
      <w:tr w:rsidR="00B17069" w14:paraId="5DF9F39E" w14:textId="77777777" w:rsidTr="00A41A09">
        <w:tc>
          <w:tcPr>
            <w:tcW w:w="1276" w:type="dxa"/>
            <w:tcBorders>
              <w:top w:val="single" w:sz="4" w:space="0" w:color="000000"/>
            </w:tcBorders>
            <w:tcMar>
              <w:top w:w="80" w:type="dxa"/>
              <w:left w:w="100" w:type="dxa"/>
              <w:bottom w:w="80" w:type="dxa"/>
              <w:right w:w="100" w:type="dxa"/>
            </w:tcMar>
            <w:vAlign w:val="center"/>
          </w:tcPr>
          <w:p w14:paraId="15DF9159" w14:textId="77777777" w:rsidR="00D71CDE" w:rsidRDefault="00D71CDE" w:rsidP="00A41B70">
            <w:pPr>
              <w:spacing w:line="276" w:lineRule="auto"/>
              <w:rPr>
                <w:b/>
                <w:bCs/>
                <w:sz w:val="20"/>
                <w:szCs w:val="20"/>
              </w:rPr>
            </w:pPr>
            <w:r>
              <w:rPr>
                <w:rFonts w:eastAsia="Times New Roman"/>
                <w:b/>
                <w:bCs/>
                <w:sz w:val="20"/>
                <w:szCs w:val="20"/>
              </w:rPr>
              <w:t>PHQ-9</w:t>
            </w:r>
          </w:p>
          <w:p w14:paraId="7C996DB9" w14:textId="77777777" w:rsidR="00DE7D97" w:rsidRPr="00DE7D97" w:rsidRDefault="00DE7D97" w:rsidP="00A41B70">
            <w:pPr>
              <w:spacing w:line="276" w:lineRule="auto"/>
            </w:pPr>
          </w:p>
        </w:tc>
        <w:tc>
          <w:tcPr>
            <w:tcW w:w="1985" w:type="dxa"/>
            <w:tcBorders>
              <w:top w:val="single" w:sz="4" w:space="0" w:color="000000"/>
            </w:tcBorders>
            <w:tcMar>
              <w:top w:w="80" w:type="dxa"/>
              <w:left w:w="100" w:type="dxa"/>
              <w:bottom w:w="80" w:type="dxa"/>
              <w:right w:w="100" w:type="dxa"/>
            </w:tcMar>
            <w:vAlign w:val="center"/>
          </w:tcPr>
          <w:p w14:paraId="2513582E" w14:textId="77777777" w:rsidR="00D71CDE" w:rsidRDefault="00D71CDE" w:rsidP="00A41B70">
            <w:pPr>
              <w:spacing w:line="276" w:lineRule="auto"/>
            </w:pPr>
            <w:r>
              <w:rPr>
                <w:rFonts w:eastAsia="Times New Roman"/>
                <w:sz w:val="20"/>
                <w:szCs w:val="20"/>
              </w:rPr>
              <w:t>Patient Health Questionnaire-9</w:t>
            </w:r>
          </w:p>
        </w:tc>
        <w:tc>
          <w:tcPr>
            <w:tcW w:w="1275" w:type="dxa"/>
            <w:tcBorders>
              <w:top w:val="single" w:sz="4" w:space="0" w:color="000000"/>
            </w:tcBorders>
            <w:tcMar>
              <w:top w:w="80" w:type="dxa"/>
              <w:left w:w="100" w:type="dxa"/>
              <w:bottom w:w="80" w:type="dxa"/>
              <w:right w:w="100" w:type="dxa"/>
            </w:tcMar>
            <w:vAlign w:val="center"/>
          </w:tcPr>
          <w:p w14:paraId="722AADDB" w14:textId="77777777" w:rsidR="00D71CDE" w:rsidRDefault="00D71CDE" w:rsidP="00A41B70">
            <w:pPr>
              <w:spacing w:line="276" w:lineRule="auto"/>
            </w:pPr>
            <w:r>
              <w:rPr>
                <w:rFonts w:eastAsia="Times New Roman"/>
                <w:sz w:val="20"/>
                <w:szCs w:val="20"/>
              </w:rPr>
              <w:t>Adolescents / adults</w:t>
            </w:r>
          </w:p>
        </w:tc>
        <w:tc>
          <w:tcPr>
            <w:tcW w:w="993" w:type="dxa"/>
            <w:tcBorders>
              <w:top w:val="single" w:sz="4" w:space="0" w:color="000000"/>
            </w:tcBorders>
            <w:tcMar>
              <w:top w:w="80" w:type="dxa"/>
              <w:left w:w="100" w:type="dxa"/>
              <w:bottom w:w="80" w:type="dxa"/>
              <w:right w:w="100" w:type="dxa"/>
            </w:tcMar>
            <w:vAlign w:val="center"/>
          </w:tcPr>
          <w:p w14:paraId="6A5C9FE5" w14:textId="77777777" w:rsidR="00D71CDE" w:rsidRDefault="00D71CDE" w:rsidP="00A41B70">
            <w:pPr>
              <w:spacing w:line="276" w:lineRule="auto"/>
              <w:jc w:val="center"/>
            </w:pPr>
            <w:r>
              <w:rPr>
                <w:rFonts w:eastAsia="Times New Roman"/>
                <w:sz w:val="20"/>
                <w:szCs w:val="20"/>
              </w:rPr>
              <w:t>0–27</w:t>
            </w:r>
          </w:p>
        </w:tc>
        <w:tc>
          <w:tcPr>
            <w:tcW w:w="732" w:type="dxa"/>
            <w:tcBorders>
              <w:top w:val="single" w:sz="4" w:space="0" w:color="000000"/>
            </w:tcBorders>
            <w:tcMar>
              <w:top w:w="80" w:type="dxa"/>
              <w:left w:w="100" w:type="dxa"/>
              <w:bottom w:w="80" w:type="dxa"/>
              <w:right w:w="100" w:type="dxa"/>
            </w:tcMar>
            <w:vAlign w:val="center"/>
          </w:tcPr>
          <w:p w14:paraId="7E6EFF69" w14:textId="77777777" w:rsidR="00D71CDE" w:rsidRDefault="00D71CDE" w:rsidP="00A41B70">
            <w:pPr>
              <w:spacing w:line="276" w:lineRule="auto"/>
              <w:jc w:val="center"/>
            </w:pPr>
            <w:r>
              <w:rPr>
                <w:rFonts w:eastAsia="Times New Roman"/>
                <w:sz w:val="20"/>
                <w:szCs w:val="20"/>
              </w:rPr>
              <w:t>5–9</w:t>
            </w:r>
          </w:p>
        </w:tc>
        <w:tc>
          <w:tcPr>
            <w:tcW w:w="1033" w:type="dxa"/>
            <w:tcBorders>
              <w:top w:val="single" w:sz="4" w:space="0" w:color="000000"/>
            </w:tcBorders>
            <w:tcMar>
              <w:top w:w="80" w:type="dxa"/>
              <w:left w:w="100" w:type="dxa"/>
              <w:bottom w:w="80" w:type="dxa"/>
              <w:right w:w="100" w:type="dxa"/>
            </w:tcMar>
            <w:vAlign w:val="center"/>
          </w:tcPr>
          <w:p w14:paraId="03495C94" w14:textId="77777777" w:rsidR="00D71CDE" w:rsidRDefault="00D71CDE" w:rsidP="00A41B70">
            <w:pPr>
              <w:spacing w:line="276" w:lineRule="auto"/>
              <w:jc w:val="center"/>
            </w:pPr>
            <w:r>
              <w:rPr>
                <w:rFonts w:eastAsia="Times New Roman"/>
                <w:sz w:val="20"/>
                <w:szCs w:val="20"/>
              </w:rPr>
              <w:t>10–14</w:t>
            </w:r>
          </w:p>
        </w:tc>
        <w:tc>
          <w:tcPr>
            <w:tcW w:w="788" w:type="dxa"/>
            <w:tcBorders>
              <w:top w:val="single" w:sz="4" w:space="0" w:color="000000"/>
            </w:tcBorders>
            <w:tcMar>
              <w:top w:w="80" w:type="dxa"/>
              <w:left w:w="100" w:type="dxa"/>
              <w:bottom w:w="80" w:type="dxa"/>
              <w:right w:w="100" w:type="dxa"/>
            </w:tcMar>
            <w:vAlign w:val="center"/>
          </w:tcPr>
          <w:p w14:paraId="30714FF1" w14:textId="77777777" w:rsidR="00D71CDE" w:rsidRDefault="00D71CDE" w:rsidP="00A41B70">
            <w:pPr>
              <w:spacing w:line="276" w:lineRule="auto"/>
              <w:jc w:val="center"/>
            </w:pPr>
            <w:r>
              <w:rPr>
                <w:rFonts w:eastAsia="Times New Roman"/>
                <w:sz w:val="20"/>
                <w:szCs w:val="20"/>
              </w:rPr>
              <w:t>15–27</w:t>
            </w:r>
          </w:p>
        </w:tc>
        <w:tc>
          <w:tcPr>
            <w:tcW w:w="1278" w:type="dxa"/>
            <w:tcBorders>
              <w:top w:val="single" w:sz="4" w:space="0" w:color="000000"/>
            </w:tcBorders>
            <w:tcMar>
              <w:top w:w="80" w:type="dxa"/>
              <w:left w:w="100" w:type="dxa"/>
              <w:bottom w:w="80" w:type="dxa"/>
              <w:right w:w="100" w:type="dxa"/>
            </w:tcMar>
            <w:vAlign w:val="center"/>
          </w:tcPr>
          <w:p w14:paraId="0614908C" w14:textId="77777777" w:rsidR="00D71CDE" w:rsidRDefault="00D71CDE" w:rsidP="00A41B70">
            <w:pPr>
              <w:spacing w:line="276" w:lineRule="auto"/>
              <w:jc w:val="center"/>
            </w:pPr>
            <w:r>
              <w:rPr>
                <w:rFonts w:eastAsia="Times New Roman"/>
                <w:sz w:val="20"/>
                <w:szCs w:val="20"/>
              </w:rPr>
              <w:t>≥10</w:t>
            </w:r>
          </w:p>
        </w:tc>
      </w:tr>
      <w:tr w:rsidR="00DE7D97" w14:paraId="4C9D5CAF" w14:textId="77777777" w:rsidTr="00A41A09">
        <w:tc>
          <w:tcPr>
            <w:tcW w:w="1276" w:type="dxa"/>
            <w:tcMar>
              <w:top w:w="80" w:type="dxa"/>
              <w:left w:w="100" w:type="dxa"/>
              <w:bottom w:w="80" w:type="dxa"/>
              <w:right w:w="100" w:type="dxa"/>
            </w:tcMar>
            <w:vAlign w:val="center"/>
          </w:tcPr>
          <w:p w14:paraId="5903ED68" w14:textId="77777777" w:rsidR="00D71CDE" w:rsidRDefault="00D71CDE" w:rsidP="00A41B70">
            <w:pPr>
              <w:spacing w:line="276" w:lineRule="auto"/>
            </w:pPr>
            <w:r>
              <w:rPr>
                <w:rFonts w:eastAsia="Times New Roman"/>
                <w:b/>
                <w:bCs/>
                <w:sz w:val="20"/>
                <w:szCs w:val="20"/>
              </w:rPr>
              <w:t>PHQ-A</w:t>
            </w:r>
          </w:p>
        </w:tc>
        <w:tc>
          <w:tcPr>
            <w:tcW w:w="1985" w:type="dxa"/>
            <w:tcMar>
              <w:top w:w="80" w:type="dxa"/>
              <w:left w:w="100" w:type="dxa"/>
              <w:bottom w:w="80" w:type="dxa"/>
              <w:right w:w="100" w:type="dxa"/>
            </w:tcMar>
            <w:vAlign w:val="center"/>
          </w:tcPr>
          <w:p w14:paraId="06B79609" w14:textId="77777777" w:rsidR="00D71CDE" w:rsidRDefault="00D71CDE" w:rsidP="00A41B70">
            <w:pPr>
              <w:spacing w:line="276" w:lineRule="auto"/>
            </w:pPr>
            <w:r>
              <w:rPr>
                <w:rFonts w:eastAsia="Times New Roman"/>
                <w:sz w:val="20"/>
                <w:szCs w:val="20"/>
              </w:rPr>
              <w:t>PHQ — Adolescent version</w:t>
            </w:r>
          </w:p>
        </w:tc>
        <w:tc>
          <w:tcPr>
            <w:tcW w:w="1275" w:type="dxa"/>
            <w:tcMar>
              <w:top w:w="80" w:type="dxa"/>
              <w:left w:w="100" w:type="dxa"/>
              <w:bottom w:w="80" w:type="dxa"/>
              <w:right w:w="100" w:type="dxa"/>
            </w:tcMar>
            <w:vAlign w:val="center"/>
          </w:tcPr>
          <w:p w14:paraId="4C039649" w14:textId="77777777" w:rsidR="00D71CDE" w:rsidRDefault="00D71CDE" w:rsidP="00A41B70">
            <w:pPr>
              <w:spacing w:line="276" w:lineRule="auto"/>
            </w:pPr>
            <w:r>
              <w:rPr>
                <w:rFonts w:eastAsia="Times New Roman"/>
                <w:sz w:val="20"/>
                <w:szCs w:val="20"/>
              </w:rPr>
              <w:t>Adolescents</w:t>
            </w:r>
          </w:p>
        </w:tc>
        <w:tc>
          <w:tcPr>
            <w:tcW w:w="993" w:type="dxa"/>
            <w:tcMar>
              <w:top w:w="80" w:type="dxa"/>
              <w:left w:w="100" w:type="dxa"/>
              <w:bottom w:w="80" w:type="dxa"/>
              <w:right w:w="100" w:type="dxa"/>
            </w:tcMar>
            <w:vAlign w:val="center"/>
          </w:tcPr>
          <w:p w14:paraId="40A93F25" w14:textId="77777777" w:rsidR="00D71CDE" w:rsidRDefault="00D71CDE" w:rsidP="00A41B70">
            <w:pPr>
              <w:spacing w:line="276" w:lineRule="auto"/>
              <w:jc w:val="center"/>
            </w:pPr>
            <w:r>
              <w:rPr>
                <w:rFonts w:eastAsia="Times New Roman"/>
                <w:sz w:val="20"/>
                <w:szCs w:val="20"/>
              </w:rPr>
              <w:t>0–27</w:t>
            </w:r>
          </w:p>
        </w:tc>
        <w:tc>
          <w:tcPr>
            <w:tcW w:w="732" w:type="dxa"/>
            <w:tcMar>
              <w:top w:w="80" w:type="dxa"/>
              <w:left w:w="100" w:type="dxa"/>
              <w:bottom w:w="80" w:type="dxa"/>
              <w:right w:w="100" w:type="dxa"/>
            </w:tcMar>
            <w:vAlign w:val="center"/>
          </w:tcPr>
          <w:p w14:paraId="37E83300" w14:textId="77777777" w:rsidR="00D71CDE" w:rsidRDefault="00D71CDE" w:rsidP="00A41B70">
            <w:pPr>
              <w:spacing w:line="276" w:lineRule="auto"/>
              <w:jc w:val="center"/>
            </w:pPr>
            <w:r>
              <w:rPr>
                <w:rFonts w:eastAsia="Times New Roman"/>
                <w:sz w:val="20"/>
                <w:szCs w:val="20"/>
              </w:rPr>
              <w:t>5–9</w:t>
            </w:r>
          </w:p>
        </w:tc>
        <w:tc>
          <w:tcPr>
            <w:tcW w:w="1033" w:type="dxa"/>
            <w:tcMar>
              <w:top w:w="80" w:type="dxa"/>
              <w:left w:w="100" w:type="dxa"/>
              <w:bottom w:w="80" w:type="dxa"/>
              <w:right w:w="100" w:type="dxa"/>
            </w:tcMar>
            <w:vAlign w:val="center"/>
          </w:tcPr>
          <w:p w14:paraId="61F9688E" w14:textId="77777777" w:rsidR="00D71CDE" w:rsidRDefault="00D71CDE" w:rsidP="00A41B70">
            <w:pPr>
              <w:spacing w:line="276" w:lineRule="auto"/>
              <w:jc w:val="center"/>
            </w:pPr>
            <w:r>
              <w:rPr>
                <w:rFonts w:eastAsia="Times New Roman"/>
                <w:sz w:val="20"/>
                <w:szCs w:val="20"/>
              </w:rPr>
              <w:t>10–14</w:t>
            </w:r>
          </w:p>
        </w:tc>
        <w:tc>
          <w:tcPr>
            <w:tcW w:w="788" w:type="dxa"/>
            <w:tcMar>
              <w:top w:w="80" w:type="dxa"/>
              <w:left w:w="100" w:type="dxa"/>
              <w:bottom w:w="80" w:type="dxa"/>
              <w:right w:w="100" w:type="dxa"/>
            </w:tcMar>
            <w:vAlign w:val="center"/>
          </w:tcPr>
          <w:p w14:paraId="382CFC75" w14:textId="77777777" w:rsidR="00D71CDE" w:rsidRDefault="00D71CDE" w:rsidP="00A41B70">
            <w:pPr>
              <w:spacing w:line="276" w:lineRule="auto"/>
              <w:jc w:val="center"/>
            </w:pPr>
            <w:r>
              <w:rPr>
                <w:rFonts w:eastAsia="Times New Roman"/>
                <w:sz w:val="20"/>
                <w:szCs w:val="20"/>
              </w:rPr>
              <w:t>15–27</w:t>
            </w:r>
          </w:p>
        </w:tc>
        <w:tc>
          <w:tcPr>
            <w:tcW w:w="1278" w:type="dxa"/>
            <w:tcMar>
              <w:top w:w="80" w:type="dxa"/>
              <w:left w:w="100" w:type="dxa"/>
              <w:bottom w:w="80" w:type="dxa"/>
              <w:right w:w="100" w:type="dxa"/>
            </w:tcMar>
            <w:vAlign w:val="center"/>
          </w:tcPr>
          <w:p w14:paraId="30DDEB6C" w14:textId="77777777" w:rsidR="00D71CDE" w:rsidRDefault="00D71CDE" w:rsidP="00A41B70">
            <w:pPr>
              <w:spacing w:line="276" w:lineRule="auto"/>
              <w:jc w:val="center"/>
            </w:pPr>
            <w:r>
              <w:rPr>
                <w:rFonts w:eastAsia="Times New Roman"/>
                <w:sz w:val="20"/>
                <w:szCs w:val="20"/>
              </w:rPr>
              <w:t>≥10</w:t>
            </w:r>
          </w:p>
        </w:tc>
      </w:tr>
      <w:tr w:rsidR="00DE7D97" w14:paraId="2AA1D4DC" w14:textId="77777777" w:rsidTr="00A41A09">
        <w:tc>
          <w:tcPr>
            <w:tcW w:w="1276" w:type="dxa"/>
            <w:tcMar>
              <w:top w:w="80" w:type="dxa"/>
              <w:left w:w="100" w:type="dxa"/>
              <w:bottom w:w="80" w:type="dxa"/>
              <w:right w:w="100" w:type="dxa"/>
            </w:tcMar>
            <w:vAlign w:val="center"/>
          </w:tcPr>
          <w:p w14:paraId="50147AF9" w14:textId="77777777" w:rsidR="00D71CDE" w:rsidRPr="00DE7D97" w:rsidRDefault="00D71CDE" w:rsidP="00A41B70">
            <w:pPr>
              <w:spacing w:line="276" w:lineRule="auto"/>
            </w:pPr>
            <w:r>
              <w:rPr>
                <w:rFonts w:eastAsia="Times New Roman"/>
                <w:b/>
                <w:bCs/>
                <w:sz w:val="20"/>
                <w:szCs w:val="20"/>
              </w:rPr>
              <w:t>BDI-II</w:t>
            </w:r>
          </w:p>
        </w:tc>
        <w:tc>
          <w:tcPr>
            <w:tcW w:w="1985" w:type="dxa"/>
            <w:tcMar>
              <w:top w:w="80" w:type="dxa"/>
              <w:left w:w="100" w:type="dxa"/>
              <w:bottom w:w="80" w:type="dxa"/>
              <w:right w:w="100" w:type="dxa"/>
            </w:tcMar>
            <w:vAlign w:val="center"/>
          </w:tcPr>
          <w:p w14:paraId="3CBE8630" w14:textId="77777777" w:rsidR="00D71CDE" w:rsidRDefault="00D71CDE" w:rsidP="00A41B70">
            <w:pPr>
              <w:spacing w:line="276" w:lineRule="auto"/>
            </w:pPr>
            <w:r>
              <w:rPr>
                <w:rFonts w:eastAsia="Times New Roman"/>
                <w:sz w:val="20"/>
                <w:szCs w:val="20"/>
              </w:rPr>
              <w:t>Beck Depression Inventory-II</w:t>
            </w:r>
          </w:p>
        </w:tc>
        <w:tc>
          <w:tcPr>
            <w:tcW w:w="1275" w:type="dxa"/>
            <w:tcMar>
              <w:top w:w="80" w:type="dxa"/>
              <w:left w:w="100" w:type="dxa"/>
              <w:bottom w:w="80" w:type="dxa"/>
              <w:right w:w="100" w:type="dxa"/>
            </w:tcMar>
            <w:vAlign w:val="center"/>
          </w:tcPr>
          <w:p w14:paraId="742EB035" w14:textId="77777777" w:rsidR="00D71CDE" w:rsidRDefault="00D71CDE" w:rsidP="00A41B70">
            <w:pPr>
              <w:spacing w:line="276" w:lineRule="auto"/>
            </w:pPr>
            <w:r>
              <w:rPr>
                <w:rFonts w:eastAsia="Times New Roman"/>
                <w:sz w:val="20"/>
                <w:szCs w:val="20"/>
              </w:rPr>
              <w:t>Age ≥13</w:t>
            </w:r>
          </w:p>
        </w:tc>
        <w:tc>
          <w:tcPr>
            <w:tcW w:w="993" w:type="dxa"/>
            <w:tcMar>
              <w:top w:w="80" w:type="dxa"/>
              <w:left w:w="100" w:type="dxa"/>
              <w:bottom w:w="80" w:type="dxa"/>
              <w:right w:w="100" w:type="dxa"/>
            </w:tcMar>
            <w:vAlign w:val="center"/>
          </w:tcPr>
          <w:p w14:paraId="3E2ADA1D" w14:textId="77777777" w:rsidR="00D71CDE" w:rsidRDefault="00D71CDE" w:rsidP="00A41B70">
            <w:pPr>
              <w:spacing w:line="276" w:lineRule="auto"/>
              <w:jc w:val="center"/>
            </w:pPr>
            <w:r>
              <w:rPr>
                <w:rFonts w:eastAsia="Times New Roman"/>
                <w:sz w:val="20"/>
                <w:szCs w:val="20"/>
              </w:rPr>
              <w:t>0–63</w:t>
            </w:r>
          </w:p>
        </w:tc>
        <w:tc>
          <w:tcPr>
            <w:tcW w:w="732" w:type="dxa"/>
            <w:tcMar>
              <w:top w:w="80" w:type="dxa"/>
              <w:left w:w="100" w:type="dxa"/>
              <w:bottom w:w="80" w:type="dxa"/>
              <w:right w:w="100" w:type="dxa"/>
            </w:tcMar>
            <w:vAlign w:val="center"/>
          </w:tcPr>
          <w:p w14:paraId="0CFE63EE" w14:textId="77777777" w:rsidR="00D71CDE" w:rsidRDefault="00D71CDE" w:rsidP="00A41B70">
            <w:pPr>
              <w:spacing w:line="276" w:lineRule="auto"/>
              <w:jc w:val="center"/>
            </w:pPr>
            <w:r>
              <w:rPr>
                <w:rFonts w:eastAsia="Times New Roman"/>
                <w:sz w:val="20"/>
                <w:szCs w:val="20"/>
              </w:rPr>
              <w:t>14–19</w:t>
            </w:r>
          </w:p>
        </w:tc>
        <w:tc>
          <w:tcPr>
            <w:tcW w:w="1033" w:type="dxa"/>
            <w:tcMar>
              <w:top w:w="80" w:type="dxa"/>
              <w:left w:w="100" w:type="dxa"/>
              <w:bottom w:w="80" w:type="dxa"/>
              <w:right w:w="100" w:type="dxa"/>
            </w:tcMar>
            <w:vAlign w:val="center"/>
          </w:tcPr>
          <w:p w14:paraId="164C4953" w14:textId="77777777" w:rsidR="00D71CDE" w:rsidRDefault="00D71CDE" w:rsidP="00A41B70">
            <w:pPr>
              <w:spacing w:line="276" w:lineRule="auto"/>
              <w:jc w:val="center"/>
            </w:pPr>
            <w:r>
              <w:rPr>
                <w:rFonts w:eastAsia="Times New Roman"/>
                <w:sz w:val="20"/>
                <w:szCs w:val="20"/>
              </w:rPr>
              <w:t>20–28</w:t>
            </w:r>
          </w:p>
        </w:tc>
        <w:tc>
          <w:tcPr>
            <w:tcW w:w="788" w:type="dxa"/>
            <w:tcMar>
              <w:top w:w="80" w:type="dxa"/>
              <w:left w:w="100" w:type="dxa"/>
              <w:bottom w:w="80" w:type="dxa"/>
              <w:right w:w="100" w:type="dxa"/>
            </w:tcMar>
            <w:vAlign w:val="center"/>
          </w:tcPr>
          <w:p w14:paraId="07A5C0E9" w14:textId="77777777" w:rsidR="00D71CDE" w:rsidRDefault="00D71CDE" w:rsidP="00A41B70">
            <w:pPr>
              <w:spacing w:line="276" w:lineRule="auto"/>
              <w:jc w:val="center"/>
            </w:pPr>
            <w:r>
              <w:rPr>
                <w:rFonts w:eastAsia="Times New Roman"/>
                <w:sz w:val="20"/>
                <w:szCs w:val="20"/>
              </w:rPr>
              <w:t>29–63</w:t>
            </w:r>
          </w:p>
        </w:tc>
        <w:tc>
          <w:tcPr>
            <w:tcW w:w="1278" w:type="dxa"/>
            <w:tcMar>
              <w:top w:w="80" w:type="dxa"/>
              <w:left w:w="100" w:type="dxa"/>
              <w:bottom w:w="80" w:type="dxa"/>
              <w:right w:w="100" w:type="dxa"/>
            </w:tcMar>
            <w:vAlign w:val="center"/>
          </w:tcPr>
          <w:p w14:paraId="7CE65041" w14:textId="0C1192C3" w:rsidR="00DE7D97" w:rsidRPr="00DE7D97" w:rsidRDefault="00D71CDE" w:rsidP="00DE7D97">
            <w:pPr>
              <w:spacing w:line="276" w:lineRule="auto"/>
              <w:jc w:val="center"/>
              <w:rPr>
                <w:sz w:val="20"/>
                <w:szCs w:val="20"/>
              </w:rPr>
            </w:pPr>
            <w:r>
              <w:rPr>
                <w:rFonts w:eastAsia="Times New Roman"/>
                <w:sz w:val="20"/>
                <w:szCs w:val="20"/>
              </w:rPr>
              <w:t xml:space="preserve">≥14 </w:t>
            </w:r>
          </w:p>
        </w:tc>
      </w:tr>
      <w:tr w:rsidR="00DE7D97" w14:paraId="1220E637" w14:textId="77777777" w:rsidTr="00A41A09">
        <w:tc>
          <w:tcPr>
            <w:tcW w:w="1276" w:type="dxa"/>
            <w:tcMar>
              <w:top w:w="80" w:type="dxa"/>
              <w:left w:w="100" w:type="dxa"/>
              <w:bottom w:w="80" w:type="dxa"/>
              <w:right w:w="100" w:type="dxa"/>
            </w:tcMar>
            <w:vAlign w:val="center"/>
          </w:tcPr>
          <w:p w14:paraId="1D6FD085" w14:textId="77777777" w:rsidR="00D71CDE" w:rsidRDefault="00D71CDE" w:rsidP="00A41B70">
            <w:pPr>
              <w:spacing w:line="276" w:lineRule="auto"/>
            </w:pPr>
            <w:r>
              <w:rPr>
                <w:rFonts w:eastAsia="Times New Roman"/>
                <w:b/>
                <w:bCs/>
                <w:sz w:val="20"/>
                <w:szCs w:val="20"/>
              </w:rPr>
              <w:t>CDI</w:t>
            </w:r>
          </w:p>
        </w:tc>
        <w:tc>
          <w:tcPr>
            <w:tcW w:w="1985" w:type="dxa"/>
            <w:tcMar>
              <w:top w:w="80" w:type="dxa"/>
              <w:left w:w="100" w:type="dxa"/>
              <w:bottom w:w="80" w:type="dxa"/>
              <w:right w:w="100" w:type="dxa"/>
            </w:tcMar>
            <w:vAlign w:val="center"/>
          </w:tcPr>
          <w:p w14:paraId="659F3490" w14:textId="77777777" w:rsidR="00D71CDE" w:rsidRDefault="00D71CDE" w:rsidP="00A41B70">
            <w:pPr>
              <w:spacing w:line="276" w:lineRule="auto"/>
            </w:pPr>
            <w:r>
              <w:rPr>
                <w:rFonts w:eastAsia="Times New Roman"/>
                <w:sz w:val="20"/>
                <w:szCs w:val="20"/>
              </w:rPr>
              <w:t>Children's Depression Inventory</w:t>
            </w:r>
          </w:p>
        </w:tc>
        <w:tc>
          <w:tcPr>
            <w:tcW w:w="1275" w:type="dxa"/>
            <w:tcMar>
              <w:top w:w="80" w:type="dxa"/>
              <w:left w:w="100" w:type="dxa"/>
              <w:bottom w:w="80" w:type="dxa"/>
              <w:right w:w="100" w:type="dxa"/>
            </w:tcMar>
            <w:vAlign w:val="center"/>
          </w:tcPr>
          <w:p w14:paraId="27B065A2" w14:textId="77777777" w:rsidR="00D71CDE" w:rsidRDefault="00D71CDE" w:rsidP="00A41B70">
            <w:pPr>
              <w:spacing w:line="276" w:lineRule="auto"/>
            </w:pPr>
            <w:r>
              <w:rPr>
                <w:rFonts w:eastAsia="Times New Roman"/>
                <w:sz w:val="20"/>
                <w:szCs w:val="20"/>
              </w:rPr>
              <w:t>Ages 7–17</w:t>
            </w:r>
          </w:p>
        </w:tc>
        <w:tc>
          <w:tcPr>
            <w:tcW w:w="993" w:type="dxa"/>
            <w:tcMar>
              <w:top w:w="80" w:type="dxa"/>
              <w:left w:w="100" w:type="dxa"/>
              <w:bottom w:w="80" w:type="dxa"/>
              <w:right w:w="100" w:type="dxa"/>
            </w:tcMar>
            <w:vAlign w:val="center"/>
          </w:tcPr>
          <w:p w14:paraId="3537D237" w14:textId="77777777" w:rsidR="00D71CDE" w:rsidRDefault="00D71CDE" w:rsidP="00A41B70">
            <w:pPr>
              <w:spacing w:line="276" w:lineRule="auto"/>
              <w:jc w:val="center"/>
            </w:pPr>
            <w:r>
              <w:rPr>
                <w:rFonts w:eastAsia="Times New Roman"/>
                <w:sz w:val="20"/>
                <w:szCs w:val="20"/>
              </w:rPr>
              <w:t>0–54</w:t>
            </w:r>
          </w:p>
        </w:tc>
        <w:tc>
          <w:tcPr>
            <w:tcW w:w="732" w:type="dxa"/>
            <w:tcMar>
              <w:top w:w="80" w:type="dxa"/>
              <w:left w:w="100" w:type="dxa"/>
              <w:bottom w:w="80" w:type="dxa"/>
              <w:right w:w="100" w:type="dxa"/>
            </w:tcMar>
            <w:vAlign w:val="center"/>
          </w:tcPr>
          <w:p w14:paraId="39886411"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4073C315"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340FCD7A"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5D4A9AC9" w14:textId="77777777" w:rsidR="00D71CDE" w:rsidRDefault="00D71CDE" w:rsidP="00A41B70">
            <w:pPr>
              <w:spacing w:line="276" w:lineRule="auto"/>
              <w:jc w:val="center"/>
            </w:pPr>
            <w:r>
              <w:rPr>
                <w:rFonts w:eastAsia="Times New Roman"/>
                <w:sz w:val="20"/>
                <w:szCs w:val="20"/>
              </w:rPr>
              <w:t>≥13 (also ≥19, ≥20)</w:t>
            </w:r>
          </w:p>
        </w:tc>
      </w:tr>
      <w:tr w:rsidR="00DE7D97" w14:paraId="323B778E" w14:textId="77777777" w:rsidTr="00A41A09">
        <w:tc>
          <w:tcPr>
            <w:tcW w:w="1276" w:type="dxa"/>
            <w:tcMar>
              <w:top w:w="80" w:type="dxa"/>
              <w:left w:w="100" w:type="dxa"/>
              <w:bottom w:w="80" w:type="dxa"/>
              <w:right w:w="100" w:type="dxa"/>
            </w:tcMar>
            <w:vAlign w:val="center"/>
          </w:tcPr>
          <w:p w14:paraId="1249FF1E" w14:textId="77777777" w:rsidR="00D71CDE" w:rsidRDefault="00D71CDE" w:rsidP="00A41B70">
            <w:pPr>
              <w:spacing w:line="276" w:lineRule="auto"/>
            </w:pPr>
            <w:r>
              <w:rPr>
                <w:rFonts w:eastAsia="Times New Roman"/>
                <w:b/>
                <w:bCs/>
                <w:sz w:val="20"/>
                <w:szCs w:val="20"/>
              </w:rPr>
              <w:t>CES-D</w:t>
            </w:r>
          </w:p>
        </w:tc>
        <w:tc>
          <w:tcPr>
            <w:tcW w:w="1985" w:type="dxa"/>
            <w:tcMar>
              <w:top w:w="80" w:type="dxa"/>
              <w:left w:w="100" w:type="dxa"/>
              <w:bottom w:w="80" w:type="dxa"/>
              <w:right w:w="100" w:type="dxa"/>
            </w:tcMar>
            <w:vAlign w:val="center"/>
          </w:tcPr>
          <w:p w14:paraId="3BCCEA48" w14:textId="77777777" w:rsidR="00D71CDE" w:rsidRDefault="00D71CDE" w:rsidP="00A41B70">
            <w:pPr>
              <w:spacing w:line="276" w:lineRule="auto"/>
            </w:pPr>
            <w:r>
              <w:rPr>
                <w:rFonts w:eastAsia="Times New Roman"/>
                <w:sz w:val="20"/>
                <w:szCs w:val="20"/>
              </w:rPr>
              <w:t>Center for Epidemiologic Studies Depression Scale</w:t>
            </w:r>
          </w:p>
        </w:tc>
        <w:tc>
          <w:tcPr>
            <w:tcW w:w="1275" w:type="dxa"/>
            <w:tcMar>
              <w:top w:w="80" w:type="dxa"/>
              <w:left w:w="100" w:type="dxa"/>
              <w:bottom w:w="80" w:type="dxa"/>
              <w:right w:w="100" w:type="dxa"/>
            </w:tcMar>
            <w:vAlign w:val="center"/>
          </w:tcPr>
          <w:p w14:paraId="3F449177" w14:textId="77777777" w:rsidR="00D71CDE" w:rsidRDefault="00D71CDE" w:rsidP="00A41B70">
            <w:pPr>
              <w:spacing w:line="276" w:lineRule="auto"/>
            </w:pPr>
            <w:r>
              <w:rPr>
                <w:rFonts w:eastAsia="Times New Roman"/>
                <w:sz w:val="20"/>
                <w:szCs w:val="20"/>
              </w:rPr>
              <w:t>Adolescents / adults</w:t>
            </w:r>
          </w:p>
        </w:tc>
        <w:tc>
          <w:tcPr>
            <w:tcW w:w="993" w:type="dxa"/>
            <w:tcMar>
              <w:top w:w="80" w:type="dxa"/>
              <w:left w:w="100" w:type="dxa"/>
              <w:bottom w:w="80" w:type="dxa"/>
              <w:right w:w="100" w:type="dxa"/>
            </w:tcMar>
            <w:vAlign w:val="center"/>
          </w:tcPr>
          <w:p w14:paraId="448D5CBE" w14:textId="77777777" w:rsidR="00D71CDE" w:rsidRDefault="00D71CDE" w:rsidP="00A41B70">
            <w:pPr>
              <w:spacing w:line="276" w:lineRule="auto"/>
              <w:jc w:val="center"/>
            </w:pPr>
            <w:r>
              <w:rPr>
                <w:rFonts w:eastAsia="Times New Roman"/>
                <w:sz w:val="20"/>
                <w:szCs w:val="20"/>
              </w:rPr>
              <w:t>0–60</w:t>
            </w:r>
          </w:p>
        </w:tc>
        <w:tc>
          <w:tcPr>
            <w:tcW w:w="732" w:type="dxa"/>
            <w:tcMar>
              <w:top w:w="80" w:type="dxa"/>
              <w:left w:w="100" w:type="dxa"/>
              <w:bottom w:w="80" w:type="dxa"/>
              <w:right w:w="100" w:type="dxa"/>
            </w:tcMar>
            <w:vAlign w:val="center"/>
          </w:tcPr>
          <w:p w14:paraId="7E2BCF0B"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71B2DA05"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7562E9EC"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6EB50987" w14:textId="77777777" w:rsidR="00D71CDE" w:rsidRDefault="00D71CDE" w:rsidP="00A41B70">
            <w:pPr>
              <w:spacing w:line="276" w:lineRule="auto"/>
              <w:jc w:val="center"/>
            </w:pPr>
            <w:r>
              <w:rPr>
                <w:rFonts w:eastAsia="Times New Roman"/>
                <w:sz w:val="20"/>
                <w:szCs w:val="20"/>
              </w:rPr>
              <w:t>≥16</w:t>
            </w:r>
          </w:p>
        </w:tc>
      </w:tr>
      <w:tr w:rsidR="00DE7D97" w14:paraId="77976DDE" w14:textId="77777777" w:rsidTr="00A41A09">
        <w:tc>
          <w:tcPr>
            <w:tcW w:w="1276" w:type="dxa"/>
            <w:tcMar>
              <w:top w:w="80" w:type="dxa"/>
              <w:left w:w="100" w:type="dxa"/>
              <w:bottom w:w="80" w:type="dxa"/>
              <w:right w:w="100" w:type="dxa"/>
            </w:tcMar>
            <w:vAlign w:val="center"/>
          </w:tcPr>
          <w:p w14:paraId="2E6651A3" w14:textId="77777777" w:rsidR="00D71CDE" w:rsidRDefault="00D71CDE" w:rsidP="00A41B70">
            <w:pPr>
              <w:spacing w:line="276" w:lineRule="auto"/>
            </w:pPr>
            <w:r>
              <w:rPr>
                <w:rFonts w:eastAsia="Times New Roman"/>
                <w:b/>
                <w:bCs/>
                <w:sz w:val="20"/>
                <w:szCs w:val="20"/>
              </w:rPr>
              <w:t>CESD-R</w:t>
            </w:r>
          </w:p>
        </w:tc>
        <w:tc>
          <w:tcPr>
            <w:tcW w:w="1985" w:type="dxa"/>
            <w:tcMar>
              <w:top w:w="80" w:type="dxa"/>
              <w:left w:w="100" w:type="dxa"/>
              <w:bottom w:w="80" w:type="dxa"/>
              <w:right w:w="100" w:type="dxa"/>
            </w:tcMar>
            <w:vAlign w:val="center"/>
          </w:tcPr>
          <w:p w14:paraId="2656A5E5" w14:textId="77777777" w:rsidR="00D71CDE" w:rsidRDefault="00D71CDE" w:rsidP="00A41B70">
            <w:pPr>
              <w:spacing w:line="276" w:lineRule="auto"/>
            </w:pPr>
            <w:r>
              <w:rPr>
                <w:rFonts w:eastAsia="Times New Roman"/>
                <w:sz w:val="20"/>
                <w:szCs w:val="20"/>
              </w:rPr>
              <w:t>CES-D, Revised</w:t>
            </w:r>
          </w:p>
        </w:tc>
        <w:tc>
          <w:tcPr>
            <w:tcW w:w="1275" w:type="dxa"/>
            <w:tcMar>
              <w:top w:w="80" w:type="dxa"/>
              <w:left w:w="100" w:type="dxa"/>
              <w:bottom w:w="80" w:type="dxa"/>
              <w:right w:w="100" w:type="dxa"/>
            </w:tcMar>
            <w:vAlign w:val="center"/>
          </w:tcPr>
          <w:p w14:paraId="65270733" w14:textId="77777777" w:rsidR="00D71CDE" w:rsidRDefault="00D71CDE" w:rsidP="00A41B70">
            <w:pPr>
              <w:spacing w:line="276" w:lineRule="auto"/>
            </w:pPr>
            <w:r>
              <w:rPr>
                <w:rFonts w:eastAsia="Times New Roman"/>
                <w:sz w:val="20"/>
                <w:szCs w:val="20"/>
              </w:rPr>
              <w:t>Adolescents / adults</w:t>
            </w:r>
          </w:p>
        </w:tc>
        <w:tc>
          <w:tcPr>
            <w:tcW w:w="993" w:type="dxa"/>
            <w:tcMar>
              <w:top w:w="80" w:type="dxa"/>
              <w:left w:w="100" w:type="dxa"/>
              <w:bottom w:w="80" w:type="dxa"/>
              <w:right w:w="100" w:type="dxa"/>
            </w:tcMar>
            <w:vAlign w:val="center"/>
          </w:tcPr>
          <w:p w14:paraId="254C1488" w14:textId="77777777" w:rsidR="00D71CDE" w:rsidRDefault="00D71CDE" w:rsidP="00A41B70">
            <w:pPr>
              <w:spacing w:line="276" w:lineRule="auto"/>
              <w:jc w:val="center"/>
            </w:pPr>
            <w:r>
              <w:rPr>
                <w:rFonts w:eastAsia="Times New Roman"/>
                <w:sz w:val="20"/>
                <w:szCs w:val="20"/>
              </w:rPr>
              <w:t>0–60</w:t>
            </w:r>
          </w:p>
        </w:tc>
        <w:tc>
          <w:tcPr>
            <w:tcW w:w="732" w:type="dxa"/>
            <w:tcMar>
              <w:top w:w="80" w:type="dxa"/>
              <w:left w:w="100" w:type="dxa"/>
              <w:bottom w:w="80" w:type="dxa"/>
              <w:right w:w="100" w:type="dxa"/>
            </w:tcMar>
            <w:vAlign w:val="center"/>
          </w:tcPr>
          <w:p w14:paraId="72BC798C"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438FEF63"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03DF88CD"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318FE02A" w14:textId="77777777" w:rsidR="00D71CDE" w:rsidRDefault="00D71CDE" w:rsidP="00A41B70">
            <w:pPr>
              <w:spacing w:line="276" w:lineRule="auto"/>
              <w:jc w:val="center"/>
            </w:pPr>
            <w:r>
              <w:rPr>
                <w:rFonts w:eastAsia="Times New Roman"/>
                <w:sz w:val="20"/>
                <w:szCs w:val="20"/>
              </w:rPr>
              <w:t>≥16</w:t>
            </w:r>
          </w:p>
        </w:tc>
      </w:tr>
      <w:tr w:rsidR="00DE7D97" w14:paraId="406E45BF" w14:textId="77777777" w:rsidTr="00A41A09">
        <w:tc>
          <w:tcPr>
            <w:tcW w:w="1276" w:type="dxa"/>
            <w:tcMar>
              <w:top w:w="80" w:type="dxa"/>
              <w:left w:w="100" w:type="dxa"/>
              <w:bottom w:w="80" w:type="dxa"/>
              <w:right w:w="100" w:type="dxa"/>
            </w:tcMar>
            <w:vAlign w:val="center"/>
          </w:tcPr>
          <w:p w14:paraId="075EC9D9" w14:textId="77777777" w:rsidR="00D71CDE" w:rsidRDefault="00D71CDE" w:rsidP="00A41B70">
            <w:pPr>
              <w:spacing w:line="276" w:lineRule="auto"/>
            </w:pPr>
            <w:r>
              <w:rPr>
                <w:rFonts w:eastAsia="Times New Roman"/>
                <w:b/>
                <w:bCs/>
                <w:sz w:val="20"/>
                <w:szCs w:val="20"/>
              </w:rPr>
              <w:t>CDRS-R</w:t>
            </w:r>
          </w:p>
        </w:tc>
        <w:tc>
          <w:tcPr>
            <w:tcW w:w="1985" w:type="dxa"/>
            <w:tcMar>
              <w:top w:w="80" w:type="dxa"/>
              <w:left w:w="100" w:type="dxa"/>
              <w:bottom w:w="80" w:type="dxa"/>
              <w:right w:w="100" w:type="dxa"/>
            </w:tcMar>
            <w:vAlign w:val="center"/>
          </w:tcPr>
          <w:p w14:paraId="5A724865" w14:textId="77777777" w:rsidR="00D71CDE" w:rsidRDefault="00D71CDE" w:rsidP="00A41B70">
            <w:pPr>
              <w:spacing w:line="276" w:lineRule="auto"/>
            </w:pPr>
            <w:r>
              <w:rPr>
                <w:rFonts w:eastAsia="Times New Roman"/>
                <w:sz w:val="20"/>
                <w:szCs w:val="20"/>
              </w:rPr>
              <w:t>Children's Depression Rating Scale, Revised</w:t>
            </w:r>
          </w:p>
        </w:tc>
        <w:tc>
          <w:tcPr>
            <w:tcW w:w="1275" w:type="dxa"/>
            <w:tcMar>
              <w:top w:w="80" w:type="dxa"/>
              <w:left w:w="100" w:type="dxa"/>
              <w:bottom w:w="80" w:type="dxa"/>
              <w:right w:w="100" w:type="dxa"/>
            </w:tcMar>
            <w:vAlign w:val="center"/>
          </w:tcPr>
          <w:p w14:paraId="6D503E3A" w14:textId="77777777" w:rsidR="00D71CDE" w:rsidRDefault="00D71CDE" w:rsidP="00A41B70">
            <w:pPr>
              <w:spacing w:line="276" w:lineRule="auto"/>
            </w:pPr>
            <w:r>
              <w:rPr>
                <w:rFonts w:eastAsia="Times New Roman"/>
                <w:sz w:val="20"/>
                <w:szCs w:val="20"/>
              </w:rPr>
              <w:t>Ages 6–17</w:t>
            </w:r>
          </w:p>
        </w:tc>
        <w:tc>
          <w:tcPr>
            <w:tcW w:w="993" w:type="dxa"/>
            <w:tcMar>
              <w:top w:w="80" w:type="dxa"/>
              <w:left w:w="100" w:type="dxa"/>
              <w:bottom w:w="80" w:type="dxa"/>
              <w:right w:w="100" w:type="dxa"/>
            </w:tcMar>
            <w:vAlign w:val="center"/>
          </w:tcPr>
          <w:p w14:paraId="3A703AB8" w14:textId="77777777" w:rsidR="00D71CDE" w:rsidRDefault="00D71CDE" w:rsidP="00A41B70">
            <w:pPr>
              <w:spacing w:line="276" w:lineRule="auto"/>
              <w:jc w:val="center"/>
            </w:pPr>
            <w:r>
              <w:rPr>
                <w:rFonts w:eastAsia="Times New Roman"/>
                <w:sz w:val="20"/>
                <w:szCs w:val="20"/>
              </w:rPr>
              <w:t>17–113</w:t>
            </w:r>
          </w:p>
        </w:tc>
        <w:tc>
          <w:tcPr>
            <w:tcW w:w="732" w:type="dxa"/>
            <w:tcMar>
              <w:top w:w="80" w:type="dxa"/>
              <w:left w:w="100" w:type="dxa"/>
              <w:bottom w:w="80" w:type="dxa"/>
              <w:right w:w="100" w:type="dxa"/>
            </w:tcMar>
            <w:vAlign w:val="center"/>
          </w:tcPr>
          <w:p w14:paraId="7E898439"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7CA287AC"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023BD330"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4C219C19" w14:textId="77777777" w:rsidR="00D71CDE" w:rsidRDefault="00D71CDE" w:rsidP="00A41B70">
            <w:pPr>
              <w:spacing w:line="276" w:lineRule="auto"/>
              <w:jc w:val="center"/>
            </w:pPr>
            <w:r>
              <w:rPr>
                <w:rFonts w:eastAsia="Times New Roman"/>
                <w:sz w:val="20"/>
                <w:szCs w:val="20"/>
              </w:rPr>
              <w:t>≥40 (clinician-rated)</w:t>
            </w:r>
          </w:p>
        </w:tc>
      </w:tr>
      <w:tr w:rsidR="00DE7D97" w14:paraId="18805072" w14:textId="77777777" w:rsidTr="00A41A09">
        <w:tc>
          <w:tcPr>
            <w:tcW w:w="1276" w:type="dxa"/>
            <w:tcMar>
              <w:top w:w="80" w:type="dxa"/>
              <w:left w:w="100" w:type="dxa"/>
              <w:bottom w:w="80" w:type="dxa"/>
              <w:right w:w="100" w:type="dxa"/>
            </w:tcMar>
            <w:vAlign w:val="center"/>
          </w:tcPr>
          <w:p w14:paraId="617698FC" w14:textId="77777777" w:rsidR="00D71CDE" w:rsidRDefault="00D71CDE" w:rsidP="00A41B70">
            <w:pPr>
              <w:spacing w:line="276" w:lineRule="auto"/>
            </w:pPr>
            <w:r>
              <w:rPr>
                <w:rFonts w:eastAsia="Times New Roman"/>
                <w:b/>
                <w:bCs/>
                <w:sz w:val="20"/>
                <w:szCs w:val="20"/>
              </w:rPr>
              <w:lastRenderedPageBreak/>
              <w:t>MFQ</w:t>
            </w:r>
          </w:p>
        </w:tc>
        <w:tc>
          <w:tcPr>
            <w:tcW w:w="1985" w:type="dxa"/>
            <w:tcMar>
              <w:top w:w="80" w:type="dxa"/>
              <w:left w:w="100" w:type="dxa"/>
              <w:bottom w:w="80" w:type="dxa"/>
              <w:right w:w="100" w:type="dxa"/>
            </w:tcMar>
            <w:vAlign w:val="center"/>
          </w:tcPr>
          <w:p w14:paraId="1DD7EB44" w14:textId="77777777" w:rsidR="00D71CDE" w:rsidRDefault="00D71CDE" w:rsidP="00A41B70">
            <w:pPr>
              <w:spacing w:line="276" w:lineRule="auto"/>
            </w:pPr>
            <w:r>
              <w:rPr>
                <w:rFonts w:eastAsia="Times New Roman"/>
                <w:sz w:val="20"/>
                <w:szCs w:val="20"/>
              </w:rPr>
              <w:t>Mood and Feelings Questionnaire (long form)</w:t>
            </w:r>
          </w:p>
        </w:tc>
        <w:tc>
          <w:tcPr>
            <w:tcW w:w="1275" w:type="dxa"/>
            <w:tcMar>
              <w:top w:w="80" w:type="dxa"/>
              <w:left w:w="100" w:type="dxa"/>
              <w:bottom w:w="80" w:type="dxa"/>
              <w:right w:w="100" w:type="dxa"/>
            </w:tcMar>
            <w:vAlign w:val="center"/>
          </w:tcPr>
          <w:p w14:paraId="7F6962DF" w14:textId="669267FF" w:rsidR="00D71CDE" w:rsidRPr="00874DC1" w:rsidRDefault="00D71CDE" w:rsidP="00A41B70">
            <w:pPr>
              <w:spacing w:line="276" w:lineRule="auto"/>
            </w:pPr>
            <w:r>
              <w:rPr>
                <w:rFonts w:eastAsia="Times New Roman"/>
                <w:sz w:val="20"/>
                <w:szCs w:val="20"/>
              </w:rPr>
              <w:t>Ages 6–1</w:t>
            </w:r>
            <w:r w:rsidR="00874DC1">
              <w:rPr>
                <w:rFonts w:hint="eastAsia"/>
                <w:sz w:val="20"/>
                <w:szCs w:val="20"/>
              </w:rPr>
              <w:t>9</w:t>
            </w:r>
          </w:p>
        </w:tc>
        <w:tc>
          <w:tcPr>
            <w:tcW w:w="993" w:type="dxa"/>
            <w:tcMar>
              <w:top w:w="80" w:type="dxa"/>
              <w:left w:w="100" w:type="dxa"/>
              <w:bottom w:w="80" w:type="dxa"/>
              <w:right w:w="100" w:type="dxa"/>
            </w:tcMar>
            <w:vAlign w:val="center"/>
          </w:tcPr>
          <w:p w14:paraId="0902F6AE" w14:textId="77777777" w:rsidR="00D71CDE" w:rsidRDefault="00D71CDE" w:rsidP="00A41B70">
            <w:pPr>
              <w:spacing w:line="276" w:lineRule="auto"/>
              <w:jc w:val="center"/>
            </w:pPr>
            <w:r>
              <w:rPr>
                <w:rFonts w:eastAsia="Times New Roman"/>
                <w:sz w:val="20"/>
                <w:szCs w:val="20"/>
              </w:rPr>
              <w:t>0–66</w:t>
            </w:r>
          </w:p>
        </w:tc>
        <w:tc>
          <w:tcPr>
            <w:tcW w:w="732" w:type="dxa"/>
            <w:tcMar>
              <w:top w:w="80" w:type="dxa"/>
              <w:left w:w="100" w:type="dxa"/>
              <w:bottom w:w="80" w:type="dxa"/>
              <w:right w:w="100" w:type="dxa"/>
            </w:tcMar>
            <w:vAlign w:val="center"/>
          </w:tcPr>
          <w:p w14:paraId="51BE39D1"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09BCE125"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2E15F03B"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1AADCC38" w14:textId="77777777" w:rsidR="00D71CDE" w:rsidRDefault="00D71CDE" w:rsidP="00A41B70">
            <w:pPr>
              <w:spacing w:line="276" w:lineRule="auto"/>
              <w:jc w:val="center"/>
            </w:pPr>
            <w:r>
              <w:rPr>
                <w:rFonts w:eastAsia="Times New Roman"/>
                <w:sz w:val="20"/>
                <w:szCs w:val="20"/>
              </w:rPr>
              <w:t>≥27</w:t>
            </w:r>
          </w:p>
        </w:tc>
      </w:tr>
      <w:tr w:rsidR="00DE7D97" w14:paraId="1F71E388" w14:textId="77777777" w:rsidTr="00A41A09">
        <w:tc>
          <w:tcPr>
            <w:tcW w:w="1276" w:type="dxa"/>
            <w:tcMar>
              <w:top w:w="80" w:type="dxa"/>
              <w:left w:w="100" w:type="dxa"/>
              <w:bottom w:w="80" w:type="dxa"/>
              <w:right w:w="100" w:type="dxa"/>
            </w:tcMar>
            <w:vAlign w:val="center"/>
          </w:tcPr>
          <w:p w14:paraId="2DB2440C" w14:textId="77777777" w:rsidR="00D71CDE" w:rsidRDefault="00D71CDE" w:rsidP="00A41B70">
            <w:pPr>
              <w:spacing w:line="276" w:lineRule="auto"/>
            </w:pPr>
            <w:r>
              <w:rPr>
                <w:rFonts w:eastAsia="Times New Roman"/>
                <w:b/>
                <w:bCs/>
                <w:sz w:val="20"/>
                <w:szCs w:val="20"/>
              </w:rPr>
              <w:t>RADS-2</w:t>
            </w:r>
          </w:p>
        </w:tc>
        <w:tc>
          <w:tcPr>
            <w:tcW w:w="1985" w:type="dxa"/>
            <w:tcMar>
              <w:top w:w="80" w:type="dxa"/>
              <w:left w:w="100" w:type="dxa"/>
              <w:bottom w:w="80" w:type="dxa"/>
              <w:right w:w="100" w:type="dxa"/>
            </w:tcMar>
            <w:vAlign w:val="center"/>
          </w:tcPr>
          <w:p w14:paraId="2AE946A5" w14:textId="77777777" w:rsidR="00D71CDE" w:rsidRDefault="00D71CDE" w:rsidP="00A41B70">
            <w:pPr>
              <w:spacing w:line="276" w:lineRule="auto"/>
            </w:pPr>
            <w:r>
              <w:rPr>
                <w:rFonts w:eastAsia="Times New Roman"/>
                <w:sz w:val="20"/>
                <w:szCs w:val="20"/>
              </w:rPr>
              <w:t>Reynolds Adolescent Depression Scale, 2nd ed.</w:t>
            </w:r>
          </w:p>
        </w:tc>
        <w:tc>
          <w:tcPr>
            <w:tcW w:w="1275" w:type="dxa"/>
            <w:tcMar>
              <w:top w:w="80" w:type="dxa"/>
              <w:left w:w="100" w:type="dxa"/>
              <w:bottom w:w="80" w:type="dxa"/>
              <w:right w:w="100" w:type="dxa"/>
            </w:tcMar>
            <w:vAlign w:val="center"/>
          </w:tcPr>
          <w:p w14:paraId="5247E9F4" w14:textId="77777777" w:rsidR="00D71CDE" w:rsidRDefault="00D71CDE" w:rsidP="00A41B70">
            <w:pPr>
              <w:spacing w:line="276" w:lineRule="auto"/>
            </w:pPr>
            <w:r>
              <w:rPr>
                <w:rFonts w:eastAsia="Times New Roman"/>
                <w:sz w:val="20"/>
                <w:szCs w:val="20"/>
              </w:rPr>
              <w:t>Ages 11–20</w:t>
            </w:r>
          </w:p>
        </w:tc>
        <w:tc>
          <w:tcPr>
            <w:tcW w:w="993" w:type="dxa"/>
            <w:tcMar>
              <w:top w:w="80" w:type="dxa"/>
              <w:left w:w="100" w:type="dxa"/>
              <w:bottom w:w="80" w:type="dxa"/>
              <w:right w:w="100" w:type="dxa"/>
            </w:tcMar>
            <w:vAlign w:val="center"/>
          </w:tcPr>
          <w:p w14:paraId="2BE71075" w14:textId="77777777" w:rsidR="00D71CDE" w:rsidRDefault="00D71CDE" w:rsidP="00A41B70">
            <w:pPr>
              <w:spacing w:line="276" w:lineRule="auto"/>
              <w:jc w:val="center"/>
            </w:pPr>
            <w:r>
              <w:rPr>
                <w:rFonts w:eastAsia="Times New Roman"/>
                <w:sz w:val="20"/>
                <w:szCs w:val="20"/>
              </w:rPr>
              <w:t>30–120</w:t>
            </w:r>
          </w:p>
        </w:tc>
        <w:tc>
          <w:tcPr>
            <w:tcW w:w="732" w:type="dxa"/>
            <w:tcMar>
              <w:top w:w="80" w:type="dxa"/>
              <w:left w:w="100" w:type="dxa"/>
              <w:bottom w:w="80" w:type="dxa"/>
              <w:right w:w="100" w:type="dxa"/>
            </w:tcMar>
            <w:vAlign w:val="center"/>
          </w:tcPr>
          <w:p w14:paraId="5A6F11AC"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7205E406"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6709B3A3"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7A3D5EFC" w14:textId="77777777" w:rsidR="00D71CDE" w:rsidRDefault="00D71CDE" w:rsidP="00A41B70">
            <w:pPr>
              <w:spacing w:line="276" w:lineRule="auto"/>
              <w:jc w:val="center"/>
            </w:pPr>
            <w:r>
              <w:rPr>
                <w:rFonts w:eastAsia="Times New Roman"/>
                <w:sz w:val="20"/>
                <w:szCs w:val="20"/>
              </w:rPr>
              <w:t>≥76 (T-score ≥61)</w:t>
            </w:r>
          </w:p>
        </w:tc>
      </w:tr>
      <w:tr w:rsidR="00B17069" w14:paraId="40FDCC5C" w14:textId="77777777" w:rsidTr="00A41A09">
        <w:tc>
          <w:tcPr>
            <w:tcW w:w="1276" w:type="dxa"/>
            <w:tcMar>
              <w:top w:w="80" w:type="dxa"/>
              <w:left w:w="100" w:type="dxa"/>
              <w:bottom w:w="80" w:type="dxa"/>
              <w:right w:w="100" w:type="dxa"/>
            </w:tcMar>
            <w:vAlign w:val="center"/>
          </w:tcPr>
          <w:p w14:paraId="0D46FCC9" w14:textId="259992F9" w:rsidR="00B17069" w:rsidRPr="00B17069" w:rsidRDefault="00B17069" w:rsidP="00A41B70">
            <w:pPr>
              <w:spacing w:line="276" w:lineRule="auto"/>
              <w:rPr>
                <w:b/>
                <w:bCs/>
                <w:sz w:val="20"/>
                <w:szCs w:val="20"/>
              </w:rPr>
            </w:pPr>
            <w:r>
              <w:rPr>
                <w:rFonts w:hint="eastAsia"/>
                <w:b/>
                <w:bCs/>
                <w:sz w:val="20"/>
                <w:szCs w:val="20"/>
              </w:rPr>
              <w:t>HRSD/HDRS/HAM-D</w:t>
            </w:r>
          </w:p>
        </w:tc>
        <w:tc>
          <w:tcPr>
            <w:tcW w:w="1985" w:type="dxa"/>
            <w:tcMar>
              <w:top w:w="80" w:type="dxa"/>
              <w:left w:w="100" w:type="dxa"/>
              <w:bottom w:w="80" w:type="dxa"/>
              <w:right w:w="100" w:type="dxa"/>
            </w:tcMar>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96"/>
            </w:tblGrid>
            <w:tr w:rsidR="00B17069" w:rsidRPr="00B17069" w14:paraId="21054DDA" w14:textId="77777777" w:rsidTr="00DE7D97">
              <w:trPr>
                <w:tblCellSpacing w:w="15" w:type="dxa"/>
              </w:trPr>
              <w:tc>
                <w:tcPr>
                  <w:tcW w:w="0" w:type="auto"/>
                  <w:vAlign w:val="center"/>
                  <w:hideMark/>
                </w:tcPr>
                <w:p w14:paraId="1BE0FAE1" w14:textId="77777777" w:rsidR="00B17069" w:rsidRPr="00B17069" w:rsidRDefault="00B17069" w:rsidP="00B17069">
                  <w:pPr>
                    <w:spacing w:line="276" w:lineRule="auto"/>
                    <w:rPr>
                      <w:rFonts w:eastAsia="Times New Roman"/>
                      <w:sz w:val="20"/>
                      <w:szCs w:val="20"/>
                    </w:rPr>
                  </w:pPr>
                </w:p>
              </w:tc>
            </w:tr>
          </w:tbl>
          <w:p w14:paraId="63885BF1" w14:textId="77777777" w:rsidR="00B17069" w:rsidRPr="00B17069" w:rsidRDefault="00B17069" w:rsidP="00B17069">
            <w:pPr>
              <w:spacing w:line="276" w:lineRule="auto"/>
              <w:rPr>
                <w:rFonts w:eastAsia="Times New Roman"/>
                <w:vanish/>
                <w:sz w:val="20"/>
                <w:szCs w:val="20"/>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785"/>
            </w:tblGrid>
            <w:tr w:rsidR="00B17069" w:rsidRPr="00B17069" w14:paraId="779CF2AF" w14:textId="77777777" w:rsidTr="00DE7D97">
              <w:trPr>
                <w:tblCellSpacing w:w="15" w:type="dxa"/>
              </w:trPr>
              <w:tc>
                <w:tcPr>
                  <w:tcW w:w="0" w:type="auto"/>
                  <w:vAlign w:val="center"/>
                  <w:hideMark/>
                </w:tcPr>
                <w:p w14:paraId="013C0BCA" w14:textId="77777777" w:rsidR="00B17069" w:rsidRPr="00B17069" w:rsidRDefault="00B17069" w:rsidP="00B17069">
                  <w:pPr>
                    <w:spacing w:line="276" w:lineRule="auto"/>
                    <w:rPr>
                      <w:rFonts w:eastAsia="Times New Roman"/>
                      <w:sz w:val="20"/>
                      <w:szCs w:val="20"/>
                    </w:rPr>
                  </w:pPr>
                  <w:r w:rsidRPr="00B17069">
                    <w:rPr>
                      <w:rFonts w:eastAsia="Times New Roman"/>
                      <w:sz w:val="20"/>
                      <w:szCs w:val="20"/>
                    </w:rPr>
                    <w:t>Hamilton Rating Scale for Depression / Hamilton Depression Rating Scale</w:t>
                  </w:r>
                </w:p>
              </w:tc>
            </w:tr>
          </w:tbl>
          <w:p w14:paraId="775C5341" w14:textId="77777777" w:rsidR="00B17069" w:rsidRDefault="00B17069" w:rsidP="00A41B70">
            <w:pPr>
              <w:spacing w:line="276" w:lineRule="auto"/>
              <w:rPr>
                <w:rFonts w:eastAsia="Times New Roman"/>
                <w:sz w:val="20"/>
                <w:szCs w:val="20"/>
              </w:rPr>
            </w:pPr>
          </w:p>
        </w:tc>
        <w:tc>
          <w:tcPr>
            <w:tcW w:w="1275" w:type="dxa"/>
            <w:tcMar>
              <w:top w:w="80" w:type="dxa"/>
              <w:left w:w="100" w:type="dxa"/>
              <w:bottom w:w="80" w:type="dxa"/>
              <w:right w:w="100" w:type="dxa"/>
            </w:tcMar>
            <w:vAlign w:val="center"/>
          </w:tcPr>
          <w:p w14:paraId="2BF2D336" w14:textId="2CF5740B" w:rsidR="00B17069" w:rsidRDefault="00B17069" w:rsidP="00A41B70">
            <w:pPr>
              <w:spacing w:line="276" w:lineRule="auto"/>
              <w:rPr>
                <w:rFonts w:eastAsia="Times New Roman"/>
                <w:sz w:val="20"/>
                <w:szCs w:val="20"/>
              </w:rPr>
            </w:pPr>
            <w:r w:rsidRPr="00B17069">
              <w:rPr>
                <w:rFonts w:eastAsia="Times New Roman"/>
                <w:sz w:val="20"/>
                <w:szCs w:val="20"/>
              </w:rPr>
              <w:t>Primarily adults; also used in adolescents</w:t>
            </w:r>
          </w:p>
        </w:tc>
        <w:tc>
          <w:tcPr>
            <w:tcW w:w="993" w:type="dxa"/>
            <w:tcMar>
              <w:top w:w="80" w:type="dxa"/>
              <w:left w:w="100" w:type="dxa"/>
              <w:bottom w:w="80" w:type="dxa"/>
              <w:right w:w="100" w:type="dxa"/>
            </w:tcMar>
            <w:vAlign w:val="center"/>
          </w:tcPr>
          <w:p w14:paraId="1D9D75FE" w14:textId="36517422" w:rsidR="00B17069" w:rsidRDefault="002C38AB" w:rsidP="00A41B70">
            <w:pPr>
              <w:spacing w:line="276" w:lineRule="auto"/>
              <w:jc w:val="center"/>
              <w:rPr>
                <w:rFonts w:eastAsia="Times New Roman"/>
                <w:sz w:val="20"/>
                <w:szCs w:val="20"/>
              </w:rPr>
            </w:pPr>
            <w:r w:rsidRPr="002C38AB">
              <w:rPr>
                <w:rFonts w:eastAsia="Times New Roman"/>
                <w:sz w:val="20"/>
                <w:szCs w:val="20"/>
              </w:rPr>
              <w:t>Usually 0–52 for the 17-item version; varies by version</w:t>
            </w:r>
          </w:p>
        </w:tc>
        <w:tc>
          <w:tcPr>
            <w:tcW w:w="732" w:type="dxa"/>
            <w:tcMar>
              <w:top w:w="80" w:type="dxa"/>
              <w:left w:w="100" w:type="dxa"/>
              <w:bottom w:w="80" w:type="dxa"/>
              <w:right w:w="100" w:type="dxa"/>
            </w:tcMar>
            <w:vAlign w:val="center"/>
          </w:tcPr>
          <w:p w14:paraId="179A51A4" w14:textId="77777777" w:rsidR="002C38AB" w:rsidRDefault="002C38AB" w:rsidP="002C38AB">
            <w:pPr>
              <w:rPr>
                <w:rFonts w:eastAsia="Times New Roman"/>
                <w:sz w:val="20"/>
                <w:szCs w:val="20"/>
              </w:rPr>
            </w:pPr>
          </w:p>
          <w:p w14:paraId="652B8DFB" w14:textId="56B8F4AF" w:rsidR="002C38AB" w:rsidRDefault="002C38AB" w:rsidP="002C38AB">
            <w:pPr>
              <w:rPr>
                <w:rFonts w:eastAsia="Times New Roman"/>
                <w:sz w:val="20"/>
                <w:szCs w:val="20"/>
              </w:rPr>
            </w:pPr>
            <w:r w:rsidRPr="002C38AB">
              <w:rPr>
                <w:rFonts w:eastAsia="Times New Roman"/>
                <w:sz w:val="20"/>
                <w:szCs w:val="20"/>
              </w:rPr>
              <w:t>8–16</w:t>
            </w:r>
          </w:p>
          <w:p w14:paraId="3CC44DAB" w14:textId="77777777" w:rsidR="002C38AB" w:rsidRPr="002C38AB" w:rsidRDefault="002C38AB" w:rsidP="002C38AB">
            <w:pPr>
              <w:rPr>
                <w:rFonts w:eastAsia="Times New Roman"/>
                <w:sz w:val="20"/>
                <w:szCs w:val="20"/>
              </w:rPr>
            </w:pPr>
          </w:p>
        </w:tc>
        <w:tc>
          <w:tcPr>
            <w:tcW w:w="1033" w:type="dxa"/>
            <w:tcMar>
              <w:top w:w="80" w:type="dxa"/>
              <w:left w:w="100" w:type="dxa"/>
              <w:bottom w:w="80" w:type="dxa"/>
              <w:right w:w="100" w:type="dxa"/>
            </w:tcMar>
            <w:vAlign w:val="center"/>
          </w:tcPr>
          <w:p w14:paraId="51E45C08" w14:textId="1BFCC4A3" w:rsidR="00B17069" w:rsidRDefault="002C38AB" w:rsidP="00A41B70">
            <w:pPr>
              <w:spacing w:line="276" w:lineRule="auto"/>
              <w:jc w:val="center"/>
              <w:rPr>
                <w:rFonts w:eastAsia="Times New Roman"/>
                <w:sz w:val="20"/>
                <w:szCs w:val="20"/>
              </w:rPr>
            </w:pPr>
            <w:r w:rsidRPr="002C38AB">
              <w:rPr>
                <w:rFonts w:eastAsia="Times New Roman"/>
                <w:sz w:val="20"/>
                <w:szCs w:val="20"/>
              </w:rPr>
              <w:t>17–23</w:t>
            </w:r>
          </w:p>
        </w:tc>
        <w:tc>
          <w:tcPr>
            <w:tcW w:w="788" w:type="dxa"/>
            <w:tcMar>
              <w:top w:w="80" w:type="dxa"/>
              <w:left w:w="100" w:type="dxa"/>
              <w:bottom w:w="80" w:type="dxa"/>
              <w:right w:w="100" w:type="dxa"/>
            </w:tcMar>
            <w:vAlign w:val="center"/>
          </w:tcPr>
          <w:p w14:paraId="40AB809D" w14:textId="01097F8F" w:rsidR="00B17069" w:rsidRDefault="002C38AB" w:rsidP="00A41B70">
            <w:pPr>
              <w:spacing w:line="276" w:lineRule="auto"/>
              <w:jc w:val="center"/>
              <w:rPr>
                <w:rFonts w:eastAsia="Times New Roman"/>
                <w:sz w:val="20"/>
                <w:szCs w:val="20"/>
              </w:rPr>
            </w:pPr>
            <w:r w:rsidRPr="002C38AB">
              <w:rPr>
                <w:rFonts w:eastAsia="Times New Roman"/>
                <w:sz w:val="20"/>
                <w:szCs w:val="20"/>
              </w:rPr>
              <w:t>≥24</w:t>
            </w:r>
          </w:p>
        </w:tc>
        <w:tc>
          <w:tcPr>
            <w:tcW w:w="1278" w:type="dxa"/>
            <w:tcMar>
              <w:top w:w="80" w:type="dxa"/>
              <w:left w:w="100" w:type="dxa"/>
              <w:bottom w:w="80" w:type="dxa"/>
              <w:right w:w="100" w:type="dxa"/>
            </w:tcMar>
            <w:vAlign w:val="center"/>
          </w:tcPr>
          <w:p w14:paraId="0E71DB7C" w14:textId="6A727E75" w:rsidR="00B17069" w:rsidRDefault="00B17069" w:rsidP="00A41B70">
            <w:pPr>
              <w:spacing w:line="276" w:lineRule="auto"/>
              <w:jc w:val="center"/>
              <w:rPr>
                <w:rFonts w:eastAsia="Times New Roman"/>
                <w:sz w:val="20"/>
                <w:szCs w:val="20"/>
              </w:rPr>
            </w:pPr>
            <w:r w:rsidRPr="00B17069">
              <w:rPr>
                <w:rFonts w:eastAsia="Times New Roman"/>
                <w:sz w:val="20"/>
                <w:szCs w:val="20"/>
              </w:rPr>
              <w:t>≥8 or ≥10, depending on version/study</w:t>
            </w:r>
          </w:p>
        </w:tc>
      </w:tr>
    </w:tbl>
    <w:p w14:paraId="406DC7E6" w14:textId="15D02E8B" w:rsidR="00D71CDE" w:rsidRDefault="0089197B" w:rsidP="00BA6731">
      <w:pPr>
        <w:spacing w:before="60" w:after="180" w:line="276" w:lineRule="auto"/>
        <w:rPr>
          <w:sz w:val="20"/>
          <w:szCs w:val="20"/>
        </w:rPr>
      </w:pPr>
      <w:r w:rsidRPr="0089197B">
        <w:rPr>
          <w:rFonts w:eastAsia="Times New Roman"/>
          <w:i/>
          <w:iCs/>
          <w:sz w:val="20"/>
          <w:szCs w:val="20"/>
        </w:rPr>
        <w:t>Note</w:t>
      </w:r>
      <w:r w:rsidRPr="0089197B">
        <w:rPr>
          <w:rFonts w:eastAsia="Times New Roman"/>
          <w:sz w:val="20"/>
          <w:szCs w:val="20"/>
        </w:rPr>
        <w:t xml:space="preserve">. </w:t>
      </w:r>
      <w:r w:rsidR="00874DC1" w:rsidRPr="00874DC1">
        <w:rPr>
          <w:rFonts w:eastAsia="Times New Roman"/>
          <w:sz w:val="20"/>
          <w:szCs w:val="20"/>
        </w:rPr>
        <w:t>Score ranges, severity categories, and clinical cutoffs were derived from the original scale publications, assessment manuals, and established validation studies. Scoring criteria were based on the following sources: PHQ-9 (Kroenke et al., 2001); PHQ-A (Johnson et al., 2002); BDI-II (Beck et al., 1996); CDI (Kovacs, 1992); CES-D (Radloff, 1977); CESD-R (Eaton et al., 2004); CDRS-R (Poznanski &amp; Mokros, 1996); MFQ (Angold et al., 1995); RADS-2 (Reynolds, 2002); and HRSD/HAM-D (Hamilton, 1960; Zimmerman et al., 2013). In cases where individual studies employed sample-specific thresholds, the original study’s reported cutoff was utilized.</w:t>
      </w:r>
    </w:p>
    <w:p w14:paraId="17A2EACD" w14:textId="77777777" w:rsidR="00BA6731" w:rsidRPr="00BA6731" w:rsidRDefault="00BA6731" w:rsidP="00BA6731">
      <w:pPr>
        <w:spacing w:before="60" w:after="180" w:line="276" w:lineRule="auto"/>
        <w:rPr>
          <w:sz w:val="20"/>
          <w:szCs w:val="20"/>
        </w:rPr>
      </w:pPr>
    </w:p>
    <w:p w14:paraId="1494FFB2" w14:textId="6D97C82E" w:rsidR="00774AAF" w:rsidRPr="0081610B" w:rsidRDefault="000F7427" w:rsidP="00F95387">
      <w:pPr>
        <w:spacing w:after="120" w:line="360" w:lineRule="auto"/>
        <w:ind w:firstLine="360"/>
        <w:jc w:val="both"/>
        <w:rPr>
          <w:rFonts w:eastAsia="Times New Roman"/>
        </w:rPr>
      </w:pPr>
      <w:r w:rsidRPr="00BA6731">
        <w:rPr>
          <w:rFonts w:eastAsia="Times New Roman"/>
          <w:b/>
          <w:bCs/>
        </w:rPr>
        <w:t>Interventions.</w:t>
      </w:r>
      <w:r w:rsidRPr="000F7427">
        <w:rPr>
          <w:rFonts w:eastAsia="Times New Roman"/>
        </w:rPr>
        <w:t xml:space="preserve"> The experimental intervention was required to be an unguided self-help program based on cognitive behavioral therapy (CBT). "Unguided" was defined strictly in terms of the absence of therapist-delivered therapeutic content. Non-therapeutic human contact</w:t>
      </w:r>
      <w:r w:rsidR="0022279C">
        <w:rPr>
          <w:rFonts w:hint="eastAsia"/>
        </w:rPr>
        <w:t>s</w:t>
      </w:r>
      <w:r w:rsidRPr="000F7427">
        <w:rPr>
          <w:rFonts w:eastAsia="Times New Roman"/>
        </w:rPr>
        <w:t xml:space="preserve"> were instead recorded as support-level variables for subgroup analysis (see Section </w:t>
      </w:r>
      <w:r w:rsidR="00BA6731">
        <w:rPr>
          <w:rFonts w:hint="eastAsia"/>
        </w:rPr>
        <w:t>2.4</w:t>
      </w:r>
      <w:r w:rsidRPr="000F7427">
        <w:rPr>
          <w:rFonts w:eastAsia="Times New Roman"/>
        </w:rPr>
        <w:t>.3).</w:t>
      </w:r>
      <w:r w:rsidR="00F95387">
        <w:rPr>
          <w:rFonts w:hint="eastAsia"/>
        </w:rPr>
        <w:t xml:space="preserve"> </w:t>
      </w:r>
      <w:r w:rsidR="00774AAF" w:rsidRPr="0081610B">
        <w:rPr>
          <w:rFonts w:eastAsia="Times New Roman"/>
        </w:rPr>
        <w:t>The intervention was required to contain cognitive restructuring (defined as the identification, evaluation, and modification of maladaptive thoughts) together with at least one behavioral component (behavioral activation, problem-solving</w:t>
      </w:r>
      <w:r w:rsidR="00DF066C">
        <w:rPr>
          <w:rFonts w:hint="eastAsia"/>
        </w:rPr>
        <w:t xml:space="preserve">, relaxation techniques, interpersonal skills </w:t>
      </w:r>
      <w:proofErr w:type="spellStart"/>
      <w:r w:rsidR="00DF066C">
        <w:rPr>
          <w:rFonts w:hint="eastAsia"/>
        </w:rPr>
        <w:t>traing</w:t>
      </w:r>
      <w:proofErr w:type="spellEnd"/>
      <w:r w:rsidR="00774AAF" w:rsidRPr="0081610B">
        <w:rPr>
          <w:rFonts w:eastAsia="Times New Roman"/>
        </w:rPr>
        <w:t>). Component definitions followed the framework summarized in Section 2.4</w:t>
      </w:r>
      <w:r w:rsidR="007A2A3D">
        <w:rPr>
          <w:rFonts w:hint="eastAsia"/>
        </w:rPr>
        <w:t>.2</w:t>
      </w:r>
      <w:r w:rsidR="00774AAF" w:rsidRPr="0081610B">
        <w:rPr>
          <w:rFonts w:eastAsia="Times New Roman"/>
        </w:rPr>
        <w:t xml:space="preserve"> and Appendix B. Interventions delivered through </w:t>
      </w:r>
      <w:proofErr w:type="gramStart"/>
      <w:r w:rsidR="00774AAF" w:rsidRPr="0081610B">
        <w:rPr>
          <w:rFonts w:eastAsia="Times New Roman"/>
        </w:rPr>
        <w:t>artificial-intelligence</w:t>
      </w:r>
      <w:proofErr w:type="gramEnd"/>
      <w:r w:rsidR="00774AAF" w:rsidRPr="0081610B">
        <w:rPr>
          <w:rFonts w:eastAsia="Times New Roman"/>
        </w:rPr>
        <w:t xml:space="preserve"> chatbots that autonomously deliver CBT content without human therapist involvement were eligible as a form of unguided self-help.</w:t>
      </w:r>
    </w:p>
    <w:p w14:paraId="5E408A86" w14:textId="77777777" w:rsidR="000F7427" w:rsidRPr="000F7427" w:rsidRDefault="000F7427" w:rsidP="0081610B">
      <w:pPr>
        <w:spacing w:after="120" w:line="360" w:lineRule="auto"/>
        <w:ind w:firstLine="360"/>
        <w:jc w:val="both"/>
        <w:rPr>
          <w:rFonts w:eastAsia="Times New Roman"/>
        </w:rPr>
      </w:pPr>
      <w:r w:rsidRPr="0022279C">
        <w:rPr>
          <w:rFonts w:eastAsia="Times New Roman"/>
          <w:b/>
          <w:bCs/>
        </w:rPr>
        <w:t>Comparators.</w:t>
      </w:r>
      <w:r w:rsidRPr="000F7427">
        <w:rPr>
          <w:rFonts w:eastAsia="Times New Roman"/>
        </w:rPr>
        <w:t xml:space="preserve"> The comparator arm was required to be a non-active control condition. Non-active controls included waitlist, treatment-as-usual (TAU), no treatment, attention control, and information-only control. TAU was interpreted as the standard care that a participant would have received regardless of trial </w:t>
      </w:r>
      <w:proofErr w:type="gramStart"/>
      <w:r w:rsidRPr="000F7427">
        <w:rPr>
          <w:rFonts w:eastAsia="Times New Roman"/>
        </w:rPr>
        <w:t>participation, and</w:t>
      </w:r>
      <w:proofErr w:type="gramEnd"/>
      <w:r w:rsidRPr="000F7427">
        <w:rPr>
          <w:rFonts w:eastAsia="Times New Roman"/>
        </w:rPr>
        <w:t xml:space="preserve"> was therefore treated as non-active. </w:t>
      </w:r>
      <w:bookmarkStart w:id="13" w:name="OLE_LINK71"/>
      <w:r w:rsidRPr="000F7427">
        <w:rPr>
          <w:rFonts w:eastAsia="Times New Roman"/>
        </w:rPr>
        <w:t>For subgroup analysis, the comparator was further classified as passive (waitlist, TAU, no treatment) or minimally active (attention control, information-only control), reflecting evidence that the choice of comparator can substantially shape apparent effect sizes.</w:t>
      </w:r>
      <w:bookmarkEnd w:id="13"/>
    </w:p>
    <w:p w14:paraId="6D0F1769" w14:textId="2C08EBC1" w:rsidR="000F7427" w:rsidRPr="0091777B" w:rsidRDefault="000F7427" w:rsidP="0081610B">
      <w:pPr>
        <w:spacing w:after="120" w:line="360" w:lineRule="auto"/>
        <w:ind w:firstLine="360"/>
        <w:jc w:val="both"/>
      </w:pPr>
      <w:r w:rsidRPr="00324C91">
        <w:rPr>
          <w:rFonts w:eastAsia="Times New Roman"/>
          <w:b/>
          <w:bCs/>
        </w:rPr>
        <w:t xml:space="preserve">Outcomes. </w:t>
      </w:r>
      <w:r w:rsidRPr="000F7427">
        <w:rPr>
          <w:rFonts w:eastAsia="Times New Roman"/>
        </w:rPr>
        <w:t xml:space="preserve">Depressive symptoms were required to be reported as a primary outcome or as a primary treatment target. Depressive symptoms had to be measured at post-intervention using a validated self-report </w:t>
      </w:r>
      <w:r w:rsidRPr="000F7427">
        <w:rPr>
          <w:rFonts w:eastAsia="Times New Roman"/>
        </w:rPr>
        <w:lastRenderedPageBreak/>
        <w:t>or clinician-rated instrument. Studies focusing on adjacent clinical presentations, specifically suicidality, self-harm, or bereavement-related emotional difficulties, were considered eligible only when depressive symptoms were explicitly assessed and reported as a central study outcome. This criterion reflects the clinical proximity of these presentations to depression: suicidal ideation is a recognized component of depressive symptomatology, self-harm frequently co-occurs with depressive disorders, and bereavement-related presentations may overlap with or precipitate depressive episodes (Herrman et al., 2022).</w:t>
      </w:r>
      <w:r w:rsidR="0091777B">
        <w:rPr>
          <w:rFonts w:hint="eastAsia"/>
        </w:rPr>
        <w:t xml:space="preserve"> </w:t>
      </w:r>
      <w:r w:rsidR="0091777B" w:rsidRPr="000F7427">
        <w:rPr>
          <w:rFonts w:eastAsia="Times New Roman"/>
        </w:rPr>
        <w:t>Studies had to report sufficient statistical information (means, standard deviations or equivalents, and sample sizes) to permit computation of standardized mean differences.</w:t>
      </w:r>
    </w:p>
    <w:p w14:paraId="070525B9" w14:textId="77777777" w:rsidR="000C3784" w:rsidRDefault="00D450DC">
      <w:pPr>
        <w:pStyle w:val="3"/>
      </w:pPr>
      <w:r>
        <w:t>3.3.2. Additional Exclusion Conditions</w:t>
      </w:r>
    </w:p>
    <w:p w14:paraId="50F436E5" w14:textId="77777777" w:rsidR="00CF5535" w:rsidRPr="00CF5535" w:rsidRDefault="00CF5535" w:rsidP="00315DB5">
      <w:pPr>
        <w:spacing w:after="120" w:line="360" w:lineRule="auto"/>
        <w:ind w:firstLine="360"/>
        <w:jc w:val="both"/>
        <w:rPr>
          <w:rFonts w:eastAsia="Times New Roman"/>
        </w:rPr>
      </w:pPr>
      <w:r w:rsidRPr="00CF5535">
        <w:rPr>
          <w:rFonts w:eastAsia="Times New Roman"/>
        </w:rPr>
        <w:t>Even when a study satisfied the inclusion criteria above, it was excluded under the following conditions.</w:t>
      </w:r>
    </w:p>
    <w:p w14:paraId="43EAE08F" w14:textId="77777777" w:rsidR="00CF5535" w:rsidRPr="00CF5535" w:rsidRDefault="00CF5535" w:rsidP="00315DB5">
      <w:pPr>
        <w:spacing w:after="120" w:line="360" w:lineRule="auto"/>
        <w:ind w:firstLine="360"/>
        <w:jc w:val="both"/>
        <w:rPr>
          <w:rFonts w:eastAsia="Times New Roman"/>
        </w:rPr>
      </w:pPr>
      <w:bookmarkStart w:id="14" w:name="OLE_LINK72"/>
      <w:r w:rsidRPr="00315DB5">
        <w:rPr>
          <w:rFonts w:eastAsia="Times New Roman"/>
          <w:b/>
          <w:bCs/>
        </w:rPr>
        <w:t>Confounding comorbid conditions.</w:t>
      </w:r>
      <w:r w:rsidRPr="00CF5535">
        <w:rPr>
          <w:rFonts w:eastAsia="Times New Roman"/>
        </w:rPr>
        <w:t xml:space="preserve"> A study was excluded if its sample had a comorbid medical or psychiatric condition that could itself directly cause or physiologically confound changes in depressive symptoms. For example, untreated hypothyroidism was treated as confounding because normalization of thyroid function would alter depressive symptoms independently of the intervention. Studies whose samples were primarily defined by active psychotic symptoms or by a diagnosed personality disorder were also excluded, because these presentations can compromise the validity of self-report depression assessment and can interfere with the cognitive and behavioral processes required for engagement with a self-help CBT program.</w:t>
      </w:r>
    </w:p>
    <w:bookmarkEnd w:id="14"/>
    <w:p w14:paraId="24B5A0F9" w14:textId="7B73562D" w:rsidR="00CF5535" w:rsidRPr="00CF5535" w:rsidRDefault="00CF5535" w:rsidP="00315DB5">
      <w:pPr>
        <w:spacing w:after="120" w:line="360" w:lineRule="auto"/>
        <w:ind w:firstLine="360"/>
        <w:jc w:val="both"/>
        <w:rPr>
          <w:rFonts w:eastAsia="Times New Roman"/>
        </w:rPr>
      </w:pPr>
      <w:r w:rsidRPr="00315DB5">
        <w:rPr>
          <w:rFonts w:eastAsia="Times New Roman"/>
          <w:b/>
          <w:bCs/>
        </w:rPr>
        <w:t xml:space="preserve">Samples with substantially limited generalizability. </w:t>
      </w:r>
      <w:r w:rsidRPr="00CF5535">
        <w:rPr>
          <w:rFonts w:eastAsia="Times New Roman"/>
        </w:rPr>
        <w:t xml:space="preserve">Studies whose samples were drawn from populations differing substantially from the general adolescent population in ways directly relevant to self-help CBT response were excluded. For example, samples consisting exclusively of pregnant adolescents </w:t>
      </w:r>
      <w:r w:rsidR="00315DB5">
        <w:rPr>
          <w:rFonts w:hint="eastAsia"/>
        </w:rPr>
        <w:t xml:space="preserve">or college adolescents </w:t>
      </w:r>
      <w:r w:rsidRPr="00CF5535">
        <w:rPr>
          <w:rFonts w:eastAsia="Times New Roman"/>
        </w:rPr>
        <w:t>were excluded because hormonal, social, and clinical circumstances differ substantially from those of the general adolescent population, and the response to self-help CBT in such samples may not generalize.</w:t>
      </w:r>
    </w:p>
    <w:p w14:paraId="3403C86D" w14:textId="77777777" w:rsidR="00CF5535" w:rsidRPr="00CF5535" w:rsidRDefault="00CF5535" w:rsidP="00315DB5">
      <w:pPr>
        <w:spacing w:after="120" w:line="360" w:lineRule="auto"/>
        <w:ind w:firstLine="360"/>
        <w:jc w:val="both"/>
        <w:rPr>
          <w:rFonts w:eastAsia="Times New Roman"/>
        </w:rPr>
      </w:pPr>
      <w:r w:rsidRPr="00DF066C">
        <w:rPr>
          <w:rFonts w:eastAsia="Times New Roman"/>
          <w:b/>
          <w:bCs/>
        </w:rPr>
        <w:t>Pharmacotherapy components.</w:t>
      </w:r>
      <w:r w:rsidRPr="00CF5535">
        <w:rPr>
          <w:rFonts w:eastAsia="Times New Roman"/>
        </w:rPr>
        <w:t xml:space="preserve"> Studies in which the experimental arm was medication-assisted or required pharmacotherapy as a treatment component were excluded, because the effect of the CBT component cannot be isolated from the effect of medication.</w:t>
      </w:r>
    </w:p>
    <w:p w14:paraId="102CD019" w14:textId="0ABFD892" w:rsidR="00CF5535" w:rsidRPr="00C127A3" w:rsidRDefault="00CF5535" w:rsidP="00315DB5">
      <w:pPr>
        <w:spacing w:after="120" w:line="360" w:lineRule="auto"/>
        <w:ind w:firstLine="360"/>
        <w:jc w:val="both"/>
      </w:pPr>
      <w:r w:rsidRPr="00DF066C">
        <w:rPr>
          <w:rFonts w:eastAsia="Times New Roman"/>
          <w:b/>
          <w:bCs/>
        </w:rPr>
        <w:t xml:space="preserve">Theoretical framework mismatch. </w:t>
      </w:r>
      <w:r w:rsidRPr="00CF5535">
        <w:rPr>
          <w:rFonts w:eastAsia="Times New Roman"/>
        </w:rPr>
        <w:t>Studies whose interventions shared surface-level features with CBT but were grounded in a fundamentally different theoretical framework were excluded. Examples include Acceptance and Commitment Therapy</w:t>
      </w:r>
      <w:r w:rsidR="000D3B7B">
        <w:rPr>
          <w:rFonts w:hint="eastAsia"/>
        </w:rPr>
        <w:t xml:space="preserve"> and </w:t>
      </w:r>
      <w:r w:rsidRPr="00CF5535">
        <w:rPr>
          <w:rFonts w:eastAsia="Times New Roman"/>
        </w:rPr>
        <w:t>Mindfulness-Based Cognitive Therapy</w:t>
      </w:r>
      <w:r w:rsidR="00C127A3">
        <w:rPr>
          <w:rFonts w:hint="eastAsia"/>
        </w:rPr>
        <w:t xml:space="preserve">, whose principles are rooted in accepting thoughts in </w:t>
      </w:r>
      <w:proofErr w:type="spellStart"/>
      <w:r w:rsidR="00C127A3" w:rsidRPr="00C127A3">
        <w:t>non‐judgemental</w:t>
      </w:r>
      <w:proofErr w:type="spellEnd"/>
      <w:r w:rsidR="00C127A3">
        <w:rPr>
          <w:rFonts w:hint="eastAsia"/>
        </w:rPr>
        <w:t xml:space="preserve"> manner, were excluded.</w:t>
      </w:r>
    </w:p>
    <w:p w14:paraId="681030CB" w14:textId="77777777" w:rsidR="000C3784" w:rsidRDefault="00D450DC">
      <w:pPr>
        <w:pStyle w:val="2"/>
      </w:pPr>
      <w:r>
        <w:lastRenderedPageBreak/>
        <w:t>3.4. Study Selection</w:t>
      </w:r>
    </w:p>
    <w:p w14:paraId="58195B92" w14:textId="7FFD20A7" w:rsidR="0024335A" w:rsidRDefault="0024335A" w:rsidP="0024335A">
      <w:pPr>
        <w:spacing w:after="120" w:line="360" w:lineRule="auto"/>
        <w:ind w:firstLine="360"/>
        <w:jc w:val="both"/>
      </w:pPr>
      <w:bookmarkStart w:id="15" w:name="OLE_LINK73"/>
      <w:r w:rsidRPr="0024335A">
        <w:t xml:space="preserve">Data were extracted into a standardized workbook of three linked sheets. </w:t>
      </w:r>
      <w:proofErr w:type="spellStart"/>
      <w:r w:rsidRPr="0024335A">
        <w:t>Study_Info</w:t>
      </w:r>
      <w:proofErr w:type="spellEnd"/>
      <w:r w:rsidRPr="0024335A">
        <w:t xml:space="preserve"> held study-level characteristics, </w:t>
      </w:r>
      <w:proofErr w:type="spellStart"/>
      <w:r w:rsidRPr="0024335A">
        <w:t>Outcome_Data</w:t>
      </w:r>
      <w:proofErr w:type="spellEnd"/>
      <w:r w:rsidRPr="0024335A">
        <w:t xml:space="preserve"> held effect-size inputs at each timepoint, and </w:t>
      </w:r>
      <w:proofErr w:type="gramStart"/>
      <w:r w:rsidRPr="0024335A">
        <w:t>RoB</w:t>
      </w:r>
      <w:proofErr w:type="gramEnd"/>
      <w:r w:rsidRPr="0024335A">
        <w:t>_2.0 held the risk-of-bias judgments. Each field was either transcribed directly from the primary report or assigned by reviewer coding. Table 3.X lists the extracted fields, their source sheet, and the extraction approach.</w:t>
      </w:r>
    </w:p>
    <w:p w14:paraId="62D3D866" w14:textId="77777777" w:rsidR="000C3784" w:rsidRDefault="00D450DC">
      <w:pPr>
        <w:pStyle w:val="2"/>
      </w:pPr>
      <w:r>
        <w:t>3.5. Data Extraction</w:t>
      </w:r>
    </w:p>
    <w:p w14:paraId="78041ABB" w14:textId="77777777" w:rsidR="00753333" w:rsidRPr="00753333" w:rsidRDefault="00753333" w:rsidP="00753333">
      <w:pPr>
        <w:spacing w:after="120" w:line="360" w:lineRule="auto"/>
        <w:ind w:firstLine="360"/>
        <w:jc w:val="both"/>
      </w:pPr>
      <w:r w:rsidRPr="00753333">
        <w:t>Data were extracted into a structured workbook with separate sheets for study-level characteristics, outcome data, and risk-of-bias judgments. The extraction form was designed to support effect-size calculation, subgroup coding, sensitivity analyses, and acceptability analysis.</w:t>
      </w:r>
    </w:p>
    <w:p w14:paraId="508273B7" w14:textId="77777777" w:rsidR="00753333" w:rsidRPr="00753333" w:rsidRDefault="00753333" w:rsidP="00753333">
      <w:pPr>
        <w:spacing w:after="120" w:line="360" w:lineRule="auto"/>
        <w:ind w:firstLine="360"/>
        <w:jc w:val="both"/>
      </w:pPr>
      <w:r w:rsidRPr="00753333">
        <w:t>For each included study, study-level information was extracted, including publication details, country, study design, recruitment setting, participant age, sample size, baseline depression severity, intervention format, comparator type, and follow-up timing. Intervention characteristics were recorded at both the program level and the component level, including delivery modality, duration, intended dose where estimable, CBT components, and non-therapeutic support features.</w:t>
      </w:r>
    </w:p>
    <w:p w14:paraId="45BC7D5B" w14:textId="53A0AF32" w:rsidR="00753333" w:rsidRPr="00753333" w:rsidRDefault="00753333" w:rsidP="00753333">
      <w:pPr>
        <w:spacing w:after="120" w:line="360" w:lineRule="auto"/>
        <w:ind w:firstLine="360"/>
        <w:jc w:val="both"/>
      </w:pPr>
      <w:r w:rsidRPr="00753333">
        <w:t>Outcome data were extracted separately for each relevant time point. These included the depression measure used, analysis sample size, group means, standard deviations or equivalent variance information, and whether the reported values were endpoint scores, change scores, adjusted means, or standardized effects. When standard deviations were not directly reported, equivalent information such as confidence intervals or standard errors was extracted where available. Dropout numbers in each arm were also extracted for the acceptability analysis.</w:t>
      </w:r>
    </w:p>
    <w:bookmarkEnd w:id="15"/>
    <w:p w14:paraId="73324A91" w14:textId="21FFCA22" w:rsidR="000C3784" w:rsidRDefault="00D450DC">
      <w:pPr>
        <w:pStyle w:val="2"/>
      </w:pPr>
      <w:r>
        <w:t>3.</w:t>
      </w:r>
      <w:r w:rsidR="009607CD">
        <w:rPr>
          <w:rFonts w:eastAsiaTheme="minorEastAsia" w:hint="eastAsia"/>
        </w:rPr>
        <w:t>6</w:t>
      </w:r>
      <w:r>
        <w:t>. Risk of Bias Assessment</w:t>
      </w:r>
    </w:p>
    <w:p w14:paraId="431775CF"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Risk of bias was assessed using the Cochrane Risk of Bias 2 tool for randomized trials (</w:t>
      </w:r>
      <w:proofErr w:type="spellStart"/>
      <w:r w:rsidRPr="00E74DAD">
        <w:rPr>
          <w:rFonts w:eastAsia="Times New Roman"/>
        </w:rPr>
        <w:t>RoB</w:t>
      </w:r>
      <w:proofErr w:type="spellEnd"/>
      <w:r w:rsidRPr="00E74DAD">
        <w:rPr>
          <w:rFonts w:eastAsia="Times New Roman"/>
        </w:rPr>
        <w:t xml:space="preserve"> 2.0; Sterne et al., 2019). Each study received a judgment of Low risk, Some concerns, or High risk across five domains: D1 (the randomization process), D2 (deviations from intended interventions), D3 (missing outcome data), D4 (measurement of the outcome), and D5 (selection of the reported result). The overall risk-of-bias judgment was derived from the domain-level ratings according to the </w:t>
      </w:r>
      <w:proofErr w:type="spellStart"/>
      <w:r w:rsidRPr="00E74DAD">
        <w:rPr>
          <w:rFonts w:eastAsia="Times New Roman"/>
        </w:rPr>
        <w:t>RoB</w:t>
      </w:r>
      <w:proofErr w:type="spellEnd"/>
      <w:r w:rsidRPr="00E74DAD">
        <w:rPr>
          <w:rFonts w:eastAsia="Times New Roman"/>
        </w:rPr>
        <w:t xml:space="preserve"> 2.0 algorithm. A written justification was recorded for each domain-level judgment.</w:t>
      </w:r>
    </w:p>
    <w:p w14:paraId="13495BC2" w14:textId="38E67C89" w:rsidR="000C3784" w:rsidRDefault="00D450DC">
      <w:pPr>
        <w:pStyle w:val="2"/>
      </w:pPr>
      <w:r>
        <w:t>3.</w:t>
      </w:r>
      <w:r w:rsidR="00CB4E77">
        <w:rPr>
          <w:rFonts w:eastAsiaTheme="minorEastAsia" w:hint="eastAsia"/>
        </w:rPr>
        <w:t>7</w:t>
      </w:r>
      <w:r>
        <w:t>. Data Synthesis and Statistical Analysis</w:t>
      </w:r>
    </w:p>
    <w:p w14:paraId="0051DDB9" w14:textId="41F1F097" w:rsidR="000C3784" w:rsidRDefault="00D450DC">
      <w:pPr>
        <w:pStyle w:val="3"/>
      </w:pPr>
      <w:r>
        <w:lastRenderedPageBreak/>
        <w:t>3.</w:t>
      </w:r>
      <w:r w:rsidR="00CB4E77">
        <w:rPr>
          <w:rFonts w:eastAsiaTheme="minorEastAsia" w:hint="eastAsia"/>
        </w:rPr>
        <w:t>7</w:t>
      </w:r>
      <w:r>
        <w:t>.1. Effect-Size Calculation</w:t>
      </w:r>
    </w:p>
    <w:p w14:paraId="75E21273" w14:textId="77777777" w:rsidR="00F77A5E" w:rsidRDefault="00F77A5E" w:rsidP="00F77A5E">
      <w:pPr>
        <w:spacing w:after="120" w:line="360" w:lineRule="auto"/>
        <w:ind w:firstLine="360"/>
        <w:jc w:val="both"/>
      </w:pPr>
      <w:r w:rsidRPr="00F77A5E">
        <w:t xml:space="preserve">Effect sizes were calculated as Hedges' </w:t>
      </w:r>
      <w:r w:rsidRPr="00F77A5E">
        <w:rPr>
          <w:i/>
          <w:iCs/>
        </w:rPr>
        <w:t>g</w:t>
      </w:r>
      <w:r w:rsidRPr="00F77A5E">
        <w:t xml:space="preserve">, the standardized mean difference with a small-sample correction (Hedges &amp; Olkin, 1985). Most included studies reported </w:t>
      </w:r>
      <w:bookmarkStart w:id="16" w:name="OLE_LINK77"/>
      <w:r w:rsidRPr="00F77A5E">
        <w:t>post-intervention endpoint values</w:t>
      </w:r>
      <w:bookmarkEnd w:id="16"/>
      <w:r w:rsidRPr="00F77A5E">
        <w:t xml:space="preserve">, several reported change-from-baseline outcomes, and one study reported a standardized mean difference with its 95% confidence interval. </w:t>
      </w:r>
    </w:p>
    <w:p w14:paraId="684E5C03" w14:textId="77777777" w:rsidR="00F77A5E" w:rsidRDefault="00F77A5E" w:rsidP="000E3F8B">
      <w:pPr>
        <w:spacing w:after="120" w:line="360" w:lineRule="auto"/>
        <w:ind w:firstLine="360"/>
        <w:jc w:val="both"/>
      </w:pPr>
      <w:r w:rsidRPr="00F77A5E">
        <w:t xml:space="preserve">When the effect measure is a standardized mean difference, combining post-intervention values and change scores is not recommended in principle, because the standard deviations used for standardization reflect different sources of variation (Higgins et al., 2021). Harrer et al. (2025) further showed that the choice of standardizing denominator can itself change the magnitude of a standardized mean difference, which is why a single consistent standardizer is preferable when the data allow it. One recommended approach is to standardize all effect sizes with the post-intervention standard deviation (Higgins et al., 2021). This approach was not feasible in the present review, because the two studies reporting change-from-baseline outcomes did not provide post-intervention standard deviations. </w:t>
      </w:r>
    </w:p>
    <w:p w14:paraId="1334A31C" w14:textId="42A955A0" w:rsidR="00F77A5E" w:rsidRPr="00F77A5E" w:rsidRDefault="00F77A5E" w:rsidP="00F77A5E">
      <w:pPr>
        <w:spacing w:after="120" w:line="360" w:lineRule="auto"/>
        <w:ind w:firstLine="360"/>
        <w:jc w:val="both"/>
      </w:pPr>
      <w:r w:rsidRPr="00F77A5E">
        <w:t xml:space="preserve">Empirical evidence nonetheless indicates that this combination has little effect on the pooled estimate. In a meta-epidemiological study of osteoarthritis trials, combining follow-up and change data did not alter the pooled standardized mean difference (da Costa et al., 2013). In the field of psychological interventions for depression, </w:t>
      </w:r>
      <w:proofErr w:type="spellStart"/>
      <w:r w:rsidRPr="00F77A5E">
        <w:t>Ostinelli</w:t>
      </w:r>
      <w:proofErr w:type="spellEnd"/>
      <w:r w:rsidRPr="00F77A5E">
        <w:t xml:space="preserve"> et al. (2024) found that pooling endpoint and change-based standardized mean differences did not meaningfully affect the summary estimate, even in the most extreme scenarios they examined.</w:t>
      </w:r>
      <w:r w:rsidR="006445F8">
        <w:rPr>
          <w:rFonts w:hint="eastAsia"/>
        </w:rPr>
        <w:t xml:space="preserve"> </w:t>
      </w:r>
    </w:p>
    <w:p w14:paraId="65622C3B" w14:textId="355410FF" w:rsidR="00F77A5E" w:rsidRDefault="00F77A5E" w:rsidP="00F77A5E">
      <w:pPr>
        <w:spacing w:after="120" w:line="360" w:lineRule="auto"/>
        <w:ind w:firstLine="360"/>
        <w:jc w:val="both"/>
      </w:pPr>
      <w:r w:rsidRPr="00F77A5E">
        <w:t>On this basis, effect sizes were computed from the data available in each report. Endpoint studies were analyzed from post-intervention values, change-from-baseline studies from change scores, and the single study reporting a between-group effect from its reported value and confidence interval. Because this decision affects both the pooled estimate and its interpretation, all available results were first pooled, and a post-hoc sensitivity analysis restricted to endpoint-based effect sizes was then conducted to confirm the robustness of the pooled estimate.</w:t>
      </w:r>
    </w:p>
    <w:p w14:paraId="639535E6" w14:textId="6523F827" w:rsidR="00B7476E" w:rsidRPr="00F77A5E" w:rsidRDefault="00B7476E" w:rsidP="00F77A5E">
      <w:pPr>
        <w:spacing w:after="120" w:line="360" w:lineRule="auto"/>
        <w:ind w:firstLine="360"/>
        <w:jc w:val="both"/>
      </w:pPr>
    </w:p>
    <w:p w14:paraId="4E65B59C" w14:textId="77777777" w:rsidR="00F77A5E" w:rsidRPr="00F77A5E" w:rsidRDefault="00F77A5E" w:rsidP="000E3F8B">
      <w:pPr>
        <w:spacing w:after="120" w:line="360" w:lineRule="auto"/>
        <w:ind w:firstLine="360"/>
        <w:jc w:val="both"/>
      </w:pPr>
    </w:p>
    <w:p w14:paraId="32352052" w14:textId="292EEFBB" w:rsidR="00D01F5C" w:rsidRPr="00D01F5C" w:rsidRDefault="00D01F5C" w:rsidP="00D01F5C">
      <w:pPr>
        <w:spacing w:after="120" w:line="360" w:lineRule="auto"/>
        <w:jc w:val="both"/>
      </w:pPr>
      <m:oMathPara>
        <m:oMath>
          <m:r>
            <w:rPr>
              <w:rFonts w:ascii="Cambria Math" w:hAnsi="Cambria Math" w:hint="eastAsia"/>
            </w:rPr>
            <m:t>g</m:t>
          </m:r>
          <m:r>
            <w:rPr>
              <w:rFonts w:ascii="Cambria Math" w:hAnsi="Cambria Math"/>
            </w:rPr>
            <m:t>=J</m:t>
          </m:r>
          <m:d>
            <m:dPr>
              <m:ctrlPr>
                <w:rPr>
                  <w:rFonts w:ascii="Cambria Math" w:hAnsi="Cambria Math"/>
                  <w:i/>
                </w:rPr>
              </m:ctrlPr>
            </m:dPr>
            <m:e>
              <m:r>
                <w:rPr>
                  <w:rFonts w:ascii="Cambria Math" w:hAnsi="Cambria Math"/>
                </w:rPr>
                <m:t>df</m:t>
              </m:r>
            </m:e>
          </m:d>
          <m:r>
            <m:rPr>
              <m:sty m:val="p"/>
            </m:rPr>
            <w:rPr>
              <w:rFonts w:ascii="Cambria Math" w:hAnsi="Cambria Math" w:hint="eastAsia"/>
            </w:rPr>
            <m:t>×</m:t>
          </m:r>
          <m:r>
            <w:rPr>
              <w:rFonts w:ascii="Cambria Math" w:hAnsi="Cambria Math"/>
            </w:rPr>
            <m:t>SMD</m:t>
          </m:r>
        </m:oMath>
      </m:oMathPara>
    </w:p>
    <w:p w14:paraId="4DD32E38" w14:textId="2E7691D8" w:rsidR="00D01F5C" w:rsidRPr="00D01F5C" w:rsidRDefault="00F50362" w:rsidP="00D01F5C">
      <w:pPr>
        <w:spacing w:after="120" w:line="360" w:lineRule="auto"/>
        <w:jc w:val="both"/>
      </w:pPr>
      <m:oMathPara>
        <m:oMath>
          <m:r>
            <w:rPr>
              <w:rFonts w:ascii="Cambria Math" w:hAnsi="Cambria Math"/>
            </w:rPr>
            <m:t>J</m:t>
          </m:r>
          <m:d>
            <m:dPr>
              <m:ctrlPr>
                <w:rPr>
                  <w:rFonts w:ascii="Cambria Math" w:hAnsi="Cambria Math"/>
                  <w:i/>
                </w:rPr>
              </m:ctrlPr>
            </m:dPr>
            <m:e>
              <m:r>
                <w:rPr>
                  <w:rFonts w:ascii="Cambria Math" w:hAnsi="Cambria Math"/>
                </w:rPr>
                <m:t>df</m:t>
              </m:r>
            </m:e>
          </m:d>
          <m:r>
            <m:rPr>
              <m:sty m:val="p"/>
            </m:rPr>
            <w:rPr>
              <w:rFonts w:ascii="Cambria Math" w:hAnsi="Cambria Math" w:hint="eastAsia"/>
            </w:rPr>
            <m:t>≈</m:t>
          </m:r>
          <m:r>
            <w:rPr>
              <w:rFonts w:ascii="Cambria Math" w:hAnsi="Cambria Math"/>
            </w:rPr>
            <m:t>1-</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4</m:t>
              </m:r>
              <m:d>
                <m:dPr>
                  <m:ctrlPr>
                    <w:rPr>
                      <w:rFonts w:ascii="Cambria Math" w:hAnsi="Cambria Math"/>
                      <w:i/>
                    </w:rPr>
                  </m:ctrlPr>
                </m:dPr>
                <m:e>
                  <m:r>
                    <w:rPr>
                      <w:rFonts w:ascii="Cambria Math" w:hAnsi="Cambria Math"/>
                    </w:rPr>
                    <m:t>df</m:t>
                  </m:r>
                </m:e>
              </m:d>
              <m:r>
                <w:rPr>
                  <w:rFonts w:ascii="Cambria Math" w:hAnsi="Cambria Math"/>
                </w:rPr>
                <m:t>-1</m:t>
              </m:r>
              <m:ctrlPr>
                <w:rPr>
                  <w:rFonts w:ascii="Cambria Math" w:hAnsi="Cambria Math"/>
                  <w:i/>
                </w:rPr>
              </m:ctrlPr>
            </m:den>
          </m:f>
        </m:oMath>
      </m:oMathPara>
    </w:p>
    <w:p w14:paraId="5F8A4499" w14:textId="56768A2E" w:rsidR="00F50362" w:rsidRPr="00F50362" w:rsidRDefault="00F50362" w:rsidP="00D01F5C">
      <w:pPr>
        <w:spacing w:after="120" w:line="360" w:lineRule="auto"/>
        <w:jc w:val="both"/>
      </w:pPr>
      <m:oMathPara>
        <m:oMath>
          <m:r>
            <w:rPr>
              <w:rFonts w:ascii="Cambria Math" w:hAnsi="Cambria Math"/>
            </w:rPr>
            <m:t>df=n-2</m:t>
          </m:r>
        </m:oMath>
      </m:oMathPara>
    </w:p>
    <w:p w14:paraId="4EC3C47F" w14:textId="4756147A" w:rsidR="00D01F5C" w:rsidRPr="00D01F5C" w:rsidRDefault="00D01F5C" w:rsidP="009A6242">
      <w:pPr>
        <w:spacing w:after="120" w:line="360" w:lineRule="auto"/>
        <w:ind w:firstLine="360"/>
        <w:jc w:val="both"/>
      </w:pPr>
      <m:oMathPara>
        <m:oMath>
          <m:r>
            <w:rPr>
              <w:rFonts w:ascii="Cambria Math" w:hAnsi="Cambria Math"/>
            </w:rPr>
            <w:lastRenderedPageBreak/>
            <m:t>n=</m:t>
          </m:r>
          <m:sSub>
            <m:sSubPr>
              <m:ctrlPr>
                <w:rPr>
                  <w:rFonts w:ascii="Cambria Math" w:hAnsi="Cambria Math"/>
                  <w:i/>
                </w:rPr>
              </m:ctrlPr>
            </m:sSubPr>
            <m:e>
              <m:r>
                <w:rPr>
                  <w:rFonts w:ascii="Cambria Math" w:hAnsi="Cambria Math"/>
                </w:rPr>
                <m:t>n</m:t>
              </m:r>
            </m:e>
            <m:sub>
              <m:r>
                <w:rPr>
                  <w:rFonts w:ascii="Cambria Math" w:hAnsi="Cambria Math"/>
                </w:rPr>
                <m:t>exp</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ctrl</m:t>
              </m:r>
            </m:sub>
          </m:sSub>
        </m:oMath>
      </m:oMathPara>
    </w:p>
    <w:p w14:paraId="38793131" w14:textId="77777777" w:rsidR="009A6242" w:rsidRDefault="009A6242" w:rsidP="009A6242">
      <w:pPr>
        <w:spacing w:after="120" w:line="360" w:lineRule="auto"/>
        <w:jc w:val="both"/>
      </w:pPr>
    </w:p>
    <w:p w14:paraId="07E94A9F" w14:textId="7E97C129" w:rsidR="008074FA" w:rsidRPr="008A37BE" w:rsidRDefault="009A6242" w:rsidP="00BA62EF">
      <w:pPr>
        <w:spacing w:after="120" w:line="360" w:lineRule="auto"/>
        <w:jc w:val="both"/>
        <w:rPr>
          <w:b/>
          <w:bCs/>
        </w:rPr>
      </w:pPr>
      <w:r w:rsidRPr="008A37BE">
        <w:rPr>
          <w:rFonts w:hint="eastAsia"/>
          <w:b/>
          <w:bCs/>
        </w:rPr>
        <w:t xml:space="preserve">Type A </w:t>
      </w:r>
      <w:r w:rsidR="00DE5BAE">
        <w:rPr>
          <w:b/>
          <w:bCs/>
        </w:rPr>
        <w:t>—</w:t>
      </w:r>
      <w:r w:rsidRPr="008A37BE">
        <w:rPr>
          <w:rFonts w:hint="eastAsia"/>
          <w:b/>
          <w:bCs/>
        </w:rPr>
        <w:t xml:space="preserve"> </w:t>
      </w:r>
      <w:bookmarkStart w:id="17" w:name="OLE_LINK78"/>
      <w:r w:rsidR="008A37BE">
        <w:rPr>
          <w:rFonts w:hint="eastAsia"/>
          <w:b/>
          <w:bCs/>
        </w:rPr>
        <w:t>P</w:t>
      </w:r>
      <w:r w:rsidR="008A37BE" w:rsidRPr="008A37BE">
        <w:rPr>
          <w:b/>
          <w:bCs/>
        </w:rPr>
        <w:t>ost-</w:t>
      </w:r>
      <w:r w:rsidR="008A37BE">
        <w:rPr>
          <w:rFonts w:hint="eastAsia"/>
          <w:b/>
          <w:bCs/>
        </w:rPr>
        <w:t>I</w:t>
      </w:r>
      <w:r w:rsidR="008A37BE" w:rsidRPr="008A37BE">
        <w:rPr>
          <w:b/>
          <w:bCs/>
        </w:rPr>
        <w:t xml:space="preserve">ntervention </w:t>
      </w:r>
      <w:r w:rsidR="008A37BE">
        <w:rPr>
          <w:rFonts w:hint="eastAsia"/>
          <w:b/>
          <w:bCs/>
        </w:rPr>
        <w:t>E</w:t>
      </w:r>
      <w:r w:rsidR="008A37BE" w:rsidRPr="008A37BE">
        <w:rPr>
          <w:b/>
          <w:bCs/>
        </w:rPr>
        <w:t xml:space="preserve">ndpoint </w:t>
      </w:r>
    </w:p>
    <w:p w14:paraId="0A545893" w14:textId="77777777" w:rsidR="008074FA" w:rsidRPr="008074FA" w:rsidRDefault="008074FA" w:rsidP="00BA62EF">
      <w:pPr>
        <w:spacing w:after="120" w:line="360" w:lineRule="auto"/>
        <w:jc w:val="both"/>
      </w:pPr>
    </w:p>
    <w:p w14:paraId="2433A734" w14:textId="778B0186" w:rsidR="008074FA" w:rsidRPr="008074FA" w:rsidRDefault="00D01F5C" w:rsidP="008074FA">
      <w:pPr>
        <w:spacing w:after="120" w:line="360" w:lineRule="auto"/>
        <w:jc w:val="center"/>
      </w:pPr>
      <m:oMathPara>
        <m:oMath>
          <m:r>
            <m:rPr>
              <m:sty m:val="p"/>
            </m:rPr>
            <w:rPr>
              <w:rFonts w:ascii="Cambria Math" w:hAnsi="Cambria Math"/>
            </w:rPr>
            <m:t>SM</m:t>
          </m:r>
          <m:r>
            <m:rPr>
              <m:sty m:val="p"/>
            </m:rPr>
            <w:rPr>
              <w:rFonts w:ascii="Cambria Math" w:hAnsi="Cambria Math" w:hint="eastAsia"/>
            </w:rPr>
            <m:t>D</m:t>
          </m:r>
          <m:r>
            <w:rPr>
              <w:rFonts w:ascii="Cambria Math" w:hAnsi="Cambria Math"/>
            </w:rPr>
            <m:t>=</m:t>
          </m:r>
          <m:f>
            <m:fPr>
              <m:ctrlPr>
                <w:rPr>
                  <w:rFonts w:ascii="Cambria Math" w:hAnsi="Cambria Math"/>
                </w:rPr>
              </m:ctrlPr>
            </m:fPr>
            <m:num>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m:rPr>
                      <m:sty m:val="p"/>
                    </m:rPr>
                    <w:rPr>
                      <w:rFonts w:ascii="Cambria Math" w:hAnsi="Cambria Math"/>
                    </w:rPr>
                    <m:t>exp</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ctrlPr>
                    <w:rPr>
                      <w:rFonts w:ascii="Cambria Math" w:hAnsi="Cambria Math"/>
                      <w:i/>
                    </w:rPr>
                  </m:ctrlPr>
                </m:e>
                <m:sub>
                  <m:r>
                    <m:rPr>
                      <m:sty m:val="p"/>
                    </m:rPr>
                    <w:rPr>
                      <w:rFonts w:ascii="Cambria Math" w:hAnsi="Cambria Math"/>
                    </w:rPr>
                    <m:t>ctrl</m:t>
                  </m:r>
                </m:sub>
              </m:sSub>
            </m:num>
            <m:den>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pooled</m:t>
                  </m:r>
                </m:sub>
              </m:sSub>
            </m:den>
          </m:f>
        </m:oMath>
      </m:oMathPara>
    </w:p>
    <w:p w14:paraId="7088276E" w14:textId="77777777" w:rsidR="00E12D72" w:rsidRDefault="00E12D72" w:rsidP="00BA62EF">
      <w:pPr>
        <w:spacing w:after="120" w:line="360" w:lineRule="auto"/>
        <w:jc w:val="both"/>
      </w:pPr>
    </w:p>
    <w:p w14:paraId="00ADFA9F" w14:textId="5F908692" w:rsidR="00E12D72" w:rsidRPr="008074FA" w:rsidRDefault="00000000" w:rsidP="00A13C38">
      <w:pPr>
        <w:spacing w:after="120" w:line="360" w:lineRule="auto"/>
        <w:jc w:val="center"/>
      </w:pPr>
      <m:oMathPara>
        <m:oMath>
          <m:sSub>
            <m:sSubPr>
              <m:ctrlPr>
                <w:rPr>
                  <w:rFonts w:ascii="Cambria Math" w:hAnsi="Cambria Math"/>
                  <w:i/>
                </w:rPr>
              </m:ctrlPr>
            </m:sSubPr>
            <m:e>
              <m:r>
                <w:rPr>
                  <w:rFonts w:ascii="Cambria Math" w:hAnsi="Cambria Math"/>
                </w:rPr>
                <m:t>s</m:t>
              </m:r>
            </m:e>
            <m:sub>
              <m:r>
                <w:rPr>
                  <w:rFonts w:ascii="Cambria Math" w:hAnsi="Cambria Math"/>
                </w:rPr>
                <m:t>pooled</m:t>
              </m:r>
            </m:sub>
          </m:sSub>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exp</m:t>
                          </m:r>
                        </m:sub>
                      </m:sSub>
                      <m:r>
                        <w:rPr>
                          <w:rFonts w:ascii="Cambria Math" w:hAnsi="Cambria Math"/>
                        </w:rPr>
                        <m:t>-1</m:t>
                      </m:r>
                      <m:ctrlPr>
                        <w:rPr>
                          <w:rFonts w:ascii="Cambria Math" w:hAnsi="Cambria Math"/>
                          <w:i/>
                        </w:rPr>
                      </m:ctrlPr>
                    </m:e>
                  </m:d>
                  <m:sSubSup>
                    <m:sSubSupPr>
                      <m:ctrlPr>
                        <w:rPr>
                          <w:rFonts w:ascii="Cambria Math" w:hAnsi="Cambria Math"/>
                          <w:i/>
                        </w:rPr>
                      </m:ctrlPr>
                    </m:sSubSupPr>
                    <m:e>
                      <m:r>
                        <w:rPr>
                          <w:rFonts w:ascii="Cambria Math" w:hAnsi="Cambria Math"/>
                        </w:rPr>
                        <m:t>s</m:t>
                      </m:r>
                    </m:e>
                    <m:sub>
                      <m:r>
                        <w:rPr>
                          <w:rFonts w:ascii="Cambria Math" w:hAnsi="Cambria Math"/>
                        </w:rPr>
                        <m:t>exp</m:t>
                      </m:r>
                    </m:sub>
                    <m:sup>
                      <m:r>
                        <w:rPr>
                          <w:rFonts w:ascii="Cambria Math" w:hAnsi="Cambria Math"/>
                        </w:rPr>
                        <m:t>2</m:t>
                      </m:r>
                    </m:sup>
                  </m:sSub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ctrl</m:t>
                          </m:r>
                        </m:sub>
                      </m:sSub>
                      <m:r>
                        <w:rPr>
                          <w:rFonts w:ascii="Cambria Math" w:hAnsi="Cambria Math"/>
                        </w:rPr>
                        <m:t>-1</m:t>
                      </m:r>
                      <m:ctrlPr>
                        <w:rPr>
                          <w:rFonts w:ascii="Cambria Math" w:hAnsi="Cambria Math"/>
                          <w:i/>
                        </w:rPr>
                      </m:ctrlPr>
                    </m:e>
                  </m:d>
                  <m:sSubSup>
                    <m:sSubSupPr>
                      <m:ctrlPr>
                        <w:rPr>
                          <w:rFonts w:ascii="Cambria Math" w:hAnsi="Cambria Math"/>
                          <w:i/>
                        </w:rPr>
                      </m:ctrlPr>
                    </m:sSubSupPr>
                    <m:e>
                      <m:r>
                        <w:rPr>
                          <w:rFonts w:ascii="Cambria Math" w:hAnsi="Cambria Math"/>
                        </w:rPr>
                        <m:t>s</m:t>
                      </m:r>
                    </m:e>
                    <m:sub>
                      <m:r>
                        <w:rPr>
                          <w:rFonts w:ascii="Cambria Math" w:hAnsi="Cambria Math"/>
                        </w:rPr>
                        <m:t>ctrl</m:t>
                      </m:r>
                    </m:sub>
                    <m:sup>
                      <m:r>
                        <w:rPr>
                          <w:rFonts w:ascii="Cambria Math" w:hAnsi="Cambria Math"/>
                        </w:rPr>
                        <m:t>2</m:t>
                      </m:r>
                    </m:sup>
                  </m:sSubSup>
                </m:num>
                <m:den>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exp</m:t>
                          </m:r>
                        </m:sub>
                      </m:sSub>
                      <m:r>
                        <w:rPr>
                          <w:rFonts w:ascii="Cambria Math" w:hAnsi="Cambria Math"/>
                        </w:rPr>
                        <m:t>-1</m:t>
                      </m:r>
                      <m:ctrlPr>
                        <w:rPr>
                          <w:rFonts w:ascii="Cambria Math" w:hAnsi="Cambria Math"/>
                          <w:i/>
                        </w:rPr>
                      </m:ctrlPr>
                    </m:e>
                  </m:d>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ctrl</m:t>
                          </m:r>
                        </m:sub>
                      </m:sSub>
                      <m:r>
                        <w:rPr>
                          <w:rFonts w:ascii="Cambria Math" w:hAnsi="Cambria Math"/>
                        </w:rPr>
                        <m:t>-1</m:t>
                      </m:r>
                      <m:ctrlPr>
                        <w:rPr>
                          <w:rFonts w:ascii="Cambria Math" w:hAnsi="Cambria Math"/>
                          <w:i/>
                        </w:rPr>
                      </m:ctrlPr>
                    </m:e>
                  </m:d>
                </m:den>
              </m:f>
            </m:e>
          </m:rad>
        </m:oMath>
      </m:oMathPara>
    </w:p>
    <w:p w14:paraId="21D5CE1F" w14:textId="77777777" w:rsidR="008074FA" w:rsidRPr="008074FA" w:rsidRDefault="008074FA" w:rsidP="00A13C38">
      <w:pPr>
        <w:spacing w:after="120" w:line="360" w:lineRule="auto"/>
        <w:jc w:val="center"/>
      </w:pPr>
    </w:p>
    <w:p w14:paraId="7B00BA72" w14:textId="1B2063CF" w:rsidR="009A6242" w:rsidRPr="0024335A" w:rsidRDefault="0024335A" w:rsidP="0024335A">
      <w:pPr>
        <w:spacing w:after="120"/>
        <w:rPr>
          <w:sz w:val="20"/>
          <w:szCs w:val="20"/>
        </w:rPr>
      </w:pPr>
      <w:r w:rsidRPr="0024335A">
        <w:rPr>
          <w:i/>
          <w:iCs/>
          <w:sz w:val="20"/>
          <w:szCs w:val="20"/>
        </w:rPr>
        <w:t>Note.</w:t>
      </w:r>
      <w:r w:rsidRPr="0024335A">
        <w:rPr>
          <w:sz w:val="20"/>
          <w:szCs w:val="20"/>
        </w:rPr>
        <w:t xml:space="preserve"> </w:t>
      </w:r>
      <w:r w:rsidRPr="0024335A">
        <w:rPr>
          <w:i/>
          <w:iCs/>
          <w:sz w:val="20"/>
          <w:szCs w:val="20"/>
        </w:rPr>
        <w:t>g</w:t>
      </w:r>
      <w:r w:rsidRPr="0024335A">
        <w:rPr>
          <w:sz w:val="20"/>
          <w:szCs w:val="20"/>
        </w:rPr>
        <w:t xml:space="preserve"> = Hedges' </w:t>
      </w:r>
      <w:r w:rsidRPr="0024335A">
        <w:rPr>
          <w:i/>
          <w:iCs/>
          <w:sz w:val="20"/>
          <w:szCs w:val="20"/>
        </w:rPr>
        <w:t>g</w:t>
      </w:r>
      <w:r w:rsidRPr="0024335A">
        <w:rPr>
          <w:sz w:val="20"/>
          <w:szCs w:val="20"/>
        </w:rPr>
        <w:t xml:space="preserve"> (bias-corrected effect size). </w:t>
      </w:r>
      <w:r w:rsidR="00DE5BAE" w:rsidRPr="00DE5BAE">
        <w:rPr>
          <w:i/>
          <w:iCs/>
          <w:sz w:val="20"/>
          <w:szCs w:val="20"/>
        </w:rPr>
        <w:t>J</w:t>
      </w:r>
      <w:r w:rsidR="00DE5BAE" w:rsidRPr="00DE5BAE">
        <w:rPr>
          <w:sz w:val="20"/>
          <w:szCs w:val="20"/>
        </w:rPr>
        <w:t>(</w:t>
      </w:r>
      <w:proofErr w:type="spellStart"/>
      <w:r w:rsidR="00DE5BAE" w:rsidRPr="00DE5BAE">
        <w:rPr>
          <w:i/>
          <w:iCs/>
          <w:sz w:val="20"/>
          <w:szCs w:val="20"/>
        </w:rPr>
        <w:t>df</w:t>
      </w:r>
      <w:proofErr w:type="spellEnd"/>
      <w:r w:rsidR="00DE5BAE" w:rsidRPr="00DE5BAE">
        <w:rPr>
          <w:sz w:val="20"/>
          <w:szCs w:val="20"/>
        </w:rPr>
        <w:t xml:space="preserve">) = small-sample correction factor. </w:t>
      </w:r>
      <w:proofErr w:type="spellStart"/>
      <w:r w:rsidR="00DE5BAE" w:rsidRPr="00DE5BAE">
        <w:rPr>
          <w:i/>
          <w:iCs/>
          <w:sz w:val="20"/>
          <w:szCs w:val="20"/>
        </w:rPr>
        <w:t>df</w:t>
      </w:r>
      <w:proofErr w:type="spellEnd"/>
      <w:r w:rsidR="00DE5BAE" w:rsidRPr="00DE5BAE">
        <w:rPr>
          <w:sz w:val="20"/>
          <w:szCs w:val="20"/>
        </w:rPr>
        <w:t xml:space="preserve"> = degrees of freedom (</w:t>
      </w:r>
      <w:r w:rsidR="00DE5BAE" w:rsidRPr="00DE5BAE">
        <w:rPr>
          <w:i/>
          <w:iCs/>
          <w:sz w:val="20"/>
          <w:szCs w:val="20"/>
        </w:rPr>
        <w:t>n</w:t>
      </w:r>
      <w:r w:rsidR="00DE5BAE" w:rsidRPr="00DE5BAE">
        <w:rPr>
          <w:sz w:val="20"/>
          <w:szCs w:val="20"/>
        </w:rPr>
        <w:t xml:space="preserve"> − 2).</w:t>
      </w:r>
      <w:r w:rsidR="00DE5BAE">
        <w:rPr>
          <w:rFonts w:hint="eastAsia"/>
          <w:sz w:val="20"/>
          <w:szCs w:val="20"/>
        </w:rPr>
        <w:t xml:space="preserve"> </w:t>
      </w:r>
      <w:r w:rsidRPr="0024335A">
        <w:rPr>
          <w:sz w:val="20"/>
          <w:szCs w:val="20"/>
        </w:rPr>
        <w:t xml:space="preserve">SMD = uncorrected standardized mean difference. </w:t>
      </w:r>
      <w:r w:rsidRPr="0024335A">
        <w:rPr>
          <w:i/>
          <w:iCs/>
          <w:sz w:val="20"/>
          <w:szCs w:val="20"/>
        </w:rPr>
        <w:t>n</w:t>
      </w:r>
      <w:r w:rsidRPr="0024335A">
        <w:rPr>
          <w:sz w:val="20"/>
          <w:szCs w:val="20"/>
        </w:rPr>
        <w:t xml:space="preserve"> = total sample size (</w:t>
      </w:r>
      <w:r w:rsidRPr="0024335A">
        <w:rPr>
          <w:i/>
          <w:iCs/>
          <w:sz w:val="20"/>
          <w:szCs w:val="20"/>
        </w:rPr>
        <w:t>n</w:t>
      </w:r>
      <w:r w:rsidRPr="0024335A">
        <w:rPr>
          <w:sz w:val="20"/>
          <w:szCs w:val="20"/>
        </w:rPr>
        <w:t xml:space="preserve">ₑₓₚ + </w:t>
      </w:r>
      <w:r w:rsidRPr="0024335A">
        <w:rPr>
          <w:i/>
          <w:iCs/>
          <w:sz w:val="20"/>
          <w:szCs w:val="20"/>
        </w:rPr>
        <w:t>n</w:t>
      </w:r>
      <w:r w:rsidRPr="0024335A">
        <w:rPr>
          <w:rFonts w:ascii="Cambria Math" w:hAnsi="Cambria Math" w:cs="Cambria Math"/>
          <w:sz w:val="20"/>
          <w:szCs w:val="20"/>
        </w:rPr>
        <w:t>𝒸</w:t>
      </w:r>
      <w:r w:rsidRPr="0024335A">
        <w:rPr>
          <w:sz w:val="20"/>
          <w:szCs w:val="20"/>
        </w:rPr>
        <w:t xml:space="preserve">ₜᵣₗ). </w:t>
      </w:r>
      <w:r w:rsidRPr="0024335A">
        <w:rPr>
          <w:i/>
          <w:iCs/>
          <w:sz w:val="20"/>
          <w:szCs w:val="20"/>
        </w:rPr>
        <w:t>n</w:t>
      </w:r>
      <w:r w:rsidRPr="0024335A">
        <w:rPr>
          <w:sz w:val="20"/>
          <w:szCs w:val="20"/>
        </w:rPr>
        <w:t xml:space="preserve">ₑₓₚ and </w:t>
      </w:r>
      <w:r w:rsidRPr="0024335A">
        <w:rPr>
          <w:i/>
          <w:iCs/>
          <w:sz w:val="20"/>
          <w:szCs w:val="20"/>
        </w:rPr>
        <w:t>n</w:t>
      </w:r>
      <w:r w:rsidRPr="0024335A">
        <w:rPr>
          <w:rFonts w:ascii="Cambria Math" w:hAnsi="Cambria Math" w:cs="Cambria Math"/>
          <w:sz w:val="20"/>
          <w:szCs w:val="20"/>
        </w:rPr>
        <w:t>𝒸</w:t>
      </w:r>
      <w:r w:rsidRPr="0024335A">
        <w:rPr>
          <w:sz w:val="20"/>
          <w:szCs w:val="20"/>
        </w:rPr>
        <w:t xml:space="preserve">ₜᵣₗ = intervention and control group sample sizes. </w:t>
      </w:r>
      <w:r w:rsidRPr="0024335A">
        <w:rPr>
          <w:i/>
          <w:iCs/>
          <w:sz w:val="20"/>
          <w:szCs w:val="20"/>
        </w:rPr>
        <w:t>x̄</w:t>
      </w:r>
      <w:r w:rsidRPr="0024335A">
        <w:rPr>
          <w:sz w:val="20"/>
          <w:szCs w:val="20"/>
        </w:rPr>
        <w:t xml:space="preserve">ₑₓₚ and </w:t>
      </w:r>
      <w:r w:rsidRPr="0024335A">
        <w:rPr>
          <w:i/>
          <w:iCs/>
          <w:sz w:val="20"/>
          <w:szCs w:val="20"/>
        </w:rPr>
        <w:t>x̄</w:t>
      </w:r>
      <w:r w:rsidRPr="0024335A">
        <w:rPr>
          <w:rFonts w:ascii="Cambria Math" w:hAnsi="Cambria Math" w:cs="Cambria Math"/>
          <w:sz w:val="20"/>
          <w:szCs w:val="20"/>
        </w:rPr>
        <w:t>𝒸</w:t>
      </w:r>
      <w:r w:rsidRPr="0024335A">
        <w:rPr>
          <w:sz w:val="20"/>
          <w:szCs w:val="20"/>
        </w:rPr>
        <w:t xml:space="preserve">ₜᵣₗ = post-intervention means of the two groups. </w:t>
      </w:r>
      <w:r w:rsidRPr="0024335A">
        <w:rPr>
          <w:i/>
          <w:iCs/>
          <w:sz w:val="20"/>
          <w:szCs w:val="20"/>
        </w:rPr>
        <w:t>s</w:t>
      </w:r>
      <w:r w:rsidRPr="0024335A">
        <w:rPr>
          <w:sz w:val="20"/>
          <w:szCs w:val="20"/>
        </w:rPr>
        <w:t xml:space="preserve">ₑₓₚ and </w:t>
      </w:r>
      <w:r w:rsidRPr="0024335A">
        <w:rPr>
          <w:i/>
          <w:iCs/>
          <w:sz w:val="20"/>
          <w:szCs w:val="20"/>
        </w:rPr>
        <w:t>s</w:t>
      </w:r>
      <w:r w:rsidRPr="0024335A">
        <w:rPr>
          <w:rFonts w:ascii="Cambria Math" w:hAnsi="Cambria Math" w:cs="Cambria Math"/>
          <w:sz w:val="20"/>
          <w:szCs w:val="20"/>
        </w:rPr>
        <w:t>𝒸</w:t>
      </w:r>
      <w:r w:rsidRPr="0024335A">
        <w:rPr>
          <w:sz w:val="20"/>
          <w:szCs w:val="20"/>
        </w:rPr>
        <w:t xml:space="preserve">ₜᵣₗ = post-intervention standard deviations. </w:t>
      </w:r>
      <w:r w:rsidRPr="0024335A">
        <w:rPr>
          <w:i/>
          <w:iCs/>
          <w:sz w:val="20"/>
          <w:szCs w:val="20"/>
        </w:rPr>
        <w:t>s</w:t>
      </w:r>
      <w:r w:rsidRPr="0024335A">
        <w:rPr>
          <w:sz w:val="20"/>
          <w:szCs w:val="20"/>
        </w:rPr>
        <w:t>ₚₒₒₗₑ</w:t>
      </w:r>
      <w:r w:rsidRPr="0024335A">
        <w:rPr>
          <w:rFonts w:ascii="Cambria Math" w:hAnsi="Cambria Math" w:cs="Cambria Math"/>
          <w:sz w:val="20"/>
          <w:szCs w:val="20"/>
        </w:rPr>
        <w:t>𝒹</w:t>
      </w:r>
      <w:r w:rsidRPr="0024335A">
        <w:rPr>
          <w:sz w:val="20"/>
          <w:szCs w:val="20"/>
        </w:rPr>
        <w:t xml:space="preserve"> = pooled standard deviation</w:t>
      </w:r>
    </w:p>
    <w:p w14:paraId="1B5A8715" w14:textId="77777777" w:rsidR="0024335A" w:rsidRDefault="0024335A" w:rsidP="009A6242">
      <w:pPr>
        <w:spacing w:after="120" w:line="360" w:lineRule="auto"/>
      </w:pPr>
    </w:p>
    <w:p w14:paraId="55CA2EF0" w14:textId="230BEEDA" w:rsidR="006962D6" w:rsidRPr="00D01F5C" w:rsidRDefault="009A6242" w:rsidP="00D01F5C">
      <w:pPr>
        <w:spacing w:after="120" w:line="360" w:lineRule="auto"/>
        <w:rPr>
          <w:b/>
          <w:bCs/>
        </w:rPr>
      </w:pPr>
      <w:bookmarkStart w:id="18" w:name="OLE_LINK9"/>
      <w:r w:rsidRPr="009A6242">
        <w:rPr>
          <w:rFonts w:hint="eastAsia"/>
          <w:b/>
          <w:bCs/>
        </w:rPr>
        <w:t xml:space="preserve">Type B </w:t>
      </w:r>
      <w:r w:rsidR="00DE5BAE">
        <w:rPr>
          <w:b/>
          <w:bCs/>
        </w:rPr>
        <w:t>—</w:t>
      </w:r>
      <w:r w:rsidRPr="009A6242">
        <w:rPr>
          <w:rFonts w:hint="eastAsia"/>
          <w:b/>
          <w:bCs/>
        </w:rPr>
        <w:t xml:space="preserve"> </w:t>
      </w:r>
      <w:bookmarkEnd w:id="18"/>
      <w:r w:rsidR="00D335F2">
        <w:rPr>
          <w:rFonts w:hint="eastAsia"/>
          <w:b/>
          <w:bCs/>
        </w:rPr>
        <w:t>Change-From-Bas</w:t>
      </w:r>
      <w:r w:rsidR="00FB04A4">
        <w:rPr>
          <w:rFonts w:hint="eastAsia"/>
          <w:b/>
          <w:bCs/>
        </w:rPr>
        <w:t>e</w:t>
      </w:r>
      <w:r w:rsidR="00D335F2">
        <w:rPr>
          <w:rFonts w:hint="eastAsia"/>
          <w:b/>
          <w:bCs/>
        </w:rPr>
        <w:t>line</w:t>
      </w:r>
    </w:p>
    <w:p w14:paraId="6CBAEAB4" w14:textId="77777777" w:rsidR="000F48E3" w:rsidRPr="000F48E3" w:rsidRDefault="000F48E3" w:rsidP="000F48E3">
      <w:pPr>
        <w:spacing w:after="120" w:line="360" w:lineRule="auto"/>
        <w:jc w:val="both"/>
      </w:pPr>
    </w:p>
    <w:p w14:paraId="15AA023A" w14:textId="54B11A14" w:rsidR="008074FA" w:rsidRPr="008074FA" w:rsidRDefault="00D01F5C" w:rsidP="009A6242">
      <w:pPr>
        <w:spacing w:after="120" w:line="360" w:lineRule="auto"/>
        <w:rPr>
          <w:b/>
          <w:bCs/>
        </w:rPr>
      </w:pPr>
      <m:oMathPara>
        <m:oMath>
          <m:r>
            <m:rPr>
              <m:sty m:val="p"/>
            </m:rPr>
            <w:rPr>
              <w:rFonts w:ascii="Cambria Math" w:hAnsi="Cambria Math"/>
            </w:rPr>
            <m:t>SM</m:t>
          </m:r>
          <m:r>
            <m:rPr>
              <m:sty m:val="p"/>
            </m:rPr>
            <w:rPr>
              <w:rFonts w:ascii="Cambria Math" w:hAnsi="Cambria Math" w:hint="eastAsia"/>
            </w:rPr>
            <m:t>D</m:t>
          </m:r>
          <m: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i/>
                    </w:rPr>
                  </m:ctrlPr>
                </m:sSubPr>
                <m:e>
                  <m:bar>
                    <m:barPr>
                      <m:pos m:val="top"/>
                      <m:ctrlPr>
                        <w:rPr>
                          <w:rFonts w:ascii="Cambria Math" w:hAnsi="Cambria Math"/>
                        </w:rPr>
                      </m:ctrlPr>
                    </m:barPr>
                    <m:e>
                      <m:r>
                        <w:rPr>
                          <w:rFonts w:ascii="Cambria Math" w:hAnsi="Cambria Math"/>
                        </w:rPr>
                        <m:t>x</m:t>
                      </m:r>
                    </m:e>
                  </m:bar>
                </m:e>
                <m:sub>
                  <m:r>
                    <w:rPr>
                      <w:rFonts w:ascii="Cambria Math" w:hAnsi="Cambria Math"/>
                    </w:rPr>
                    <m:t>exp</m:t>
                  </m:r>
                </m:sub>
              </m:sSub>
              <m:r>
                <w:rPr>
                  <w:rFonts w:ascii="Cambria Math" w:hAnsi="Cambria Math"/>
                </w:rPr>
                <m:t>-</m:t>
              </m:r>
              <m:r>
                <m:rPr>
                  <m:sty m:val="p"/>
                </m:rPr>
                <w:rPr>
                  <w:rFonts w:ascii="Cambria Math" w:hAnsi="Cambria Math"/>
                </w:rPr>
                <m:t>Δ</m:t>
              </m:r>
              <m:sSub>
                <m:sSubPr>
                  <m:ctrlPr>
                    <w:rPr>
                      <w:rFonts w:ascii="Cambria Math" w:hAnsi="Cambria Math"/>
                      <w:i/>
                    </w:rPr>
                  </m:ctrlPr>
                </m:sSubPr>
                <m:e>
                  <m:bar>
                    <m:barPr>
                      <m:pos m:val="top"/>
                      <m:ctrlPr>
                        <w:rPr>
                          <w:rFonts w:ascii="Cambria Math" w:hAnsi="Cambria Math"/>
                        </w:rPr>
                      </m:ctrlPr>
                    </m:barPr>
                    <m:e>
                      <m:r>
                        <w:rPr>
                          <w:rFonts w:ascii="Cambria Math" w:hAnsi="Cambria Math"/>
                        </w:rPr>
                        <m:t>x</m:t>
                      </m:r>
                    </m:e>
                  </m:bar>
                </m:e>
                <m:sub>
                  <m:r>
                    <w:rPr>
                      <w:rFonts w:ascii="Cambria Math" w:hAnsi="Cambria Math"/>
                    </w:rPr>
                    <m:t>ctrl</m:t>
                  </m:r>
                </m:sub>
              </m:sSub>
            </m:num>
            <m:den>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pooled</m:t>
                  </m:r>
                </m:sub>
              </m:sSub>
            </m:den>
          </m:f>
        </m:oMath>
      </m:oMathPara>
    </w:p>
    <w:p w14:paraId="529A36B4" w14:textId="77777777" w:rsidR="00706A30" w:rsidRPr="00706A30" w:rsidRDefault="00706A30" w:rsidP="009A6242">
      <w:pPr>
        <w:spacing w:after="120" w:line="360" w:lineRule="auto"/>
        <w:rPr>
          <w:b/>
          <w:bCs/>
        </w:rPr>
      </w:pPr>
    </w:p>
    <w:p w14:paraId="31142BE0" w14:textId="05D30B76" w:rsidR="008074FA" w:rsidRPr="001619F0" w:rsidRDefault="00000000" w:rsidP="009A6242">
      <w:pPr>
        <w:spacing w:after="120" w:line="360" w:lineRule="auto"/>
      </w:pPr>
      <m:oMathPara>
        <m:oMath>
          <m:sSub>
            <m:sSubPr>
              <m:ctrlPr>
                <w:rPr>
                  <w:rFonts w:ascii="Cambria Math" w:hAnsi="Cambria Math"/>
                  <w:i/>
                </w:rPr>
              </m:ctrlPr>
            </m:sSubPr>
            <m:e>
              <m:r>
                <w:rPr>
                  <w:rFonts w:ascii="Cambria Math" w:hAnsi="Cambria Math"/>
                </w:rPr>
                <m:t>s</m:t>
              </m:r>
            </m:e>
            <m:sub>
              <m:r>
                <w:rPr>
                  <w:rFonts w:ascii="Cambria Math" w:hAnsi="Cambria Math"/>
                </w:rPr>
                <m:t>pooled</m:t>
              </m:r>
            </m:sub>
          </m:sSub>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exp</m:t>
                          </m:r>
                        </m:sub>
                      </m:sSub>
                      <m:r>
                        <w:rPr>
                          <w:rFonts w:ascii="Cambria Math" w:hAnsi="Cambria Math"/>
                        </w:rPr>
                        <m:t>-1</m:t>
                      </m:r>
                      <m:ctrlPr>
                        <w:rPr>
                          <w:rFonts w:ascii="Cambria Math" w:hAnsi="Cambria Math"/>
                          <w:i/>
                        </w:rPr>
                      </m:ctrlPr>
                    </m:e>
                  </m:d>
                  <m:r>
                    <w:rPr>
                      <w:rFonts w:ascii="Cambria Math" w:hAnsi="Cambria Math"/>
                    </w:rPr>
                    <m:t>S</m:t>
                  </m:r>
                  <m:sSubSup>
                    <m:sSubSupPr>
                      <m:ctrlPr>
                        <w:rPr>
                          <w:rFonts w:ascii="Cambria Math" w:hAnsi="Cambria Math"/>
                          <w:i/>
                        </w:rPr>
                      </m:ctrlPr>
                    </m:sSubSupPr>
                    <m:e>
                      <m:r>
                        <w:rPr>
                          <w:rFonts w:ascii="Cambria Math" w:hAnsi="Cambria Math"/>
                        </w:rPr>
                        <m:t>D</m:t>
                      </m:r>
                    </m:e>
                    <m:sub>
                      <m:r>
                        <m:rPr>
                          <m:sty m:val="p"/>
                        </m:rPr>
                        <w:rPr>
                          <w:rFonts w:ascii="Cambria Math" w:hAnsi="Cambria Math"/>
                        </w:rPr>
                        <m:t>Δ</m:t>
                      </m:r>
                      <m:r>
                        <w:rPr>
                          <w:rFonts w:ascii="Cambria Math" w:hAnsi="Cambria Math"/>
                        </w:rPr>
                        <m:t>exp</m:t>
                      </m:r>
                    </m:sub>
                    <m:sup>
                      <m:r>
                        <w:rPr>
                          <w:rFonts w:ascii="Cambria Math" w:hAnsi="Cambria Math"/>
                        </w:rPr>
                        <m:t>2</m:t>
                      </m:r>
                    </m:sup>
                  </m:sSub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ctrl</m:t>
                          </m:r>
                        </m:sub>
                      </m:sSub>
                      <m:r>
                        <w:rPr>
                          <w:rFonts w:ascii="Cambria Math" w:hAnsi="Cambria Math"/>
                        </w:rPr>
                        <m:t>-1</m:t>
                      </m:r>
                      <m:ctrlPr>
                        <w:rPr>
                          <w:rFonts w:ascii="Cambria Math" w:hAnsi="Cambria Math"/>
                          <w:i/>
                        </w:rPr>
                      </m:ctrlPr>
                    </m:e>
                  </m:d>
                  <m:r>
                    <w:rPr>
                      <w:rFonts w:ascii="Cambria Math" w:hAnsi="Cambria Math"/>
                    </w:rPr>
                    <m:t>S</m:t>
                  </m:r>
                  <m:sSubSup>
                    <m:sSubSupPr>
                      <m:ctrlPr>
                        <w:rPr>
                          <w:rFonts w:ascii="Cambria Math" w:hAnsi="Cambria Math"/>
                          <w:i/>
                        </w:rPr>
                      </m:ctrlPr>
                    </m:sSubSupPr>
                    <m:e>
                      <m:r>
                        <w:rPr>
                          <w:rFonts w:ascii="Cambria Math" w:hAnsi="Cambria Math"/>
                        </w:rPr>
                        <m:t>D</m:t>
                      </m:r>
                    </m:e>
                    <m:sub>
                      <m:r>
                        <m:rPr>
                          <m:sty m:val="p"/>
                        </m:rPr>
                        <w:rPr>
                          <w:rFonts w:ascii="Cambria Math" w:hAnsi="Cambria Math"/>
                        </w:rPr>
                        <m:t>Δ</m:t>
                      </m:r>
                      <m:r>
                        <w:rPr>
                          <w:rFonts w:ascii="Cambria Math" w:hAnsi="Cambria Math"/>
                        </w:rPr>
                        <m:t>ctrl</m:t>
                      </m:r>
                    </m:sub>
                    <m:sup>
                      <m:r>
                        <w:rPr>
                          <w:rFonts w:ascii="Cambria Math" w:hAnsi="Cambria Math"/>
                        </w:rPr>
                        <m:t>2</m:t>
                      </m:r>
                    </m:sup>
                  </m:sSubSup>
                </m:num>
                <m:den>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exp</m:t>
                          </m:r>
                        </m:sub>
                      </m:sSub>
                      <m:r>
                        <w:rPr>
                          <w:rFonts w:ascii="Cambria Math" w:hAnsi="Cambria Math"/>
                        </w:rPr>
                        <m:t>-1</m:t>
                      </m:r>
                      <m:ctrlPr>
                        <w:rPr>
                          <w:rFonts w:ascii="Cambria Math" w:hAnsi="Cambria Math"/>
                          <w:i/>
                        </w:rPr>
                      </m:ctrlPr>
                    </m:e>
                  </m:d>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ctrl</m:t>
                          </m:r>
                        </m:sub>
                      </m:sSub>
                      <m:r>
                        <w:rPr>
                          <w:rFonts w:ascii="Cambria Math" w:hAnsi="Cambria Math"/>
                        </w:rPr>
                        <m:t>-1</m:t>
                      </m:r>
                      <m:ctrlPr>
                        <w:rPr>
                          <w:rFonts w:ascii="Cambria Math" w:hAnsi="Cambria Math"/>
                          <w:i/>
                        </w:rPr>
                      </m:ctrlPr>
                    </m:e>
                  </m:d>
                </m:den>
              </m:f>
            </m:e>
          </m:rad>
        </m:oMath>
      </m:oMathPara>
    </w:p>
    <w:p w14:paraId="4109F72E" w14:textId="77777777" w:rsidR="006962D6" w:rsidRPr="006962D6" w:rsidRDefault="006962D6" w:rsidP="009A6242">
      <w:pPr>
        <w:spacing w:after="120" w:line="360" w:lineRule="auto"/>
        <w:rPr>
          <w:b/>
          <w:bCs/>
        </w:rPr>
      </w:pPr>
    </w:p>
    <w:p w14:paraId="6CB9525A" w14:textId="07A94942" w:rsidR="00E35841" w:rsidRPr="001619F0" w:rsidRDefault="001619F0" w:rsidP="009A6242">
      <w:pPr>
        <w:spacing w:after="120" w:line="360" w:lineRule="auto"/>
      </w:pPr>
      <m:oMathPara>
        <m:oMath>
          <m:r>
            <m:rPr>
              <m:sty m:val="p"/>
            </m:rPr>
            <w:rPr>
              <w:rFonts w:ascii="Cambria Math" w:hAnsi="Cambria Math"/>
            </w:rPr>
            <m:t>S</m:t>
          </m:r>
          <m:sSub>
            <m:sSubPr>
              <m:ctrlPr>
                <w:rPr>
                  <w:rFonts w:ascii="Cambria Math" w:hAnsi="Cambria Math"/>
                  <w:i/>
                </w:rPr>
              </m:ctrlPr>
            </m:sSubPr>
            <m:e>
              <m:r>
                <w:rPr>
                  <w:rFonts w:ascii="Cambria Math" w:hAnsi="Cambria Math"/>
                </w:rPr>
                <m:t>D</m:t>
              </m:r>
            </m:e>
            <m:sub>
              <m:r>
                <m:rPr>
                  <m:sty m:val="p"/>
                </m:rPr>
                <w:rPr>
                  <w:rFonts w:ascii="Cambria Math" w:hAnsi="Cambria Math"/>
                </w:rPr>
                <m:t>Δ</m:t>
              </m:r>
              <m:r>
                <w:rPr>
                  <w:rFonts w:ascii="Cambria Math" w:hAnsi="Cambria Math"/>
                </w:rPr>
                <m:t>exp</m:t>
              </m:r>
            </m:sub>
          </m:sSub>
          <m:r>
            <w:rPr>
              <w:rFonts w:ascii="Cambria Math" w:hAnsi="Cambria Math"/>
            </w:rPr>
            <m:t>=</m:t>
          </m:r>
          <m:r>
            <m:rPr>
              <m:sty m:val="p"/>
            </m:rPr>
            <w:rPr>
              <w:rFonts w:ascii="Cambria Math" w:hAnsi="Cambria Math"/>
            </w:rPr>
            <m:t>S</m:t>
          </m:r>
          <m:sSub>
            <m:sSubPr>
              <m:ctrlPr>
                <w:rPr>
                  <w:rFonts w:ascii="Cambria Math" w:hAnsi="Cambria Math"/>
                  <w:i/>
                </w:rPr>
              </m:ctrlPr>
            </m:sSubPr>
            <m:e>
              <m:r>
                <w:rPr>
                  <w:rFonts w:ascii="Cambria Math" w:hAnsi="Cambria Math"/>
                </w:rPr>
                <m:t>E</m:t>
              </m:r>
            </m:e>
            <m:sub>
              <m:r>
                <m:rPr>
                  <m:sty m:val="p"/>
                </m:rPr>
                <w:rPr>
                  <w:rFonts w:ascii="Cambria Math" w:hAnsi="Cambria Math"/>
                </w:rPr>
                <m:t>Δ</m:t>
              </m:r>
              <m:r>
                <w:rPr>
                  <w:rFonts w:ascii="Cambria Math" w:hAnsi="Cambria Math"/>
                </w:rPr>
                <m:t>exp</m:t>
              </m:r>
            </m:sub>
          </m:sSub>
          <m:r>
            <m:rPr>
              <m:sty m:val="p"/>
            </m:rPr>
            <w:rPr>
              <w:rFonts w:ascii="Cambria Math" w:hAnsi="Cambria Math" w:hint="eastAsia"/>
            </w:rPr>
            <m:t>×</m:t>
          </m:r>
          <m:rad>
            <m:radPr>
              <m:degHide m:val="1"/>
              <m:ctrlPr>
                <w:rPr>
                  <w:rFonts w:ascii="Cambria Math" w:hAnsi="Cambria Math"/>
                </w:rPr>
              </m:ctrlPr>
            </m:radPr>
            <m:deg>
              <m:ctrlPr>
                <w:rPr>
                  <w:rFonts w:ascii="Cambria Math" w:hAnsi="Cambria Math"/>
                  <w:i/>
                </w:rPr>
              </m:ctrlPr>
            </m:deg>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exp</m:t>
                  </m:r>
                </m:sub>
              </m:sSub>
            </m:e>
          </m:rad>
        </m:oMath>
      </m:oMathPara>
    </w:p>
    <w:p w14:paraId="7E37DD72" w14:textId="77777777" w:rsidR="008074FA" w:rsidRPr="008074FA" w:rsidRDefault="008074FA" w:rsidP="009A6242">
      <w:pPr>
        <w:spacing w:after="120" w:line="360" w:lineRule="auto"/>
        <w:rPr>
          <w:b/>
          <w:bCs/>
        </w:rPr>
      </w:pPr>
    </w:p>
    <w:p w14:paraId="46A11838" w14:textId="239E812C" w:rsidR="00E35841" w:rsidRPr="001619F0" w:rsidRDefault="001619F0" w:rsidP="009A6242">
      <w:pPr>
        <w:spacing w:after="120" w:line="360" w:lineRule="auto"/>
      </w:pPr>
      <m:oMathPara>
        <m:oMath>
          <m:r>
            <m:rPr>
              <m:sty m:val="p"/>
            </m:rPr>
            <w:rPr>
              <w:rFonts w:ascii="Cambria Math" w:hAnsi="Cambria Math"/>
            </w:rPr>
            <m:t>S</m:t>
          </m:r>
          <m:sSub>
            <m:sSubPr>
              <m:ctrlPr>
                <w:rPr>
                  <w:rFonts w:ascii="Cambria Math" w:hAnsi="Cambria Math"/>
                  <w:i/>
                </w:rPr>
              </m:ctrlPr>
            </m:sSubPr>
            <m:e>
              <m:r>
                <w:rPr>
                  <w:rFonts w:ascii="Cambria Math" w:hAnsi="Cambria Math"/>
                </w:rPr>
                <m:t>D</m:t>
              </m:r>
            </m:e>
            <m:sub>
              <m:r>
                <m:rPr>
                  <m:sty m:val="p"/>
                </m:rPr>
                <w:rPr>
                  <w:rFonts w:ascii="Cambria Math" w:hAnsi="Cambria Math"/>
                </w:rPr>
                <m:t>Δ</m:t>
              </m:r>
              <m:r>
                <w:rPr>
                  <w:rFonts w:ascii="Cambria Math" w:hAnsi="Cambria Math"/>
                </w:rPr>
                <m:t>ctrl</m:t>
              </m:r>
            </m:sub>
          </m:sSub>
          <m:r>
            <w:rPr>
              <w:rFonts w:ascii="Cambria Math" w:hAnsi="Cambria Math"/>
            </w:rPr>
            <m:t>=</m:t>
          </m:r>
          <m:r>
            <m:rPr>
              <m:sty m:val="p"/>
            </m:rPr>
            <w:rPr>
              <w:rFonts w:ascii="Cambria Math" w:hAnsi="Cambria Math"/>
            </w:rPr>
            <m:t>S</m:t>
          </m:r>
          <m:sSub>
            <m:sSubPr>
              <m:ctrlPr>
                <w:rPr>
                  <w:rFonts w:ascii="Cambria Math" w:hAnsi="Cambria Math"/>
                  <w:i/>
                </w:rPr>
              </m:ctrlPr>
            </m:sSubPr>
            <m:e>
              <m:r>
                <w:rPr>
                  <w:rFonts w:ascii="Cambria Math" w:hAnsi="Cambria Math"/>
                </w:rPr>
                <m:t>E</m:t>
              </m:r>
            </m:e>
            <m:sub>
              <m:r>
                <m:rPr>
                  <m:sty m:val="p"/>
                </m:rPr>
                <w:rPr>
                  <w:rFonts w:ascii="Cambria Math" w:hAnsi="Cambria Math"/>
                </w:rPr>
                <m:t>Δ</m:t>
              </m:r>
              <m:r>
                <w:rPr>
                  <w:rFonts w:ascii="Cambria Math" w:hAnsi="Cambria Math"/>
                </w:rPr>
                <m:t>ctrl</m:t>
              </m:r>
            </m:sub>
          </m:sSub>
          <m:r>
            <m:rPr>
              <m:sty m:val="p"/>
            </m:rPr>
            <w:rPr>
              <w:rFonts w:ascii="Cambria Math" w:hAnsi="Cambria Math" w:hint="eastAsia"/>
            </w:rPr>
            <m:t>×</m:t>
          </m:r>
          <m:rad>
            <m:radPr>
              <m:degHide m:val="1"/>
              <m:ctrlPr>
                <w:rPr>
                  <w:rFonts w:ascii="Cambria Math" w:hAnsi="Cambria Math"/>
                </w:rPr>
              </m:ctrlPr>
            </m:radPr>
            <m:deg>
              <m:ctrlPr>
                <w:rPr>
                  <w:rFonts w:ascii="Cambria Math" w:hAnsi="Cambria Math"/>
                  <w:i/>
                </w:rPr>
              </m:ctrlPr>
            </m:deg>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ctrl</m:t>
                  </m:r>
                </m:sub>
              </m:sSub>
            </m:e>
          </m:rad>
        </m:oMath>
      </m:oMathPara>
    </w:p>
    <w:p w14:paraId="7613B770" w14:textId="77777777" w:rsidR="008074FA" w:rsidRPr="008074FA" w:rsidRDefault="008074FA" w:rsidP="009A6242">
      <w:pPr>
        <w:spacing w:after="120" w:line="360" w:lineRule="auto"/>
        <w:rPr>
          <w:b/>
          <w:bCs/>
        </w:rPr>
      </w:pPr>
    </w:p>
    <w:p w14:paraId="2234223E" w14:textId="3EC61CCA" w:rsidR="00E35841" w:rsidRPr="00E35841" w:rsidRDefault="00E35841" w:rsidP="009A6242">
      <w:pPr>
        <w:spacing w:after="120" w:line="360" w:lineRule="auto"/>
      </w:pPr>
      <m:oMathPara>
        <m:oMath>
          <m:r>
            <m:rPr>
              <m:sty m:val="p"/>
            </m:rPr>
            <w:rPr>
              <w:rFonts w:ascii="Cambria Math" w:hAnsi="Cambria Math"/>
            </w:rPr>
            <w:lastRenderedPageBreak/>
            <m:t>S</m:t>
          </m:r>
          <m:sSub>
            <m:sSubPr>
              <m:ctrlPr>
                <w:rPr>
                  <w:rFonts w:ascii="Cambria Math" w:hAnsi="Cambria Math"/>
                  <w:i/>
                </w:rPr>
              </m:ctrlPr>
            </m:sSubPr>
            <m:e>
              <m:r>
                <w:rPr>
                  <w:rFonts w:ascii="Cambria Math" w:hAnsi="Cambria Math"/>
                </w:rPr>
                <m:t>E</m:t>
              </m:r>
            </m:e>
            <m:sub>
              <m:r>
                <m:rPr>
                  <m:sty m:val="p"/>
                </m:rPr>
                <w:rPr>
                  <w:rFonts w:ascii="Cambria Math" w:hAnsi="Cambria Math" w:hint="eastAsia"/>
                </w:rPr>
                <m:t>Δ</m:t>
              </m:r>
              <m:r>
                <w:rPr>
                  <w:rFonts w:ascii="Cambria Math" w:hAnsi="Cambria Math"/>
                </w:rPr>
                <m:t>exp</m:t>
              </m:r>
            </m:sub>
          </m:sSub>
          <m: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C</m:t>
                  </m:r>
                  <m:sSub>
                    <m:sSubPr>
                      <m:ctrlPr>
                        <w:rPr>
                          <w:rFonts w:ascii="Cambria Math" w:hAnsi="Cambria Math"/>
                          <w:i/>
                        </w:rPr>
                      </m:ctrlPr>
                    </m:sSubPr>
                    <m:e>
                      <m:r>
                        <w:rPr>
                          <w:rFonts w:ascii="Cambria Math" w:hAnsi="Cambria Math"/>
                        </w:rPr>
                        <m:t>I</m:t>
                      </m:r>
                    </m:e>
                    <m:sub>
                      <m:r>
                        <w:rPr>
                          <w:rFonts w:ascii="Cambria Math" w:hAnsi="Cambria Math"/>
                        </w:rPr>
                        <m:t>upper exp</m:t>
                      </m:r>
                    </m:sub>
                  </m:sSub>
                  <m:r>
                    <w:rPr>
                      <w:rFonts w:ascii="Cambria Math" w:hAnsi="Cambria Math"/>
                    </w:rPr>
                    <m:t>-C</m:t>
                  </m:r>
                  <m:sSub>
                    <m:sSubPr>
                      <m:ctrlPr>
                        <w:rPr>
                          <w:rFonts w:ascii="Cambria Math" w:hAnsi="Cambria Math"/>
                          <w:i/>
                        </w:rPr>
                      </m:ctrlPr>
                    </m:sSubPr>
                    <m:e>
                      <m:r>
                        <w:rPr>
                          <w:rFonts w:ascii="Cambria Math" w:hAnsi="Cambria Math"/>
                        </w:rPr>
                        <m:t>I</m:t>
                      </m:r>
                    </m:e>
                    <m:sub>
                      <m:r>
                        <w:rPr>
                          <w:rFonts w:ascii="Cambria Math" w:hAnsi="Cambria Math"/>
                        </w:rPr>
                        <m:t>lower exp</m:t>
                      </m:r>
                    </m:sub>
                  </m:sSub>
                  <m:ctrlPr>
                    <w:rPr>
                      <w:rFonts w:ascii="Cambria Math" w:hAnsi="Cambria Math"/>
                      <w:i/>
                    </w:rPr>
                  </m:ctrlPr>
                </m:e>
              </m:d>
            </m:num>
            <m:den>
              <m:r>
                <w:rPr>
                  <w:rFonts w:ascii="Cambria Math" w:hAnsi="Cambria Math"/>
                </w:rPr>
                <m:t>2</m:t>
              </m:r>
              <m:r>
                <m:rPr>
                  <m:sty m:val="p"/>
                </m:rPr>
                <w:rPr>
                  <w:rFonts w:ascii="Cambria Math" w:hAnsi="Cambria Math" w:hint="eastAsia"/>
                </w:rPr>
                <m:t>×</m:t>
              </m:r>
              <m:r>
                <w:rPr>
                  <w:rFonts w:ascii="Cambria Math" w:hAnsi="Cambria Math"/>
                </w:rPr>
                <m:t>1.96</m:t>
              </m:r>
            </m:den>
          </m:f>
        </m:oMath>
      </m:oMathPara>
    </w:p>
    <w:p w14:paraId="5E2A8A57" w14:textId="77777777" w:rsidR="008074FA" w:rsidRPr="008074FA" w:rsidRDefault="008074FA" w:rsidP="009A6242">
      <w:pPr>
        <w:spacing w:after="120" w:line="360" w:lineRule="auto"/>
      </w:pPr>
    </w:p>
    <w:p w14:paraId="329DF962" w14:textId="1B35836F" w:rsidR="00711E55" w:rsidRPr="00E35841" w:rsidRDefault="00E35841" w:rsidP="00711E55">
      <w:pPr>
        <w:spacing w:after="120" w:line="360" w:lineRule="auto"/>
      </w:pPr>
      <m:oMathPara>
        <m:oMath>
          <m:r>
            <m:rPr>
              <m:sty m:val="p"/>
            </m:rPr>
            <w:rPr>
              <w:rFonts w:ascii="Cambria Math" w:hAnsi="Cambria Math"/>
            </w:rPr>
            <m:t>S</m:t>
          </m:r>
          <m:sSub>
            <m:sSubPr>
              <m:ctrlPr>
                <w:rPr>
                  <w:rFonts w:ascii="Cambria Math" w:hAnsi="Cambria Math"/>
                  <w:i/>
                </w:rPr>
              </m:ctrlPr>
            </m:sSubPr>
            <m:e>
              <m:r>
                <w:rPr>
                  <w:rFonts w:ascii="Cambria Math" w:hAnsi="Cambria Math"/>
                </w:rPr>
                <m:t>E</m:t>
              </m:r>
            </m:e>
            <m:sub>
              <m:r>
                <m:rPr>
                  <m:sty m:val="p"/>
                </m:rPr>
                <w:rPr>
                  <w:rFonts w:ascii="Cambria Math" w:hAnsi="Cambria Math" w:hint="eastAsia"/>
                </w:rPr>
                <m:t>Δ</m:t>
              </m:r>
              <m:r>
                <w:rPr>
                  <w:rFonts w:ascii="Cambria Math" w:hAnsi="Cambria Math"/>
                </w:rPr>
                <m:t>ctrl</m:t>
              </m:r>
            </m:sub>
          </m:sSub>
          <m: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C</m:t>
                  </m:r>
                  <m:sSub>
                    <m:sSubPr>
                      <m:ctrlPr>
                        <w:rPr>
                          <w:rFonts w:ascii="Cambria Math" w:hAnsi="Cambria Math"/>
                          <w:i/>
                        </w:rPr>
                      </m:ctrlPr>
                    </m:sSubPr>
                    <m:e>
                      <m:r>
                        <w:rPr>
                          <w:rFonts w:ascii="Cambria Math" w:hAnsi="Cambria Math"/>
                        </w:rPr>
                        <m:t>I</m:t>
                      </m:r>
                    </m:e>
                    <m:sub>
                      <m:r>
                        <w:rPr>
                          <w:rFonts w:ascii="Cambria Math" w:hAnsi="Cambria Math"/>
                        </w:rPr>
                        <m:t>upper ctrl</m:t>
                      </m:r>
                    </m:sub>
                  </m:sSub>
                  <m:r>
                    <w:rPr>
                      <w:rFonts w:ascii="Cambria Math" w:hAnsi="Cambria Math"/>
                    </w:rPr>
                    <m:t>-C</m:t>
                  </m:r>
                  <m:sSub>
                    <m:sSubPr>
                      <m:ctrlPr>
                        <w:rPr>
                          <w:rFonts w:ascii="Cambria Math" w:hAnsi="Cambria Math"/>
                          <w:i/>
                        </w:rPr>
                      </m:ctrlPr>
                    </m:sSubPr>
                    <m:e>
                      <m:r>
                        <w:rPr>
                          <w:rFonts w:ascii="Cambria Math" w:hAnsi="Cambria Math"/>
                        </w:rPr>
                        <m:t>I</m:t>
                      </m:r>
                    </m:e>
                    <m:sub>
                      <m:r>
                        <w:rPr>
                          <w:rFonts w:ascii="Cambria Math" w:hAnsi="Cambria Math"/>
                        </w:rPr>
                        <m:t>lower ctrl</m:t>
                      </m:r>
                    </m:sub>
                  </m:sSub>
                  <m:ctrlPr>
                    <w:rPr>
                      <w:rFonts w:ascii="Cambria Math" w:hAnsi="Cambria Math"/>
                      <w:i/>
                    </w:rPr>
                  </m:ctrlPr>
                </m:e>
              </m:d>
            </m:num>
            <m:den>
              <m:r>
                <w:rPr>
                  <w:rFonts w:ascii="Cambria Math" w:hAnsi="Cambria Math"/>
                </w:rPr>
                <m:t>2</m:t>
              </m:r>
              <m:r>
                <m:rPr>
                  <m:sty m:val="p"/>
                </m:rPr>
                <w:rPr>
                  <w:rFonts w:ascii="Cambria Math" w:hAnsi="Cambria Math" w:hint="eastAsia"/>
                </w:rPr>
                <m:t>×</m:t>
              </m:r>
              <m:r>
                <w:rPr>
                  <w:rFonts w:ascii="Cambria Math" w:hAnsi="Cambria Math"/>
                </w:rPr>
                <m:t>1.96</m:t>
              </m:r>
            </m:den>
          </m:f>
        </m:oMath>
      </m:oMathPara>
    </w:p>
    <w:p w14:paraId="128CEA3D" w14:textId="7B180A26" w:rsidR="00E35841" w:rsidRPr="0024335A" w:rsidRDefault="0024335A" w:rsidP="0024335A">
      <w:pPr>
        <w:spacing w:after="120"/>
        <w:rPr>
          <w:sz w:val="20"/>
          <w:szCs w:val="20"/>
        </w:rPr>
      </w:pPr>
      <w:r w:rsidRPr="0024335A">
        <w:rPr>
          <w:i/>
          <w:iCs/>
          <w:sz w:val="20"/>
          <w:szCs w:val="20"/>
        </w:rPr>
        <w:t xml:space="preserve">Note. </w:t>
      </w:r>
      <w:r w:rsidRPr="0024335A">
        <w:rPr>
          <w:sz w:val="20"/>
          <w:szCs w:val="20"/>
        </w:rPr>
        <w:t xml:space="preserve">Symbols are as defined for Type A, with the following additions. </w:t>
      </w:r>
      <w:proofErr w:type="spellStart"/>
      <w:r w:rsidRPr="0024335A">
        <w:rPr>
          <w:sz w:val="20"/>
          <w:szCs w:val="20"/>
        </w:rPr>
        <w:t>Δx</w:t>
      </w:r>
      <w:proofErr w:type="spellEnd"/>
      <w:r w:rsidRPr="0024335A">
        <w:rPr>
          <w:sz w:val="20"/>
          <w:szCs w:val="20"/>
        </w:rPr>
        <w:t xml:space="preserve">̄ₑₓₚ and </w:t>
      </w:r>
      <w:proofErr w:type="spellStart"/>
      <w:r w:rsidRPr="0024335A">
        <w:rPr>
          <w:sz w:val="20"/>
          <w:szCs w:val="20"/>
        </w:rPr>
        <w:t>Δx</w:t>
      </w:r>
      <w:proofErr w:type="spellEnd"/>
      <w:r w:rsidRPr="0024335A">
        <w:rPr>
          <w:sz w:val="20"/>
          <w:szCs w:val="20"/>
        </w:rPr>
        <w:t>̄</w:t>
      </w:r>
      <w:r w:rsidRPr="0024335A">
        <w:rPr>
          <w:rFonts w:ascii="Cambria Math" w:hAnsi="Cambria Math" w:cs="Cambria Math"/>
          <w:sz w:val="20"/>
          <w:szCs w:val="20"/>
        </w:rPr>
        <w:t>𝒸</w:t>
      </w:r>
      <w:r w:rsidRPr="0024335A">
        <w:rPr>
          <w:sz w:val="20"/>
          <w:szCs w:val="20"/>
        </w:rPr>
        <w:t xml:space="preserve">ₜᵣₗ = mean change scores of the two groups. </w:t>
      </w:r>
      <w:proofErr w:type="spellStart"/>
      <w:r w:rsidRPr="0024335A">
        <w:rPr>
          <w:sz w:val="20"/>
          <w:szCs w:val="20"/>
        </w:rPr>
        <w:t>SD_Δexp</w:t>
      </w:r>
      <w:proofErr w:type="spellEnd"/>
      <w:r w:rsidRPr="0024335A">
        <w:rPr>
          <w:sz w:val="20"/>
          <w:szCs w:val="20"/>
        </w:rPr>
        <w:t xml:space="preserve"> and </w:t>
      </w:r>
      <w:proofErr w:type="spellStart"/>
      <w:r w:rsidRPr="0024335A">
        <w:rPr>
          <w:sz w:val="20"/>
          <w:szCs w:val="20"/>
        </w:rPr>
        <w:t>SD_Δctrl</w:t>
      </w:r>
      <w:proofErr w:type="spellEnd"/>
      <w:r w:rsidRPr="0024335A">
        <w:rPr>
          <w:sz w:val="20"/>
          <w:szCs w:val="20"/>
        </w:rPr>
        <w:t xml:space="preserve"> = standard deviations of the change scores. </w:t>
      </w:r>
      <w:proofErr w:type="spellStart"/>
      <w:r w:rsidRPr="0024335A">
        <w:rPr>
          <w:sz w:val="20"/>
          <w:szCs w:val="20"/>
        </w:rPr>
        <w:t>SE_Δexp</w:t>
      </w:r>
      <w:proofErr w:type="spellEnd"/>
      <w:r w:rsidRPr="0024335A">
        <w:rPr>
          <w:sz w:val="20"/>
          <w:szCs w:val="20"/>
        </w:rPr>
        <w:t xml:space="preserve"> and </w:t>
      </w:r>
      <w:proofErr w:type="spellStart"/>
      <w:r w:rsidRPr="0024335A">
        <w:rPr>
          <w:sz w:val="20"/>
          <w:szCs w:val="20"/>
        </w:rPr>
        <w:t>SE_Δctrl</w:t>
      </w:r>
      <w:proofErr w:type="spellEnd"/>
      <w:r w:rsidRPr="0024335A">
        <w:rPr>
          <w:sz w:val="20"/>
          <w:szCs w:val="20"/>
        </w:rPr>
        <w:t xml:space="preserve"> = standard errors of the change scores. </w:t>
      </w:r>
      <w:proofErr w:type="spellStart"/>
      <w:r w:rsidRPr="0024335A">
        <w:rPr>
          <w:sz w:val="20"/>
          <w:szCs w:val="20"/>
        </w:rPr>
        <w:t>CI_upper</w:t>
      </w:r>
      <w:proofErr w:type="spellEnd"/>
      <w:r w:rsidRPr="0024335A">
        <w:rPr>
          <w:sz w:val="20"/>
          <w:szCs w:val="20"/>
        </w:rPr>
        <w:t xml:space="preserve"> and </w:t>
      </w:r>
      <w:proofErr w:type="spellStart"/>
      <w:r w:rsidRPr="0024335A">
        <w:rPr>
          <w:sz w:val="20"/>
          <w:szCs w:val="20"/>
        </w:rPr>
        <w:t>CI_lower</w:t>
      </w:r>
      <w:proofErr w:type="spellEnd"/>
      <w:r w:rsidRPr="0024335A">
        <w:rPr>
          <w:sz w:val="20"/>
          <w:szCs w:val="20"/>
        </w:rPr>
        <w:t xml:space="preserve"> = upper and lower limits of the 95% confidence interval of the change score.</w:t>
      </w:r>
    </w:p>
    <w:p w14:paraId="1BD43925" w14:textId="77777777" w:rsidR="0024335A" w:rsidRPr="0024335A" w:rsidRDefault="0024335A" w:rsidP="0024335A">
      <w:pPr>
        <w:spacing w:after="120"/>
        <w:rPr>
          <w:i/>
          <w:iCs/>
          <w:sz w:val="20"/>
          <w:szCs w:val="20"/>
        </w:rPr>
      </w:pPr>
    </w:p>
    <w:p w14:paraId="68AFD1B2" w14:textId="7C143943" w:rsidR="00290F5C" w:rsidRDefault="00290F5C" w:rsidP="00984EEF">
      <w:pPr>
        <w:spacing w:after="120" w:line="360" w:lineRule="auto"/>
      </w:pPr>
      <w:r w:rsidRPr="009A6242">
        <w:rPr>
          <w:rFonts w:hint="eastAsia"/>
          <w:b/>
          <w:bCs/>
        </w:rPr>
        <w:t xml:space="preserve">Type </w:t>
      </w:r>
      <w:r>
        <w:rPr>
          <w:rFonts w:hint="eastAsia"/>
          <w:b/>
          <w:bCs/>
        </w:rPr>
        <w:t>C</w:t>
      </w:r>
      <w:r w:rsidRPr="009A6242">
        <w:rPr>
          <w:rFonts w:hint="eastAsia"/>
          <w:b/>
          <w:bCs/>
        </w:rPr>
        <w:t xml:space="preserve"> </w:t>
      </w:r>
      <w:r w:rsidR="00DE5BAE">
        <w:rPr>
          <w:b/>
          <w:bCs/>
        </w:rPr>
        <w:t>—</w:t>
      </w:r>
      <w:r>
        <w:rPr>
          <w:rFonts w:hint="eastAsia"/>
          <w:b/>
          <w:bCs/>
        </w:rPr>
        <w:t xml:space="preserve"> Reported Between-Group </w:t>
      </w:r>
      <w:r w:rsidRPr="00290F5C">
        <w:rPr>
          <w:rFonts w:hint="eastAsia"/>
          <w:b/>
          <w:bCs/>
          <w:i/>
          <w:iCs/>
        </w:rPr>
        <w:t>d</w:t>
      </w:r>
      <w:r>
        <w:rPr>
          <w:rFonts w:hint="eastAsia"/>
          <w:b/>
          <w:bCs/>
        </w:rPr>
        <w:t xml:space="preserve"> with CI</w:t>
      </w:r>
      <w:r w:rsidR="007803F5">
        <w:tab/>
      </w:r>
    </w:p>
    <w:p w14:paraId="519FB593" w14:textId="77777777" w:rsidR="007A7CCF" w:rsidRPr="00984EEF" w:rsidRDefault="007A7CCF" w:rsidP="00984EEF">
      <w:pPr>
        <w:spacing w:after="120" w:line="360" w:lineRule="auto"/>
        <w:rPr>
          <w:b/>
          <w:bCs/>
        </w:rPr>
      </w:pPr>
    </w:p>
    <w:p w14:paraId="1D6810C3" w14:textId="442B9ACA" w:rsidR="009A6242" w:rsidRPr="00B72CF8" w:rsidRDefault="00B72CF8" w:rsidP="009A6242">
      <w:pPr>
        <w:spacing w:after="120" w:line="360" w:lineRule="auto"/>
        <w:rPr>
          <w:bCs/>
        </w:rPr>
      </w:pPr>
      <m:oMathPara>
        <m:oMath>
          <m:r>
            <w:rPr>
              <w:rFonts w:ascii="Cambria Math" w:hAnsi="Cambria Math"/>
            </w:rPr>
            <m:t>S</m:t>
          </m:r>
          <m:sSub>
            <m:sSubPr>
              <m:ctrlPr>
                <w:rPr>
                  <w:rFonts w:ascii="Cambria Math" w:hAnsi="Cambria Math"/>
                  <w:bCs/>
                  <w:i/>
                </w:rPr>
              </m:ctrlPr>
            </m:sSubPr>
            <m:e>
              <m:r>
                <w:rPr>
                  <w:rFonts w:ascii="Cambria Math" w:hAnsi="Cambria Math"/>
                </w:rPr>
                <m:t>E</m:t>
              </m:r>
            </m:e>
            <m:sub>
              <m:r>
                <w:rPr>
                  <w:rFonts w:ascii="Cambria Math" w:hAnsi="Cambria Math"/>
                </w:rPr>
                <m:t>SMD</m:t>
              </m:r>
            </m:sub>
          </m:sSub>
          <m:r>
            <w:rPr>
              <w:rFonts w:ascii="Cambria Math" w:hAnsi="Cambria Math"/>
            </w:rPr>
            <m:t>=</m:t>
          </m:r>
          <m:f>
            <m:fPr>
              <m:ctrlPr>
                <w:rPr>
                  <w:rFonts w:ascii="Cambria Math" w:hAnsi="Cambria Math"/>
                  <w:bCs/>
                </w:rPr>
              </m:ctrlPr>
            </m:fPr>
            <m:num>
              <m:r>
                <w:rPr>
                  <w:rFonts w:ascii="Cambria Math" w:hAnsi="Cambria Math"/>
                </w:rPr>
                <m:t>C</m:t>
              </m:r>
              <m:sSub>
                <m:sSubPr>
                  <m:ctrlPr>
                    <w:rPr>
                      <w:rFonts w:ascii="Cambria Math" w:hAnsi="Cambria Math"/>
                      <w:bCs/>
                      <w:i/>
                    </w:rPr>
                  </m:ctrlPr>
                </m:sSubPr>
                <m:e>
                  <m:r>
                    <w:rPr>
                      <w:rFonts w:ascii="Cambria Math" w:hAnsi="Cambria Math"/>
                    </w:rPr>
                    <m:t>I</m:t>
                  </m:r>
                </m:e>
                <m:sub>
                  <m:r>
                    <w:rPr>
                      <w:rFonts w:ascii="Cambria Math" w:hAnsi="Cambria Math"/>
                    </w:rPr>
                    <m:t>upper</m:t>
                  </m:r>
                </m:sub>
              </m:sSub>
              <m:r>
                <w:rPr>
                  <w:rFonts w:ascii="Cambria Math" w:hAnsi="Cambria Math"/>
                </w:rPr>
                <m:t>-C</m:t>
              </m:r>
              <m:sSub>
                <m:sSubPr>
                  <m:ctrlPr>
                    <w:rPr>
                      <w:rFonts w:ascii="Cambria Math" w:hAnsi="Cambria Math"/>
                      <w:bCs/>
                      <w:i/>
                    </w:rPr>
                  </m:ctrlPr>
                </m:sSubPr>
                <m:e>
                  <m:r>
                    <w:rPr>
                      <w:rFonts w:ascii="Cambria Math" w:hAnsi="Cambria Math"/>
                    </w:rPr>
                    <m:t>I</m:t>
                  </m:r>
                </m:e>
                <m:sub>
                  <m:r>
                    <w:rPr>
                      <w:rFonts w:ascii="Cambria Math" w:hAnsi="Cambria Math"/>
                    </w:rPr>
                    <m:t>lower</m:t>
                  </m:r>
                </m:sub>
              </m:sSub>
              <m:ctrlPr>
                <w:rPr>
                  <w:rFonts w:ascii="Cambria Math" w:hAnsi="Cambria Math"/>
                  <w:bCs/>
                  <w:i/>
                </w:rPr>
              </m:ctrlPr>
            </m:num>
            <m:den>
              <m:r>
                <w:rPr>
                  <w:rFonts w:ascii="Cambria Math" w:hAnsi="Cambria Math"/>
                </w:rPr>
                <m:t>2</m:t>
              </m:r>
              <m:r>
                <m:rPr>
                  <m:sty m:val="p"/>
                </m:rPr>
                <w:rPr>
                  <w:rFonts w:ascii="Cambria Math" w:hAnsi="Cambria Math" w:hint="eastAsia"/>
                </w:rPr>
                <m:t>×</m:t>
              </m:r>
              <m:r>
                <w:rPr>
                  <w:rFonts w:ascii="Cambria Math" w:hAnsi="Cambria Math"/>
                </w:rPr>
                <m:t>1.96</m:t>
              </m:r>
              <m:ctrlPr>
                <w:rPr>
                  <w:rFonts w:ascii="Cambria Math" w:hAnsi="Cambria Math"/>
                  <w:bCs/>
                  <w:i/>
                </w:rPr>
              </m:ctrlPr>
            </m:den>
          </m:f>
        </m:oMath>
      </m:oMathPara>
    </w:p>
    <w:p w14:paraId="16C5EE1C" w14:textId="794A7A74" w:rsidR="007A7CCF" w:rsidRPr="000C2CFF" w:rsidRDefault="00000000" w:rsidP="009A6242">
      <w:pPr>
        <w:spacing w:after="120" w:line="360" w:lineRule="auto"/>
      </w:pPr>
      <m:oMathPara>
        <m:oMath>
          <m:sSub>
            <m:sSubPr>
              <m:ctrlPr>
                <w:rPr>
                  <w:rFonts w:ascii="Cambria Math" w:hAnsi="Cambria Math"/>
                  <w:i/>
                </w:rPr>
              </m:ctrlPr>
            </m:sSubPr>
            <m:e>
              <m:r>
                <w:rPr>
                  <w:rFonts w:ascii="Cambria Math" w:hAnsi="Cambria Math"/>
                </w:rPr>
                <m:t>V</m:t>
              </m:r>
            </m:e>
            <m:sub>
              <m:r>
                <w:rPr>
                  <w:rFonts w:ascii="Cambria Math" w:hAnsi="Cambria Math"/>
                </w:rPr>
                <m:t>SMD</m:t>
              </m:r>
            </m:sub>
          </m:sSub>
          <m:r>
            <w:rPr>
              <w:rFonts w:ascii="Cambria Math" w:hAnsi="Cambria Math"/>
            </w:rPr>
            <m:t>=S</m:t>
          </m:r>
          <m:sSubSup>
            <m:sSubSupPr>
              <m:ctrlPr>
                <w:rPr>
                  <w:rFonts w:ascii="Cambria Math" w:hAnsi="Cambria Math"/>
                  <w:i/>
                </w:rPr>
              </m:ctrlPr>
            </m:sSubSupPr>
            <m:e>
              <m:r>
                <w:rPr>
                  <w:rFonts w:ascii="Cambria Math" w:hAnsi="Cambria Math"/>
                </w:rPr>
                <m:t>E</m:t>
              </m:r>
            </m:e>
            <m:sub>
              <m:r>
                <w:rPr>
                  <w:rFonts w:ascii="Cambria Math" w:hAnsi="Cambria Math"/>
                </w:rPr>
                <m:t>SMD</m:t>
              </m:r>
            </m:sub>
            <m:sup>
              <m:r>
                <w:rPr>
                  <w:rFonts w:ascii="Cambria Math" w:hAnsi="Cambria Math"/>
                </w:rPr>
                <m:t>2</m:t>
              </m:r>
            </m:sup>
          </m:sSubSup>
        </m:oMath>
      </m:oMathPara>
    </w:p>
    <w:p w14:paraId="7AB546FE" w14:textId="77777777" w:rsidR="00B72CF8" w:rsidRDefault="00B72CF8" w:rsidP="000C2CFF">
      <w:pPr>
        <w:spacing w:after="120"/>
        <w:rPr>
          <w:i/>
          <w:iCs/>
        </w:rPr>
      </w:pPr>
      <w:bookmarkStart w:id="19" w:name="OLE_LINK81"/>
    </w:p>
    <w:p w14:paraId="06CDE5DC" w14:textId="57DE0010" w:rsidR="000C2CFF" w:rsidRPr="004C5D59" w:rsidRDefault="000C2CFF" w:rsidP="000C2CFF">
      <w:pPr>
        <w:spacing w:after="120"/>
        <w:rPr>
          <w:sz w:val="16"/>
          <w:szCs w:val="16"/>
        </w:rPr>
      </w:pPr>
      <w:r w:rsidRPr="004C5D59">
        <w:rPr>
          <w:i/>
          <w:iCs/>
          <w:sz w:val="16"/>
          <w:szCs w:val="16"/>
        </w:rPr>
        <w:t>Note</w:t>
      </w:r>
      <w:r w:rsidRPr="004C5D59">
        <w:rPr>
          <w:sz w:val="16"/>
          <w:szCs w:val="16"/>
        </w:rPr>
        <w:t>.</w:t>
      </w:r>
      <w:r w:rsidR="00DE5BAE" w:rsidRPr="004C5D59">
        <w:rPr>
          <w:sz w:val="16"/>
          <w:szCs w:val="16"/>
        </w:rPr>
        <w:t xml:space="preserve"> The reported between-group </w:t>
      </w:r>
      <w:r w:rsidR="00DE5BAE" w:rsidRPr="004C5D59">
        <w:rPr>
          <w:i/>
          <w:iCs/>
          <w:sz w:val="16"/>
          <w:szCs w:val="16"/>
        </w:rPr>
        <w:t>d</w:t>
      </w:r>
      <w:r w:rsidR="00DE5BAE" w:rsidRPr="004C5D59">
        <w:rPr>
          <w:sz w:val="16"/>
          <w:szCs w:val="16"/>
        </w:rPr>
        <w:t xml:space="preserve"> was used directly as the effect size. Because the contributing study had a large sample, the difference between the uncorrected </w:t>
      </w:r>
      <w:r w:rsidR="00DE5BAE" w:rsidRPr="004C5D59">
        <w:rPr>
          <w:i/>
          <w:iCs/>
          <w:sz w:val="16"/>
          <w:szCs w:val="16"/>
        </w:rPr>
        <w:t>d</w:t>
      </w:r>
      <w:r w:rsidR="00DE5BAE" w:rsidRPr="004C5D59">
        <w:rPr>
          <w:sz w:val="16"/>
          <w:szCs w:val="16"/>
        </w:rPr>
        <w:t xml:space="preserve"> and Hedges' </w:t>
      </w:r>
      <w:r w:rsidR="00DE5BAE" w:rsidRPr="004C5D59">
        <w:rPr>
          <w:i/>
          <w:iCs/>
          <w:sz w:val="16"/>
          <w:szCs w:val="16"/>
        </w:rPr>
        <w:t>g</w:t>
      </w:r>
      <w:r w:rsidR="00DE5BAE" w:rsidRPr="004C5D59">
        <w:rPr>
          <w:sz w:val="16"/>
          <w:szCs w:val="16"/>
        </w:rPr>
        <w:t xml:space="preserve"> is negligible, so no further correction was applied.</w:t>
      </w:r>
      <w:r w:rsidRPr="004C5D59">
        <w:rPr>
          <w:sz w:val="16"/>
          <w:szCs w:val="16"/>
        </w:rPr>
        <w:t xml:space="preserve"> </w:t>
      </w:r>
      <m:oMath>
        <m:r>
          <w:rPr>
            <w:rFonts w:ascii="Cambria Math" w:hAnsi="Cambria Math"/>
            <w:sz w:val="16"/>
            <w:szCs w:val="16"/>
          </w:rPr>
          <m:t>S</m:t>
        </m:r>
        <m:sSub>
          <m:sSubPr>
            <m:ctrlPr>
              <w:rPr>
                <w:rFonts w:ascii="Cambria Math" w:hAnsi="Cambria Math"/>
                <w:i/>
                <w:sz w:val="16"/>
                <w:szCs w:val="16"/>
              </w:rPr>
            </m:ctrlPr>
          </m:sSubPr>
          <m:e>
            <m:r>
              <w:rPr>
                <w:rFonts w:ascii="Cambria Math" w:hAnsi="Cambria Math"/>
                <w:sz w:val="16"/>
                <w:szCs w:val="16"/>
              </w:rPr>
              <m:t>E</m:t>
            </m:r>
          </m:e>
          <m:sub>
            <m:r>
              <w:rPr>
                <w:rFonts w:ascii="Cambria Math" w:hAnsi="Cambria Math"/>
                <w:sz w:val="16"/>
                <w:szCs w:val="16"/>
              </w:rPr>
              <m:t>SMD</m:t>
            </m:r>
          </m:sub>
        </m:sSub>
      </m:oMath>
      <w:r w:rsidRPr="004C5D59">
        <w:rPr>
          <w:sz w:val="16"/>
          <w:szCs w:val="16"/>
        </w:rPr>
        <w:t xml:space="preserve"> and </w:t>
      </w:r>
      <m:oMath>
        <m:sSub>
          <m:sSubPr>
            <m:ctrlPr>
              <w:rPr>
                <w:rFonts w:ascii="Cambria Math" w:hAnsi="Cambria Math"/>
                <w:i/>
                <w:sz w:val="16"/>
                <w:szCs w:val="16"/>
              </w:rPr>
            </m:ctrlPr>
          </m:sSubPr>
          <m:e>
            <m:r>
              <w:rPr>
                <w:rFonts w:ascii="Cambria Math" w:hAnsi="Cambria Math"/>
                <w:sz w:val="16"/>
                <w:szCs w:val="16"/>
              </w:rPr>
              <m:t>V</m:t>
            </m:r>
          </m:e>
          <m:sub>
            <m:r>
              <w:rPr>
                <w:rFonts w:ascii="Cambria Math" w:hAnsi="Cambria Math"/>
                <w:sz w:val="16"/>
                <w:szCs w:val="16"/>
              </w:rPr>
              <m:t>SMD</m:t>
            </m:r>
          </m:sub>
        </m:sSub>
      </m:oMath>
      <w:r w:rsidRPr="004C5D59">
        <w:rPr>
          <w:sz w:val="16"/>
          <w:szCs w:val="16"/>
        </w:rPr>
        <w:t xml:space="preserve"> denote the standard error and sampling variance of the reported standardized effect size. </w:t>
      </w:r>
      <m:oMath>
        <m:r>
          <w:rPr>
            <w:rFonts w:ascii="Cambria Math" w:hAnsi="Cambria Math"/>
            <w:sz w:val="16"/>
            <w:szCs w:val="16"/>
          </w:rPr>
          <m:t>C</m:t>
        </m:r>
        <m:sSub>
          <m:sSubPr>
            <m:ctrlPr>
              <w:rPr>
                <w:rFonts w:ascii="Cambria Math" w:hAnsi="Cambria Math"/>
                <w:i/>
                <w:sz w:val="16"/>
                <w:szCs w:val="16"/>
              </w:rPr>
            </m:ctrlPr>
          </m:sSubPr>
          <m:e>
            <m:r>
              <w:rPr>
                <w:rFonts w:ascii="Cambria Math" w:hAnsi="Cambria Math"/>
                <w:sz w:val="16"/>
                <w:szCs w:val="16"/>
              </w:rPr>
              <m:t>I</m:t>
            </m:r>
          </m:e>
          <m:sub>
            <m:r>
              <w:rPr>
                <w:rFonts w:ascii="Cambria Math" w:hAnsi="Cambria Math"/>
                <w:sz w:val="16"/>
                <w:szCs w:val="16"/>
              </w:rPr>
              <m:t>upper</m:t>
            </m:r>
          </m:sub>
        </m:sSub>
      </m:oMath>
      <w:r w:rsidRPr="004C5D59">
        <w:rPr>
          <w:sz w:val="16"/>
          <w:szCs w:val="16"/>
        </w:rPr>
        <w:t xml:space="preserve">​ and </w:t>
      </w:r>
      <m:oMath>
        <m:r>
          <w:rPr>
            <w:rFonts w:ascii="Cambria Math" w:hAnsi="Cambria Math"/>
            <w:sz w:val="16"/>
            <w:szCs w:val="16"/>
          </w:rPr>
          <m:t>C</m:t>
        </m:r>
        <m:sSub>
          <m:sSubPr>
            <m:ctrlPr>
              <w:rPr>
                <w:rFonts w:ascii="Cambria Math" w:hAnsi="Cambria Math"/>
                <w:i/>
                <w:sz w:val="16"/>
                <w:szCs w:val="16"/>
              </w:rPr>
            </m:ctrlPr>
          </m:sSubPr>
          <m:e>
            <m:r>
              <w:rPr>
                <w:rFonts w:ascii="Cambria Math" w:hAnsi="Cambria Math"/>
                <w:sz w:val="16"/>
                <w:szCs w:val="16"/>
              </w:rPr>
              <m:t>I</m:t>
            </m:r>
          </m:e>
          <m:sub>
            <m:r>
              <w:rPr>
                <w:rFonts w:ascii="Cambria Math" w:hAnsi="Cambria Math"/>
                <w:sz w:val="16"/>
                <w:szCs w:val="16"/>
              </w:rPr>
              <m:t>lower</m:t>
            </m:r>
          </m:sub>
        </m:sSub>
      </m:oMath>
      <w:r w:rsidRPr="004C5D59">
        <w:rPr>
          <w:sz w:val="16"/>
          <w:szCs w:val="16"/>
        </w:rPr>
        <w:t xml:space="preserve">are the upper and lower limits of the reported 95% confidence interval. The standard error was derived from the confidence interval width assuming a </w:t>
      </w:r>
      <w:proofErr w:type="gramStart"/>
      <w:r w:rsidRPr="004C5D59">
        <w:rPr>
          <w:sz w:val="16"/>
          <w:szCs w:val="16"/>
        </w:rPr>
        <w:t>normal-based</w:t>
      </w:r>
      <w:proofErr w:type="gramEnd"/>
      <w:r w:rsidRPr="004C5D59">
        <w:rPr>
          <w:sz w:val="16"/>
          <w:szCs w:val="16"/>
        </w:rPr>
        <w:t xml:space="preserve"> 95% confidence interval.</w:t>
      </w:r>
    </w:p>
    <w:bookmarkEnd w:id="19"/>
    <w:p w14:paraId="6705161E" w14:textId="77777777" w:rsidR="007A7CCF" w:rsidRPr="000C2CFF" w:rsidRDefault="007A7CCF" w:rsidP="009A6242">
      <w:pPr>
        <w:spacing w:after="120" w:line="360" w:lineRule="auto"/>
        <w:rPr>
          <w:b/>
          <w:bCs/>
        </w:rPr>
      </w:pPr>
    </w:p>
    <w:bookmarkEnd w:id="17"/>
    <w:p w14:paraId="0C8749AA" w14:textId="2FE4C4FE" w:rsidR="000C3784" w:rsidRDefault="00D450DC">
      <w:pPr>
        <w:pStyle w:val="3"/>
        <w:rPr>
          <w:rFonts w:eastAsiaTheme="minorEastAsia"/>
        </w:rPr>
      </w:pPr>
      <w:r>
        <w:t>3.</w:t>
      </w:r>
      <w:r w:rsidR="00CB4E77">
        <w:rPr>
          <w:rFonts w:eastAsiaTheme="minorEastAsia" w:hint="eastAsia"/>
        </w:rPr>
        <w:t>7</w:t>
      </w:r>
      <w:r>
        <w:t>.2. Pooling and Heterogeneity</w:t>
      </w:r>
    </w:p>
    <w:p w14:paraId="14068A6C" w14:textId="0CA2F4FF" w:rsidR="000C0538" w:rsidRPr="000C0538" w:rsidRDefault="000C0538" w:rsidP="000C0538">
      <w:pPr>
        <w:ind w:firstLine="360"/>
        <w:rPr>
          <w:b/>
          <w:bCs/>
        </w:rPr>
      </w:pPr>
      <w:r w:rsidRPr="000C0538">
        <w:rPr>
          <w:rFonts w:hint="eastAsia"/>
          <w:b/>
          <w:bCs/>
        </w:rPr>
        <w:t xml:space="preserve">Pooled </w:t>
      </w:r>
      <w:r w:rsidRPr="000C0538">
        <w:rPr>
          <w:b/>
          <w:bCs/>
        </w:rPr>
        <w:t>effect</w:t>
      </w:r>
      <w:r w:rsidRPr="000C0538">
        <w:rPr>
          <w:rFonts w:hint="eastAsia"/>
          <w:b/>
          <w:bCs/>
        </w:rPr>
        <w:t xml:space="preserve"> size</w:t>
      </w:r>
    </w:p>
    <w:p w14:paraId="502B4E2C" w14:textId="77777777" w:rsidR="000C0538" w:rsidRPr="000C0538" w:rsidRDefault="000C0538" w:rsidP="000C0538"/>
    <w:p w14:paraId="6FE368A8" w14:textId="22E64531" w:rsidR="00BE2F96" w:rsidRDefault="00092C7B" w:rsidP="00BE2F96">
      <w:pPr>
        <w:spacing w:after="120" w:line="360" w:lineRule="auto"/>
        <w:ind w:firstLine="360"/>
        <w:jc w:val="both"/>
      </w:pPr>
      <w:r w:rsidRPr="00092C7B">
        <w:t xml:space="preserve">Because the included trials varied in population characteristics, intervention composition, and dosage, between-study variance was assumed a priori to be non-zero, and all pooled estimates were computed using a random-effects model. </w:t>
      </w:r>
    </w:p>
    <w:p w14:paraId="3C32B9E9" w14:textId="4D3BC77E" w:rsidR="00B423C5" w:rsidRPr="00B423C5" w:rsidRDefault="00B423C5" w:rsidP="005F08E8">
      <w:pPr>
        <w:spacing w:after="120" w:line="360" w:lineRule="auto"/>
        <w:ind w:firstLine="360"/>
        <w:jc w:val="both"/>
      </w:pPr>
      <w:r w:rsidRPr="00B423C5">
        <w:t xml:space="preserve">In a random-effects model, the observed effect size of study </w:t>
      </w:r>
      <w:proofErr w:type="spellStart"/>
      <w:r w:rsidRPr="00B423C5">
        <w:rPr>
          <w:i/>
          <w:iCs/>
        </w:rPr>
        <w:t>i</w:t>
      </w:r>
      <w:proofErr w:type="spellEnd"/>
      <w:r w:rsidRPr="00B423C5">
        <w:t>, denoted as</w:t>
      </w:r>
      <w:r>
        <w:rPr>
          <w:rFonts w:hint="eastAsia"/>
        </w:rPr>
        <w:t xml:space="preserve">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θ</m:t>
                </m:r>
              </m:e>
            </m:acc>
          </m:e>
          <m:sub>
            <m:r>
              <m:rPr>
                <m:sty m:val="p"/>
              </m:rPr>
              <w:rPr>
                <w:rFonts w:ascii="Cambria Math" w:hAnsi="Cambria Math"/>
              </w:rPr>
              <m:t>i</m:t>
            </m:r>
          </m:sub>
        </m:sSub>
      </m:oMath>
      <w:r w:rsidRPr="00B423C5">
        <w:t xml:space="preserve">, is assumed to estimate a study-specific true effect </w:t>
      </w:r>
      <m:oMath>
        <m:sSub>
          <m:sSubPr>
            <m:ctrlPr>
              <w:rPr>
                <w:rFonts w:ascii="Cambria Math" w:hAnsi="Cambria Math"/>
                <w:i/>
              </w:rPr>
            </m:ctrlPr>
          </m:sSubPr>
          <m:e>
            <m:r>
              <m:rPr>
                <m:sty m:val="p"/>
              </m:rPr>
              <w:rPr>
                <w:rFonts w:ascii="Cambria Math" w:hAnsi="Cambria Math"/>
              </w:rPr>
              <m:t>θ</m:t>
            </m:r>
            <m:ctrlPr>
              <w:rPr>
                <w:rFonts w:ascii="Cambria Math" w:hAnsi="Cambria Math"/>
              </w:rPr>
            </m:ctrlPr>
          </m:e>
          <m:sub>
            <m:r>
              <w:rPr>
                <w:rFonts w:ascii="Cambria Math" w:hAnsi="Cambria Math"/>
              </w:rPr>
              <m:t>i</m:t>
            </m:r>
          </m:sub>
        </m:sSub>
      </m:oMath>
      <w:r w:rsidRPr="00B423C5">
        <w:t xml:space="preserve"> with sampling error:</w:t>
      </w:r>
    </w:p>
    <w:bookmarkStart w:id="20" w:name="OLE_LINK76"/>
    <w:p w14:paraId="6D2D731F" w14:textId="640CA2ED" w:rsidR="00B423C5" w:rsidRPr="00B423C5" w:rsidRDefault="00000000" w:rsidP="00B423C5">
      <w:pPr>
        <w:spacing w:after="120" w:line="360" w:lineRule="auto"/>
        <w:ind w:firstLine="360"/>
        <w:jc w:val="both"/>
      </w:pPr>
      <m:oMathPara>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θ</m:t>
                  </m:r>
                </m:e>
              </m:acc>
            </m:e>
            <m:sub>
              <m:r>
                <m:rPr>
                  <m:sty m:val="p"/>
                </m:rPr>
                <w:rPr>
                  <w:rFonts w:ascii="Cambria Math" w:hAnsi="Cambria Math"/>
                </w:rPr>
                <m:t>i</m:t>
              </m:r>
            </m:sub>
          </m:sSub>
          <m:r>
            <w:rPr>
              <w:rFonts w:ascii="Cambria Math" w:hAnsi="Cambria Math"/>
            </w:rPr>
            <m:t>=</m:t>
          </m:r>
          <m:sSub>
            <m:sSubPr>
              <m:ctrlPr>
                <w:rPr>
                  <w:rFonts w:ascii="Cambria Math" w:hAnsi="Cambria Math"/>
                </w:rPr>
              </m:ctrlPr>
            </m:sSubPr>
            <m:e>
              <m:r>
                <m:rPr>
                  <m:sty m:val="p"/>
                </m:rPr>
                <w:rPr>
                  <w:rFonts w:ascii="Cambria Math" w:hAnsi="Cambria Math"/>
                </w:rPr>
                <m:t>θ</m:t>
              </m:r>
              <m:ctrlPr>
                <w:rPr>
                  <w:rFonts w:ascii="Cambria Math" w:hAnsi="Cambria Math"/>
                  <w:i/>
                </w:rPr>
              </m:ctrlPr>
            </m:e>
            <m:sub>
              <m:r>
                <m:rPr>
                  <m:sty m:val="p"/>
                </m:rP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oMath>
      </m:oMathPara>
    </w:p>
    <w:bookmarkEnd w:id="20"/>
    <w:p w14:paraId="370F3581" w14:textId="77777777" w:rsidR="00010C8C" w:rsidRDefault="00010C8C" w:rsidP="00952B59">
      <w:pPr>
        <w:spacing w:after="120" w:line="360" w:lineRule="auto"/>
        <w:ind w:firstLine="360"/>
        <w:jc w:val="both"/>
      </w:pPr>
      <w:r w:rsidRPr="00010C8C">
        <w:t>Because the random-effects model allows true effects to differ across studies, each study-specific true effect is modeled as a deviation from the overall mean true effect:</w:t>
      </w:r>
    </w:p>
    <w:p w14:paraId="415D9A39" w14:textId="0E4CE58E" w:rsidR="006F456E" w:rsidRPr="00AE1CE8" w:rsidRDefault="00000000" w:rsidP="00952B59">
      <w:pPr>
        <w:spacing w:after="120" w:line="360" w:lineRule="auto"/>
        <w:ind w:firstLine="360"/>
        <w:jc w:val="both"/>
      </w:pPr>
      <m:oMathPara>
        <m:oMath>
          <m:sSub>
            <m:sSubPr>
              <m:ctrlPr>
                <w:rPr>
                  <w:rFonts w:ascii="Cambria Math" w:hAnsi="Cambria Math"/>
                  <w:i/>
                </w:rPr>
              </m:ctrlPr>
            </m:sSubPr>
            <m:e>
              <m:r>
                <m:rPr>
                  <m:sty m:val="p"/>
                </m:rPr>
                <w:rPr>
                  <w:rFonts w:ascii="Cambria Math" w:hAnsi="Cambria Math"/>
                </w:rPr>
                <m:t>θ</m:t>
              </m:r>
              <m:ctrlPr>
                <w:rPr>
                  <w:rFonts w:ascii="Cambria Math" w:hAnsi="Cambria Math"/>
                </w:rPr>
              </m:ctrlPr>
            </m:e>
            <m:sub>
              <m:r>
                <w:rPr>
                  <w:rFonts w:ascii="Cambria Math" w:hAnsi="Cambria Math"/>
                </w:rPr>
                <m:t>i</m:t>
              </m:r>
            </m:sub>
          </m:sSub>
          <m:r>
            <w:rPr>
              <w:rFonts w:ascii="Cambria Math" w:hAnsi="Cambria Math"/>
            </w:rPr>
            <m:t>=</m:t>
          </m:r>
          <w:bookmarkStart w:id="21" w:name="OLE_LINK79"/>
          <m:r>
            <m:rPr>
              <m:sty m:val="p"/>
            </m:rPr>
            <w:rPr>
              <w:rFonts w:ascii="Cambria Math" w:hAnsi="Cambria Math"/>
            </w:rPr>
            <m:t>θ</m:t>
          </m:r>
          <m:r>
            <w:rPr>
              <w:rFonts w:ascii="Cambria Math" w:hAnsi="Cambria Math"/>
            </w:rPr>
            <m:t>+</m:t>
          </m:r>
          <w:bookmarkStart w:id="22" w:name="OLE_LINK69"/>
          <m:sSub>
            <m:sSubPr>
              <m:ctrlPr>
                <w:rPr>
                  <w:rFonts w:ascii="Cambria Math" w:hAnsi="Cambria Math"/>
                  <w:i/>
                </w:rPr>
              </m:ctrlPr>
            </m:sSubPr>
            <m:e>
              <m:r>
                <w:rPr>
                  <w:rFonts w:ascii="Cambria Math" w:hAnsi="Cambria Math"/>
                </w:rPr>
                <m:t>u</m:t>
              </m:r>
            </m:e>
            <m:sub>
              <m:r>
                <w:rPr>
                  <w:rFonts w:ascii="Cambria Math" w:hAnsi="Cambria Math"/>
                </w:rPr>
                <m:t>i</m:t>
              </m:r>
            </m:sub>
          </m:sSub>
        </m:oMath>
      </m:oMathPara>
      <w:bookmarkEnd w:id="21"/>
      <w:bookmarkEnd w:id="22"/>
    </w:p>
    <w:p w14:paraId="61BB8D4E" w14:textId="07F15E1D" w:rsidR="00AE1CE8" w:rsidRPr="00010C8C" w:rsidRDefault="00010C8C" w:rsidP="00010C8C">
      <w:pPr>
        <w:spacing w:after="120" w:line="360" w:lineRule="auto"/>
        <w:ind w:firstLine="360"/>
        <w:jc w:val="both"/>
      </w:pPr>
      <w:r w:rsidRPr="00010C8C">
        <w:lastRenderedPageBreak/>
        <w:t xml:space="preserve">where </w:t>
      </w:r>
      <m:oMath>
        <m:r>
          <m:rPr>
            <m:sty m:val="p"/>
          </m:rPr>
          <w:rPr>
            <w:rFonts w:ascii="Cambria Math" w:hAnsi="Cambria Math"/>
          </w:rPr>
          <m:t>θ</m:t>
        </m:r>
      </m:oMath>
      <w:r w:rsidRPr="00010C8C">
        <w:t xml:space="preserve"> represents the overall mean true effect,</w:t>
      </w:r>
      <w:r>
        <w:rPr>
          <w:rFonts w:hint="eastAsia"/>
        </w:rPr>
        <w:t xml:space="preserve">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rsidRPr="00010C8C">
        <w:t xml:space="preserve"> represents the study-specific deviation from this mean, and </w:t>
      </w:r>
      <m:oMath>
        <m:sSub>
          <m:sSubPr>
            <m:ctrlPr>
              <w:rPr>
                <w:rFonts w:ascii="Cambria Math" w:hAnsi="Cambria Math"/>
                <w:i/>
              </w:rPr>
            </m:ctrlPr>
          </m:sSubPr>
          <m:e>
            <m:r>
              <w:rPr>
                <w:rFonts w:ascii="Cambria Math" w:hAnsi="Cambria Math"/>
              </w:rPr>
              <m:t>e</m:t>
            </m:r>
          </m:e>
          <m:sub>
            <m:r>
              <w:rPr>
                <w:rFonts w:ascii="Cambria Math" w:hAnsi="Cambria Math"/>
              </w:rPr>
              <m:t>i</m:t>
            </m:r>
          </m:sub>
        </m:sSub>
      </m:oMath>
      <w:r w:rsidRPr="00010C8C">
        <w:t xml:space="preserve"> represents within-study sampling error. Equivalently, the random-effects model can be written as:</w:t>
      </w:r>
    </w:p>
    <w:p w14:paraId="0A17FC2E" w14:textId="7B231965" w:rsidR="00AE1CE8" w:rsidRPr="00952B59" w:rsidRDefault="00000000" w:rsidP="00010C8C">
      <w:pPr>
        <w:spacing w:after="120" w:line="360" w:lineRule="auto"/>
        <w:ind w:firstLine="360"/>
        <w:jc w:val="both"/>
      </w:pPr>
      <m:oMathPara>
        <m:oMath>
          <m:sSub>
            <m:sSubPr>
              <m:ctrlPr>
                <w:rPr>
                  <w:rFonts w:ascii="Cambria Math" w:hAnsi="Cambria Math"/>
                  <w:i/>
                </w:rPr>
              </m:ctrlPr>
            </m:sSubPr>
            <m:e>
              <m:acc>
                <m:accPr>
                  <m:ctrlPr>
                    <w:rPr>
                      <w:rFonts w:ascii="Cambria Math" w:hAnsi="Cambria Math"/>
                    </w:rPr>
                  </m:ctrlPr>
                </m:accPr>
                <m:e>
                  <m:r>
                    <m:rPr>
                      <m:sty m:val="p"/>
                    </m:rPr>
                    <w:rPr>
                      <w:rFonts w:ascii="Cambria Math" w:hAnsi="Cambria Math"/>
                    </w:rPr>
                    <m:t>θ</m:t>
                  </m:r>
                </m:e>
              </m:acc>
            </m:e>
            <m:sub>
              <m:r>
                <w:rPr>
                  <w:rFonts w:ascii="Cambria Math" w:hAnsi="Cambria Math"/>
                </w:rPr>
                <m:t>i</m:t>
              </m:r>
            </m:sub>
          </m:sSub>
          <m:r>
            <w:rPr>
              <w:rFonts w:ascii="Cambria Math" w:hAnsi="Cambria Math"/>
            </w:rPr>
            <m:t>=</m:t>
          </m:r>
          <m:r>
            <m:rPr>
              <m:sty m:val="p"/>
            </m:rPr>
            <w:rPr>
              <w:rFonts w:ascii="Cambria Math" w:hAnsi="Cambria Math"/>
            </w:rPr>
            <m:t>θ</m:t>
          </m:r>
          <w:bookmarkStart w:id="23" w:name="OLE_LINK82"/>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m:t>
              </m:r>
            </m:sub>
          </m:sSub>
          <w:bookmarkEnd w:id="23"/>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oMath>
      </m:oMathPara>
    </w:p>
    <w:p w14:paraId="51740B48" w14:textId="32E5D551" w:rsidR="002B48EF" w:rsidRDefault="002B48EF" w:rsidP="002B48EF">
      <w:pPr>
        <w:spacing w:after="120" w:line="360" w:lineRule="auto"/>
        <w:ind w:firstLine="360"/>
        <w:jc w:val="both"/>
      </w:pPr>
      <w:r w:rsidRPr="002B48EF">
        <w:t xml:space="preserve">The study-specific deviations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rsidRPr="002B48EF">
        <w:t xml:space="preserve"> were treated as random effects rather than as separate fixed parameters. These deviations were assumed to follow a normal distribution with mean zero and between-study variance </w:t>
      </w:r>
      <w:r w:rsidRPr="00092C7B">
        <w:rPr>
          <w:i/>
          <w:iCs/>
        </w:rPr>
        <w:t>τ</w:t>
      </w:r>
      <w:r w:rsidRPr="00092C7B">
        <w:t>²</w:t>
      </w:r>
      <w:r w:rsidRPr="002B48EF">
        <w:t>:</w:t>
      </w:r>
    </w:p>
    <w:p w14:paraId="07ED0F7D" w14:textId="24328273" w:rsidR="002B48EF" w:rsidRPr="002B48EF" w:rsidRDefault="00000000" w:rsidP="002B48EF">
      <w:pPr>
        <w:spacing w:after="120" w:line="360" w:lineRule="auto"/>
        <w:ind w:firstLine="360"/>
        <w:jc w:val="both"/>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~N</m:t>
          </m:r>
          <m:d>
            <m:dPr>
              <m:ctrlPr>
                <w:rPr>
                  <w:rFonts w:ascii="Cambria Math" w:hAnsi="Cambria Math"/>
                  <w:i/>
                </w:rPr>
              </m:ctrlPr>
            </m:dPr>
            <m:e>
              <m:r>
                <w:rPr>
                  <w:rFonts w:ascii="Cambria Math" w:hAnsi="Cambria Math"/>
                </w:rPr>
                <m:t>0,</m:t>
              </m:r>
              <m:sSup>
                <m:sSupPr>
                  <m:ctrlPr>
                    <w:rPr>
                      <w:rFonts w:ascii="Cambria Math" w:hAnsi="Cambria Math"/>
                      <w:i/>
                    </w:rPr>
                  </m:ctrlPr>
                </m:sSupPr>
                <m:e>
                  <m:r>
                    <m:rPr>
                      <m:sty m:val="p"/>
                    </m:rPr>
                    <w:rPr>
                      <w:rFonts w:ascii="Cambria Math" w:hAnsi="Cambria Math"/>
                    </w:rPr>
                    <m:t>τ</m:t>
                  </m:r>
                </m:e>
                <m:sup>
                  <m:r>
                    <w:rPr>
                      <w:rFonts w:ascii="Cambria Math" w:hAnsi="Cambria Math"/>
                    </w:rPr>
                    <m:t>2</m:t>
                  </m:r>
                </m:sup>
              </m:sSup>
            </m:e>
          </m:d>
        </m:oMath>
      </m:oMathPara>
    </w:p>
    <w:p w14:paraId="75E189C3" w14:textId="77777777" w:rsidR="002B48EF" w:rsidRPr="002B48EF" w:rsidRDefault="002B48EF" w:rsidP="002B48EF">
      <w:pPr>
        <w:spacing w:after="120" w:line="360" w:lineRule="auto"/>
        <w:ind w:firstLine="360"/>
        <w:jc w:val="both"/>
      </w:pPr>
    </w:p>
    <w:p w14:paraId="264D402E" w14:textId="634909BB" w:rsidR="002B48EF" w:rsidRDefault="002B48EF" w:rsidP="002B48EF">
      <w:pPr>
        <w:spacing w:after="120" w:line="360" w:lineRule="auto"/>
        <w:ind w:firstLine="360"/>
        <w:jc w:val="both"/>
      </w:pPr>
      <w:r w:rsidRPr="002B48EF">
        <w:t xml:space="preserve">Thus, </w:t>
      </w:r>
      <w:r w:rsidRPr="002B48EF">
        <w:rPr>
          <w:i/>
          <w:iCs/>
        </w:rPr>
        <w:t>τ</w:t>
      </w:r>
      <w:r w:rsidRPr="002B48EF">
        <w:t>² quantifies the extent to which the study-specific true effects vary around the overall mean true effect.</w:t>
      </w:r>
      <w:r w:rsidR="000C0538">
        <w:rPr>
          <w:rFonts w:hint="eastAsia"/>
        </w:rPr>
        <w:t xml:space="preserve"> The pooled true effect estimate can be written as:</w:t>
      </w:r>
    </w:p>
    <w:p w14:paraId="5B5B784A" w14:textId="77777777" w:rsidR="007868BA" w:rsidRPr="007868BA" w:rsidRDefault="00000000" w:rsidP="007868BA">
      <w:pPr>
        <w:spacing w:after="120" w:line="360" w:lineRule="auto"/>
        <w:ind w:firstLine="360"/>
        <w:jc w:val="both"/>
      </w:pPr>
      <m:oMathPara>
        <m:oMath>
          <m:acc>
            <m:accPr>
              <m:ctrlPr>
                <w:rPr>
                  <w:rFonts w:ascii="Cambria Math" w:hAnsi="Cambria Math"/>
                </w:rPr>
              </m:ctrlPr>
            </m:accPr>
            <m:e>
              <m:r>
                <m:rPr>
                  <m:sty m:val="p"/>
                </m:rPr>
                <w:rPr>
                  <w:rFonts w:ascii="Cambria Math" w:hAnsi="Cambria Math"/>
                </w:rPr>
                <m:t>θ</m:t>
              </m:r>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w:bookmarkStart w:id="24" w:name="OLE_LINK89"/>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RE</m:t>
                      </m:r>
                    </m:sup>
                  </m:sSubSup>
                  <w:bookmarkEnd w:id="24"/>
                  <m:ctrlPr>
                    <w:rPr>
                      <w:rFonts w:ascii="Cambria Math" w:hAnsi="Cambria Math"/>
                      <w:i/>
                    </w:rPr>
                  </m:ctrlPr>
                </m:e>
              </m:nary>
              <m:sSub>
                <m:sSubPr>
                  <m:ctrlPr>
                    <w:rPr>
                      <w:rFonts w:ascii="Cambria Math" w:hAnsi="Cambria Math"/>
                      <w:i/>
                    </w:rPr>
                  </m:ctrlPr>
                </m:sSubPr>
                <m:e>
                  <m:r>
                    <w:rPr>
                      <w:rFonts w:ascii="Cambria Math" w:hAnsi="Cambria Math"/>
                    </w:rPr>
                    <m:t>y</m:t>
                  </m:r>
                </m:e>
                <m:sub>
                  <m:r>
                    <w:rPr>
                      <w:rFonts w:ascii="Cambria Math" w:hAnsi="Cambria Math"/>
                    </w:rPr>
                    <m:t>i</m:t>
                  </m:r>
                </m:sub>
              </m:sSub>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RE</m:t>
                      </m:r>
                    </m:sup>
                  </m:sSubSup>
                  <m:ctrlPr>
                    <w:rPr>
                      <w:rFonts w:ascii="Cambria Math" w:hAnsi="Cambria Math"/>
                      <w:i/>
                    </w:rPr>
                  </m:ctrlPr>
                </m:e>
              </m:nary>
              <m:ctrlPr>
                <w:rPr>
                  <w:rFonts w:ascii="Cambria Math" w:hAnsi="Cambria Math"/>
                  <w:i/>
                </w:rPr>
              </m:ctrlPr>
            </m:den>
          </m:f>
        </m:oMath>
      </m:oMathPara>
    </w:p>
    <w:p w14:paraId="4CAB88D3" w14:textId="77777777" w:rsidR="007868BA" w:rsidRPr="007868BA" w:rsidRDefault="00000000" w:rsidP="000C0538">
      <w:pPr>
        <w:spacing w:after="120"/>
        <w:jc w:val="both"/>
      </w:pPr>
      <m:oMathPara>
        <m:oMath>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RE</m:t>
              </m:r>
            </m:sup>
          </m:sSub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p>
                <m:sSupPr>
                  <m:ctrlPr>
                    <w:rPr>
                      <w:rFonts w:ascii="Cambria Math" w:hAnsi="Cambria Math"/>
                      <w:i/>
                    </w:rPr>
                  </m:ctrlPr>
                </m:sSupPr>
                <m:e>
                  <m:r>
                    <m:rPr>
                      <m:sty m:val="p"/>
                    </m:rPr>
                    <w:rPr>
                      <w:rFonts w:ascii="Cambria Math" w:hAnsi="Cambria Math"/>
                    </w:rPr>
                    <m:t>τ</m:t>
                  </m:r>
                </m:e>
                <m:sup>
                  <m:r>
                    <w:rPr>
                      <w:rFonts w:ascii="Cambria Math" w:hAnsi="Cambria Math"/>
                    </w:rPr>
                    <m:t>2</m:t>
                  </m:r>
                </m:sup>
              </m:sSup>
              <m:ctrlPr>
                <w:rPr>
                  <w:rFonts w:ascii="Cambria Math" w:hAnsi="Cambria Math"/>
                  <w:i/>
                </w:rPr>
              </m:ctrlPr>
            </m:den>
          </m:f>
        </m:oMath>
      </m:oMathPara>
    </w:p>
    <w:p w14:paraId="4738AB3E" w14:textId="632887ED" w:rsidR="000C0538" w:rsidRPr="007868BA" w:rsidRDefault="000C0538" w:rsidP="000C0538">
      <w:pPr>
        <w:spacing w:after="120"/>
        <w:jc w:val="both"/>
      </w:pPr>
      <w:r w:rsidRPr="00092C7B">
        <w:rPr>
          <w:i/>
          <w:iCs/>
        </w:rPr>
        <w:t>Note.</w:t>
      </w:r>
      <w:r w:rsidRPr="00092C7B">
        <w:t xml:space="preserve"> </w:t>
      </w:r>
      <m:oMath>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RE</m:t>
            </m:r>
          </m:sup>
        </m:sSubSup>
      </m:oMath>
      <w:r w:rsidRPr="00092C7B">
        <w:t xml:space="preserve"> = weight assigned to study</w:t>
      </w:r>
      <w:r w:rsidR="004B7C40">
        <w:rPr>
          <w:rFonts w:hint="eastAsia"/>
        </w:rPr>
        <w:t xml:space="preserve"> </w:t>
      </w:r>
      <w:proofErr w:type="spellStart"/>
      <w:r w:rsidR="004B7C40" w:rsidRPr="004B7C40">
        <w:rPr>
          <w:rFonts w:hint="eastAsia"/>
          <w:i/>
          <w:iCs/>
        </w:rPr>
        <w:t>i</w:t>
      </w:r>
      <w:proofErr w:type="spellEnd"/>
      <w:r w:rsidR="004B7C40">
        <w:rPr>
          <w:rFonts w:hint="eastAsia"/>
        </w:rPr>
        <w:t xml:space="preserve"> in random effect model.</w:t>
      </w:r>
      <w:r w:rsidRPr="00092C7B">
        <w:t xml:space="preserve"> </w:t>
      </w:r>
      <w:r w:rsidRPr="00092C7B">
        <w:rPr>
          <w:i/>
          <w:iCs/>
        </w:rPr>
        <w:t>yᵢ</w:t>
      </w:r>
      <w:r w:rsidRPr="00092C7B">
        <w:t xml:space="preserve"> = Hedges' </w:t>
      </w:r>
      <w:r w:rsidRPr="00092C7B">
        <w:rPr>
          <w:i/>
          <w:iCs/>
        </w:rPr>
        <w:t>g</w:t>
      </w:r>
      <w:r w:rsidRPr="00092C7B">
        <w:t xml:space="preserve"> of study </w:t>
      </w:r>
      <w:proofErr w:type="spellStart"/>
      <w:r w:rsidRPr="00092C7B">
        <w:rPr>
          <w:i/>
          <w:iCs/>
        </w:rPr>
        <w:t>i</w:t>
      </w:r>
      <w:proofErr w:type="spellEnd"/>
      <w:r w:rsidRPr="00092C7B">
        <w:t xml:space="preserve">. </w:t>
      </w:r>
      <w:r w:rsidRPr="00092C7B">
        <w:rPr>
          <w:i/>
          <w:iCs/>
        </w:rPr>
        <w:t>vᵢ</w:t>
      </w:r>
      <w:r w:rsidRPr="00092C7B">
        <w:t xml:space="preserve"> = within-study sampling variance of study </w:t>
      </w:r>
      <w:proofErr w:type="spellStart"/>
      <w:r w:rsidRPr="00092C7B">
        <w:rPr>
          <w:i/>
          <w:iCs/>
        </w:rPr>
        <w:t>i</w:t>
      </w:r>
      <w:proofErr w:type="spellEnd"/>
      <w:r w:rsidRPr="00092C7B">
        <w:t xml:space="preserve">. </w:t>
      </w:r>
      <w:r w:rsidRPr="00092C7B">
        <w:rPr>
          <w:i/>
          <w:iCs/>
        </w:rPr>
        <w:t>τ</w:t>
      </w:r>
      <w:r w:rsidRPr="00092C7B">
        <w:t xml:space="preserve">² = between-study variance. </w:t>
      </w:r>
      <w:r w:rsidRPr="00092C7B">
        <w:rPr>
          <w:i/>
          <w:iCs/>
        </w:rPr>
        <w:t>k</w:t>
      </w:r>
      <w:r w:rsidRPr="00092C7B">
        <w:t xml:space="preserve"> = number of studies.</w:t>
      </w:r>
    </w:p>
    <w:p w14:paraId="24258E8E" w14:textId="77777777" w:rsidR="000C0538" w:rsidRDefault="000C0538" w:rsidP="000C0538">
      <w:pPr>
        <w:spacing w:after="120" w:line="360" w:lineRule="auto"/>
        <w:jc w:val="both"/>
      </w:pPr>
    </w:p>
    <w:p w14:paraId="54D7A5D4" w14:textId="04073915" w:rsidR="00241FE4" w:rsidRDefault="00092C7B">
      <w:pPr>
        <w:spacing w:after="120" w:line="360" w:lineRule="auto"/>
        <w:ind w:firstLine="360"/>
        <w:jc w:val="both"/>
      </w:pPr>
      <w:r w:rsidRPr="00092C7B">
        <w:t xml:space="preserve">Between-study variance </w:t>
      </w:r>
      <w:bookmarkStart w:id="25" w:name="OLE_LINK83"/>
      <w:r w:rsidRPr="00092C7B">
        <w:rPr>
          <w:i/>
          <w:iCs/>
        </w:rPr>
        <w:t>τ</w:t>
      </w:r>
      <w:r w:rsidRPr="00092C7B">
        <w:t>²</w:t>
      </w:r>
      <w:bookmarkEnd w:id="25"/>
      <w:r w:rsidRPr="00092C7B">
        <w:t xml:space="preserve"> was estimated with the restricted maximum-likelihood (REML) estimator</w:t>
      </w:r>
      <w:r w:rsidR="003C65B9">
        <w:rPr>
          <w:rFonts w:hint="eastAsia"/>
        </w:rPr>
        <w:t xml:space="preserve"> (</w:t>
      </w:r>
      <w:proofErr w:type="spellStart"/>
      <w:r w:rsidR="003C65B9" w:rsidRPr="003C65B9">
        <w:t>Viechtbauer</w:t>
      </w:r>
      <w:proofErr w:type="spellEnd"/>
      <w:r w:rsidR="003C65B9">
        <w:rPr>
          <w:rFonts w:hint="eastAsia"/>
        </w:rPr>
        <w:t>, 2005)</w:t>
      </w:r>
      <w:r w:rsidRPr="00092C7B">
        <w:t>. Because the number of included studies was small, the confidence interval of each pooled estimate was calculated with the Hartung-Knapp adjustment, which reduces the risk of false-positive findings when few studies are available (</w:t>
      </w:r>
      <w:proofErr w:type="spellStart"/>
      <w:r w:rsidRPr="00092C7B">
        <w:t>IntHout</w:t>
      </w:r>
      <w:proofErr w:type="spellEnd"/>
      <w:r w:rsidRPr="00092C7B">
        <w:t xml:space="preserve"> et al., 2014; Langan et al., 2019). </w:t>
      </w:r>
    </w:p>
    <w:p w14:paraId="50D9FE3D" w14:textId="77777777" w:rsidR="00926386" w:rsidRDefault="00926386" w:rsidP="00926386">
      <w:pPr>
        <w:spacing w:after="120" w:line="360" w:lineRule="auto"/>
        <w:ind w:firstLine="360"/>
        <w:jc w:val="both"/>
      </w:pPr>
      <w:bookmarkStart w:id="26" w:name="OLE_LINK80"/>
      <w:r w:rsidRPr="0089294E">
        <w:t xml:space="preserve">Standardized mean differences are commonly interpreted using Cohen's (1988) conventional benchmarks. These benchmarks, however, were not derived for any specific clinical context. In the treatment of depression, even an effect as small as </w:t>
      </w:r>
      <w:proofErr w:type="spellStart"/>
      <w:r w:rsidRPr="0089294E">
        <w:t>SMD</w:t>
      </w:r>
      <w:r w:rsidRPr="001228FD">
        <w:rPr>
          <w:vertAlign w:val="subscript"/>
        </w:rPr>
        <w:t>between</w:t>
      </w:r>
      <w:proofErr w:type="spellEnd"/>
      <w:r w:rsidRPr="0089294E">
        <w:t xml:space="preserve"> = 0.24 can be clinically meaningful (Cuijpers et al., 2014). This meta-analysis therefore adopted empirically derived effect-size thresholds for psychotherapy in depression, using the age-specific values reported for children and adolescents (Nordahl-Hansen et al., 2024).</w:t>
      </w:r>
    </w:p>
    <w:p w14:paraId="55FB5DEC" w14:textId="77777777" w:rsidR="00926386" w:rsidRDefault="00926386" w:rsidP="00926386">
      <w:pPr>
        <w:spacing w:after="120"/>
        <w:jc w:val="both"/>
      </w:pPr>
    </w:p>
    <w:p w14:paraId="274F18ED" w14:textId="77777777" w:rsidR="00926386" w:rsidRPr="006750A9" w:rsidRDefault="00926386" w:rsidP="00926386">
      <w:pPr>
        <w:spacing w:after="120"/>
        <w:jc w:val="both"/>
        <w:rPr>
          <w:b/>
          <w:bCs/>
        </w:rPr>
      </w:pPr>
      <w:r w:rsidRPr="006750A9">
        <w:rPr>
          <w:rFonts w:hint="eastAsia"/>
          <w:b/>
          <w:bCs/>
        </w:rPr>
        <w:t xml:space="preserve">Table </w:t>
      </w:r>
      <w:r>
        <w:rPr>
          <w:rFonts w:hint="eastAsia"/>
          <w:b/>
          <w:bCs/>
        </w:rPr>
        <w:t>4</w:t>
      </w:r>
      <w:r w:rsidRPr="006750A9">
        <w:rPr>
          <w:rFonts w:hint="eastAsia"/>
          <w:b/>
          <w:bCs/>
        </w:rPr>
        <w:t xml:space="preserve">. </w:t>
      </w:r>
      <w:r w:rsidRPr="0089294E">
        <w:rPr>
          <w:b/>
          <w:bCs/>
        </w:rPr>
        <w:t>Effect-</w:t>
      </w:r>
      <w:r>
        <w:rPr>
          <w:rFonts w:hint="eastAsia"/>
          <w:b/>
          <w:bCs/>
        </w:rPr>
        <w:t>S</w:t>
      </w:r>
      <w:r w:rsidRPr="0089294E">
        <w:rPr>
          <w:b/>
          <w:bCs/>
        </w:rPr>
        <w:t xml:space="preserve">ize </w:t>
      </w:r>
      <w:r>
        <w:rPr>
          <w:rFonts w:hint="eastAsia"/>
          <w:b/>
          <w:bCs/>
        </w:rPr>
        <w:t>I</w:t>
      </w:r>
      <w:r w:rsidRPr="0089294E">
        <w:rPr>
          <w:b/>
          <w:bCs/>
        </w:rPr>
        <w:t xml:space="preserve">nterpretation </w:t>
      </w:r>
      <w:r>
        <w:rPr>
          <w:rFonts w:hint="eastAsia"/>
          <w:b/>
          <w:bCs/>
        </w:rPr>
        <w:t>T</w:t>
      </w:r>
      <w:r w:rsidRPr="0089294E">
        <w:rPr>
          <w:b/>
          <w:bCs/>
        </w:rPr>
        <w:t>hresholds</w:t>
      </w:r>
    </w:p>
    <w:tbl>
      <w:tblPr>
        <w:tblStyle w:val="af1"/>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926386" w14:paraId="0F2056A3" w14:textId="77777777" w:rsidTr="00EF71F7">
        <w:trPr>
          <w:jc w:val="center"/>
        </w:trPr>
        <w:tc>
          <w:tcPr>
            <w:tcW w:w="3116" w:type="dxa"/>
            <w:tcBorders>
              <w:top w:val="single" w:sz="8" w:space="0" w:color="auto"/>
              <w:bottom w:val="single" w:sz="4" w:space="0" w:color="auto"/>
            </w:tcBorders>
          </w:tcPr>
          <w:p w14:paraId="207C0F0C" w14:textId="77777777" w:rsidR="00926386" w:rsidRDefault="00926386" w:rsidP="00EF71F7">
            <w:pPr>
              <w:spacing w:after="120"/>
              <w:jc w:val="both"/>
            </w:pPr>
            <w:r>
              <w:rPr>
                <w:rFonts w:hint="eastAsia"/>
              </w:rPr>
              <w:t>Interpretation</w:t>
            </w:r>
          </w:p>
        </w:tc>
        <w:tc>
          <w:tcPr>
            <w:tcW w:w="3117" w:type="dxa"/>
            <w:tcBorders>
              <w:top w:val="single" w:sz="8" w:space="0" w:color="auto"/>
              <w:bottom w:val="single" w:sz="4" w:space="0" w:color="auto"/>
            </w:tcBorders>
          </w:tcPr>
          <w:p w14:paraId="5259F5C2" w14:textId="77777777" w:rsidR="00926386" w:rsidRDefault="00926386" w:rsidP="00EF71F7">
            <w:pPr>
              <w:spacing w:after="120"/>
              <w:jc w:val="both"/>
            </w:pPr>
            <w:r w:rsidRPr="00086119">
              <w:t>Cohen</w:t>
            </w:r>
            <w:r>
              <w:rPr>
                <w:rFonts w:hint="eastAsia"/>
              </w:rPr>
              <w:t xml:space="preserve"> (1988)</w:t>
            </w:r>
          </w:p>
        </w:tc>
        <w:tc>
          <w:tcPr>
            <w:tcW w:w="3117" w:type="dxa"/>
            <w:tcBorders>
              <w:top w:val="single" w:sz="8" w:space="0" w:color="auto"/>
              <w:bottom w:val="single" w:sz="4" w:space="0" w:color="auto"/>
            </w:tcBorders>
          </w:tcPr>
          <w:p w14:paraId="6035E85E" w14:textId="77777777" w:rsidR="00926386" w:rsidRDefault="00926386" w:rsidP="00EF71F7">
            <w:pPr>
              <w:spacing w:after="120"/>
              <w:jc w:val="both"/>
            </w:pPr>
            <w:r>
              <w:rPr>
                <w:rFonts w:hint="eastAsia"/>
              </w:rPr>
              <w:t>Nordahl et al. (2024)</w:t>
            </w:r>
          </w:p>
        </w:tc>
      </w:tr>
      <w:tr w:rsidR="00926386" w14:paraId="3D40E52B" w14:textId="77777777" w:rsidTr="00EF71F7">
        <w:trPr>
          <w:jc w:val="center"/>
        </w:trPr>
        <w:tc>
          <w:tcPr>
            <w:tcW w:w="3116" w:type="dxa"/>
            <w:tcBorders>
              <w:top w:val="single" w:sz="4" w:space="0" w:color="auto"/>
            </w:tcBorders>
          </w:tcPr>
          <w:p w14:paraId="66A861B0" w14:textId="77777777" w:rsidR="00926386" w:rsidRDefault="00926386" w:rsidP="00EF71F7">
            <w:pPr>
              <w:spacing w:after="120"/>
              <w:jc w:val="both"/>
            </w:pPr>
            <w:r>
              <w:rPr>
                <w:rFonts w:hint="eastAsia"/>
              </w:rPr>
              <w:lastRenderedPageBreak/>
              <w:t>Small</w:t>
            </w:r>
          </w:p>
        </w:tc>
        <w:tc>
          <w:tcPr>
            <w:tcW w:w="3117" w:type="dxa"/>
            <w:tcBorders>
              <w:top w:val="single" w:sz="4" w:space="0" w:color="auto"/>
            </w:tcBorders>
          </w:tcPr>
          <w:p w14:paraId="64B878CC" w14:textId="77777777" w:rsidR="00926386" w:rsidRDefault="00926386" w:rsidP="00EF71F7">
            <w:pPr>
              <w:spacing w:after="120"/>
              <w:jc w:val="both"/>
            </w:pPr>
            <w:r>
              <w:rPr>
                <w:rFonts w:hint="eastAsia"/>
              </w:rPr>
              <w:t>0.20</w:t>
            </w:r>
          </w:p>
        </w:tc>
        <w:tc>
          <w:tcPr>
            <w:tcW w:w="3117" w:type="dxa"/>
            <w:tcBorders>
              <w:top w:val="single" w:sz="4" w:space="0" w:color="auto"/>
            </w:tcBorders>
          </w:tcPr>
          <w:p w14:paraId="13FF1E7A" w14:textId="77777777" w:rsidR="00926386" w:rsidRDefault="00926386" w:rsidP="00EF71F7">
            <w:pPr>
              <w:spacing w:after="120"/>
              <w:jc w:val="both"/>
            </w:pPr>
            <w:r>
              <w:rPr>
                <w:rFonts w:hint="eastAsia"/>
              </w:rPr>
              <w:t>0.215</w:t>
            </w:r>
          </w:p>
        </w:tc>
      </w:tr>
      <w:tr w:rsidR="00926386" w14:paraId="26F15598" w14:textId="77777777" w:rsidTr="00EF71F7">
        <w:trPr>
          <w:jc w:val="center"/>
        </w:trPr>
        <w:tc>
          <w:tcPr>
            <w:tcW w:w="3116" w:type="dxa"/>
          </w:tcPr>
          <w:p w14:paraId="7DA47AF5" w14:textId="77777777" w:rsidR="00926386" w:rsidRDefault="00926386" w:rsidP="00EF71F7">
            <w:pPr>
              <w:spacing w:after="120"/>
              <w:jc w:val="both"/>
            </w:pPr>
            <w:r>
              <w:t>M</w:t>
            </w:r>
            <w:r>
              <w:rPr>
                <w:rFonts w:hint="eastAsia"/>
              </w:rPr>
              <w:t xml:space="preserve">oderate </w:t>
            </w:r>
          </w:p>
        </w:tc>
        <w:tc>
          <w:tcPr>
            <w:tcW w:w="3117" w:type="dxa"/>
          </w:tcPr>
          <w:p w14:paraId="2A0E0F21" w14:textId="77777777" w:rsidR="00926386" w:rsidRDefault="00926386" w:rsidP="00EF71F7">
            <w:pPr>
              <w:spacing w:after="120"/>
              <w:jc w:val="both"/>
            </w:pPr>
            <w:r>
              <w:rPr>
                <w:rFonts w:hint="eastAsia"/>
              </w:rPr>
              <w:t>0.50</w:t>
            </w:r>
          </w:p>
        </w:tc>
        <w:tc>
          <w:tcPr>
            <w:tcW w:w="3117" w:type="dxa"/>
          </w:tcPr>
          <w:p w14:paraId="78671DDB" w14:textId="77777777" w:rsidR="00926386" w:rsidRDefault="00926386" w:rsidP="00EF71F7">
            <w:pPr>
              <w:spacing w:after="120"/>
              <w:jc w:val="both"/>
            </w:pPr>
            <w:r>
              <w:rPr>
                <w:rFonts w:hint="eastAsia"/>
              </w:rPr>
              <w:t>0.340</w:t>
            </w:r>
          </w:p>
        </w:tc>
      </w:tr>
      <w:tr w:rsidR="00926386" w14:paraId="460270D8" w14:textId="77777777" w:rsidTr="00EF71F7">
        <w:trPr>
          <w:jc w:val="center"/>
        </w:trPr>
        <w:tc>
          <w:tcPr>
            <w:tcW w:w="3116" w:type="dxa"/>
          </w:tcPr>
          <w:p w14:paraId="136D6597" w14:textId="77777777" w:rsidR="00926386" w:rsidRDefault="00926386" w:rsidP="00EF71F7">
            <w:pPr>
              <w:spacing w:after="120"/>
              <w:jc w:val="both"/>
            </w:pPr>
            <w:r>
              <w:rPr>
                <w:rFonts w:hint="eastAsia"/>
              </w:rPr>
              <w:t>Large</w:t>
            </w:r>
          </w:p>
        </w:tc>
        <w:tc>
          <w:tcPr>
            <w:tcW w:w="3117" w:type="dxa"/>
          </w:tcPr>
          <w:p w14:paraId="66DEFC43" w14:textId="77777777" w:rsidR="00926386" w:rsidRDefault="00926386" w:rsidP="00EF71F7">
            <w:pPr>
              <w:spacing w:after="120"/>
              <w:jc w:val="both"/>
            </w:pPr>
            <w:r>
              <w:rPr>
                <w:rFonts w:hint="eastAsia"/>
              </w:rPr>
              <w:t>0.80</w:t>
            </w:r>
          </w:p>
        </w:tc>
        <w:tc>
          <w:tcPr>
            <w:tcW w:w="3117" w:type="dxa"/>
          </w:tcPr>
          <w:p w14:paraId="13808F34" w14:textId="77777777" w:rsidR="00926386" w:rsidRDefault="00926386" w:rsidP="00EF71F7">
            <w:pPr>
              <w:spacing w:after="120"/>
              <w:jc w:val="both"/>
            </w:pPr>
            <w:r>
              <w:rPr>
                <w:rFonts w:hint="eastAsia"/>
              </w:rPr>
              <w:t>0.695</w:t>
            </w:r>
          </w:p>
        </w:tc>
      </w:tr>
    </w:tbl>
    <w:p w14:paraId="66AFD5B9" w14:textId="77777777" w:rsidR="00926386" w:rsidRPr="004C5D59" w:rsidRDefault="00926386" w:rsidP="00926386">
      <w:pPr>
        <w:spacing w:after="120"/>
        <w:rPr>
          <w:sz w:val="16"/>
          <w:szCs w:val="16"/>
        </w:rPr>
      </w:pPr>
      <w:r w:rsidRPr="004C5D59">
        <w:rPr>
          <w:i/>
          <w:iCs/>
          <w:sz w:val="16"/>
          <w:szCs w:val="16"/>
        </w:rPr>
        <w:t>Note</w:t>
      </w:r>
      <w:r w:rsidRPr="004C5D59">
        <w:rPr>
          <w:sz w:val="16"/>
          <w:szCs w:val="16"/>
        </w:rPr>
        <w:t>.</w:t>
      </w:r>
      <w:r w:rsidRPr="004C5D59">
        <w:rPr>
          <w:rFonts w:hint="eastAsia"/>
          <w:sz w:val="16"/>
          <w:szCs w:val="16"/>
        </w:rPr>
        <w:t xml:space="preserve"> </w:t>
      </w:r>
      <w:r w:rsidRPr="004C5D59">
        <w:rPr>
          <w:sz w:val="16"/>
          <w:szCs w:val="16"/>
        </w:rPr>
        <w:t xml:space="preserve">Values are thresholds for the standardized mean difference (Hedges' </w:t>
      </w:r>
      <w:r w:rsidRPr="004C5D59">
        <w:rPr>
          <w:i/>
          <w:iCs/>
          <w:sz w:val="16"/>
          <w:szCs w:val="16"/>
        </w:rPr>
        <w:t>g</w:t>
      </w:r>
      <w:r w:rsidRPr="004C5D59">
        <w:rPr>
          <w:sz w:val="16"/>
          <w:szCs w:val="16"/>
        </w:rPr>
        <w:t xml:space="preserve">). Cohen (1988) values are the conventional benchmarks. Nordahl-Hansen et al. (2024) values are the empirically derived 25th, 50th, and 75th percentile thresholds for the children and </w:t>
      </w:r>
      <w:proofErr w:type="gramStart"/>
      <w:r w:rsidRPr="004C5D59">
        <w:rPr>
          <w:sz w:val="16"/>
          <w:szCs w:val="16"/>
        </w:rPr>
        <w:t>adolescents</w:t>
      </w:r>
      <w:proofErr w:type="gramEnd"/>
      <w:r w:rsidRPr="004C5D59">
        <w:rPr>
          <w:sz w:val="16"/>
          <w:szCs w:val="16"/>
        </w:rPr>
        <w:t xml:space="preserve"> subgroup.</w:t>
      </w:r>
    </w:p>
    <w:bookmarkEnd w:id="26"/>
    <w:p w14:paraId="3D4C341E" w14:textId="77777777" w:rsidR="00926386" w:rsidRPr="00926386" w:rsidRDefault="00926386">
      <w:pPr>
        <w:spacing w:after="120" w:line="360" w:lineRule="auto"/>
        <w:ind w:firstLine="360"/>
        <w:jc w:val="both"/>
      </w:pPr>
    </w:p>
    <w:p w14:paraId="13088AE4" w14:textId="77777777" w:rsidR="000C0538" w:rsidRDefault="000C0538">
      <w:pPr>
        <w:spacing w:after="120" w:line="360" w:lineRule="auto"/>
        <w:ind w:firstLine="360"/>
        <w:jc w:val="both"/>
      </w:pPr>
    </w:p>
    <w:p w14:paraId="47279808" w14:textId="313C0C0D" w:rsidR="000C0538" w:rsidRPr="000C0538" w:rsidRDefault="000C0538">
      <w:pPr>
        <w:spacing w:after="120" w:line="360" w:lineRule="auto"/>
        <w:ind w:firstLine="360"/>
        <w:jc w:val="both"/>
        <w:rPr>
          <w:b/>
          <w:bCs/>
        </w:rPr>
      </w:pPr>
      <w:r w:rsidRPr="000C0538">
        <w:rPr>
          <w:rFonts w:hint="eastAsia"/>
          <w:b/>
          <w:bCs/>
        </w:rPr>
        <w:t>Heterogeneity</w:t>
      </w:r>
    </w:p>
    <w:p w14:paraId="44903B02" w14:textId="04982096" w:rsidR="0096433D" w:rsidRDefault="00645D7F" w:rsidP="00645D7F">
      <w:pPr>
        <w:spacing w:after="120" w:line="360" w:lineRule="auto"/>
        <w:ind w:firstLine="360"/>
        <w:jc w:val="both"/>
      </w:pPr>
      <w:r w:rsidRPr="00645D7F">
        <w:t xml:space="preserve">Heterogeneity was quantified using Cochran's </w:t>
      </w:r>
      <w:r w:rsidRPr="00645D7F">
        <w:rPr>
          <w:i/>
          <w:iCs/>
        </w:rPr>
        <w:t>Q</w:t>
      </w:r>
      <w:r w:rsidRPr="00645D7F">
        <w:t xml:space="preserve">, </w:t>
      </w:r>
      <w:r w:rsidRPr="00645D7F">
        <w:rPr>
          <w:rFonts w:hint="eastAsia"/>
          <w:i/>
          <w:iCs/>
        </w:rPr>
        <w:t>I</w:t>
      </w:r>
      <w:r w:rsidRPr="00645D7F">
        <w:rPr>
          <w:rFonts w:hint="eastAsia"/>
          <w:vertAlign w:val="superscript"/>
        </w:rPr>
        <w:t>2</w:t>
      </w:r>
      <w:r w:rsidRPr="00645D7F">
        <w:t>, and</w:t>
      </w:r>
      <w:r>
        <w:rPr>
          <w:rFonts w:hint="eastAsia"/>
        </w:rPr>
        <w:t xml:space="preserve"> </w:t>
      </w:r>
      <m:oMath>
        <m:sSup>
          <m:sSupPr>
            <m:ctrlPr>
              <w:rPr>
                <w:rFonts w:ascii="Cambria Math" w:hAnsi="Cambria Math"/>
                <w:i/>
              </w:rPr>
            </m:ctrlPr>
          </m:sSupPr>
          <m:e>
            <m:r>
              <m:rPr>
                <m:sty m:val="p"/>
              </m:rPr>
              <w:rPr>
                <w:rFonts w:ascii="Cambria Math" w:hAnsi="Cambria Math"/>
              </w:rPr>
              <m:t>τ</m:t>
            </m:r>
          </m:e>
          <m:sup>
            <m:r>
              <w:rPr>
                <w:rFonts w:ascii="Cambria Math" w:hAnsi="Cambria Math"/>
              </w:rPr>
              <m:t>2</m:t>
            </m:r>
          </m:sup>
        </m:sSup>
      </m:oMath>
      <w:r w:rsidRPr="00645D7F">
        <w:t xml:space="preserve">. Cochran's </w:t>
      </w:r>
      <w:r w:rsidRPr="00645D7F">
        <w:rPr>
          <w:i/>
          <w:iCs/>
        </w:rPr>
        <w:t>Q</w:t>
      </w:r>
      <w:r w:rsidRPr="00645D7F">
        <w:t xml:space="preserve"> evaluates whether the dispersion of observed study effects around the pooled effect is greater than would be expected from sampling error alone:</w:t>
      </w:r>
    </w:p>
    <w:p w14:paraId="65A89C78" w14:textId="108790B9" w:rsidR="00C43BB7" w:rsidRPr="00C43BB7" w:rsidRDefault="00C43BB7" w:rsidP="0096433D">
      <w:pPr>
        <w:spacing w:after="120" w:line="360" w:lineRule="auto"/>
        <w:jc w:val="both"/>
        <w:rPr>
          <w:rFonts w:hint="eastAsia"/>
          <w:sz w:val="24"/>
          <w:szCs w:val="24"/>
        </w:rPr>
      </w:pPr>
      <m:oMathPara>
        <m:oMath>
          <m:r>
            <m:rPr>
              <m:sty m:val="p"/>
            </m:rPr>
            <w:rPr>
              <w:rFonts w:ascii="Cambria Math" w:hAnsi="Cambria Math"/>
              <w:sz w:val="24"/>
              <w:szCs w:val="24"/>
            </w:rPr>
            <m:t>Q</m:t>
          </m:r>
          <m:r>
            <w:rPr>
              <w:rFonts w:ascii="Cambria Math" w:hAnsi="Cambria Math"/>
              <w:sz w:val="24"/>
              <w:szCs w:val="24"/>
            </w:rPr>
            <m:t>=</m:t>
          </m:r>
          <m:nary>
            <m:naryPr>
              <m:chr m:val="∑"/>
              <m:ctrlPr>
                <w:rPr>
                  <w:rFonts w:ascii="Cambria Math" w:hAnsi="Cambria Math"/>
                  <w:sz w:val="24"/>
                  <w:szCs w:val="24"/>
                </w:rPr>
              </m:ctrlPr>
            </m:naryPr>
            <m:sub>
              <m:r>
                <w:rPr>
                  <w:rFonts w:ascii="Cambria Math" w:hAnsi="Cambria Math"/>
                  <w:sz w:val="24"/>
                  <w:szCs w:val="24"/>
                </w:rPr>
                <m:t>i=1</m:t>
              </m:r>
              <m:ctrlPr>
                <w:rPr>
                  <w:rFonts w:ascii="Cambria Math" w:hAnsi="Cambria Math"/>
                  <w:i/>
                  <w:sz w:val="24"/>
                  <w:szCs w:val="24"/>
                </w:rPr>
              </m:ctrlPr>
            </m:sub>
            <m:sup>
              <m:r>
                <w:rPr>
                  <w:rFonts w:ascii="Cambria Math" w:hAnsi="Cambria Math"/>
                  <w:sz w:val="24"/>
                  <w:szCs w:val="24"/>
                </w:rPr>
                <m:t>k</m:t>
              </m:r>
              <m:ctrlPr>
                <w:rPr>
                  <w:rFonts w:ascii="Cambria Math" w:hAnsi="Cambria Math"/>
                  <w:i/>
                  <w:sz w:val="24"/>
                  <w:szCs w:val="24"/>
                </w:rPr>
              </m:ctrlPr>
            </m:sup>
            <m:e>
              <m:sSubSup>
                <m:sSubSupPr>
                  <m:ctrlPr>
                    <w:rPr>
                      <w:rFonts w:ascii="Cambria Math" w:hAnsi="Cambria Math"/>
                      <w:i/>
                      <w:sz w:val="24"/>
                      <w:szCs w:val="24"/>
                    </w:rPr>
                  </m:ctrlPr>
                </m:sSubSupPr>
                <m:e>
                  <m:r>
                    <w:rPr>
                      <w:rFonts w:ascii="Cambria Math" w:hAnsi="Cambria Math"/>
                      <w:sz w:val="24"/>
                      <w:szCs w:val="24"/>
                    </w:rPr>
                    <m:t>w</m:t>
                  </m:r>
                </m:e>
                <m:sub>
                  <m:r>
                    <w:rPr>
                      <w:rFonts w:ascii="Cambria Math" w:hAnsi="Cambria Math"/>
                      <w:sz w:val="24"/>
                      <w:szCs w:val="24"/>
                    </w:rPr>
                    <m:t>i</m:t>
                  </m:r>
                </m:sub>
                <m:sup>
                  <m:r>
                    <w:rPr>
                      <w:rFonts w:ascii="Cambria Math" w:hAnsi="Cambria Math"/>
                      <w:sz w:val="24"/>
                      <w:szCs w:val="24"/>
                    </w:rPr>
                    <m:t>FE</m:t>
                  </m:r>
                </m:sup>
              </m:sSubSup>
              <m:sSup>
                <m:sSupPr>
                  <m:ctrlPr>
                    <w:rPr>
                      <w:rFonts w:ascii="Cambria Math" w:hAnsi="Cambria Math"/>
                      <w:i/>
                      <w:sz w:val="24"/>
                      <w:szCs w:val="24"/>
                    </w:rPr>
                  </m:ctrlPr>
                </m:sSupPr>
                <m:e>
                  <m:d>
                    <m:dPr>
                      <m:ctrlPr>
                        <w:rPr>
                          <w:rFonts w:ascii="Cambria Math" w:hAnsi="Cambria Math"/>
                          <w:sz w:val="24"/>
                          <w:szCs w:val="24"/>
                        </w:rPr>
                      </m:ctrlPr>
                    </m:dPr>
                    <m:e>
                      <m:sSub>
                        <m:sSubPr>
                          <m:ctrlPr>
                            <w:rPr>
                              <w:rFonts w:ascii="Cambria Math" w:hAnsi="Cambria Math"/>
                              <w:i/>
                              <w:sz w:val="24"/>
                              <w:szCs w:val="24"/>
                            </w:rPr>
                          </m:ctrlPr>
                        </m:sSubPr>
                        <m:e>
                          <m:acc>
                            <m:accPr>
                              <m:ctrlPr>
                                <w:rPr>
                                  <w:rFonts w:ascii="Cambria Math" w:hAnsi="Cambria Math"/>
                                  <w:sz w:val="24"/>
                                  <w:szCs w:val="24"/>
                                </w:rPr>
                              </m:ctrlPr>
                            </m:accPr>
                            <m:e>
                              <m:r>
                                <m:rPr>
                                  <m:sty m:val="p"/>
                                </m:rPr>
                                <w:rPr>
                                  <w:rFonts w:ascii="Cambria Math" w:hAnsi="Cambria Math"/>
                                  <w:sz w:val="24"/>
                                  <w:szCs w:val="24"/>
                                </w:rPr>
                                <m:t>θ</m:t>
                              </m:r>
                            </m:e>
                          </m:acc>
                          <m:ctrlPr>
                            <w:rPr>
                              <w:rFonts w:ascii="Cambria Math" w:hAnsi="Cambria Math"/>
                              <w:sz w:val="24"/>
                              <w:szCs w:val="24"/>
                            </w:rPr>
                          </m:ctrlPr>
                        </m:e>
                        <m:sub>
                          <m:r>
                            <w:rPr>
                              <w:rFonts w:ascii="Cambria Math" w:hAnsi="Cambria Math"/>
                              <w:sz w:val="24"/>
                              <w:szCs w:val="24"/>
                            </w:rPr>
                            <m:t>i</m:t>
                          </m:r>
                        </m:sub>
                      </m:sSub>
                      <m:r>
                        <w:rPr>
                          <w:rFonts w:ascii="Cambria Math" w:hAnsi="Cambria Math"/>
                          <w:sz w:val="24"/>
                          <w:szCs w:val="24"/>
                        </w:rPr>
                        <m:t>-</m:t>
                      </m:r>
                      <m:sSub>
                        <m:sSubPr>
                          <m:ctrlPr>
                            <w:rPr>
                              <w:rFonts w:ascii="Cambria Math" w:hAnsi="Cambria Math"/>
                              <w:i/>
                              <w:sz w:val="24"/>
                              <w:szCs w:val="24"/>
                            </w:rPr>
                          </m:ctrlPr>
                        </m:sSubPr>
                        <m:e>
                          <m:acc>
                            <m:accPr>
                              <m:ctrlPr>
                                <w:rPr>
                                  <w:rFonts w:ascii="Cambria Math" w:hAnsi="Cambria Math"/>
                                  <w:sz w:val="24"/>
                                  <w:szCs w:val="24"/>
                                </w:rPr>
                              </m:ctrlPr>
                            </m:accPr>
                            <m:e>
                              <m:r>
                                <m:rPr>
                                  <m:sty m:val="p"/>
                                </m:rPr>
                                <w:rPr>
                                  <w:rFonts w:ascii="Cambria Math" w:hAnsi="Cambria Math"/>
                                  <w:sz w:val="24"/>
                                  <w:szCs w:val="24"/>
                                </w:rPr>
                                <m:t>θ</m:t>
                              </m:r>
                            </m:e>
                          </m:acc>
                        </m:e>
                        <m:sub>
                          <m:r>
                            <w:rPr>
                              <w:rFonts w:ascii="Cambria Math" w:hAnsi="Cambria Math"/>
                              <w:sz w:val="24"/>
                              <w:szCs w:val="24"/>
                            </w:rPr>
                            <m:t>FE</m:t>
                          </m:r>
                        </m:sub>
                      </m:sSub>
                      <m:ctrlPr>
                        <w:rPr>
                          <w:rFonts w:ascii="Cambria Math" w:hAnsi="Cambria Math"/>
                          <w:i/>
                          <w:sz w:val="24"/>
                          <w:szCs w:val="24"/>
                        </w:rPr>
                      </m:ctrlPr>
                    </m:e>
                  </m:d>
                </m:e>
                <m:sup>
                  <m:r>
                    <w:rPr>
                      <w:rFonts w:ascii="Cambria Math" w:hAnsi="Cambria Math"/>
                      <w:sz w:val="24"/>
                      <w:szCs w:val="24"/>
                    </w:rPr>
                    <m:t>2</m:t>
                  </m:r>
                </m:sup>
              </m:sSup>
              <m:ctrlPr>
                <w:rPr>
                  <w:rFonts w:ascii="Cambria Math" w:hAnsi="Cambria Math"/>
                  <w:i/>
                  <w:sz w:val="24"/>
                  <w:szCs w:val="24"/>
                </w:rPr>
              </m:ctrlPr>
            </m:e>
          </m:nary>
        </m:oMath>
      </m:oMathPara>
    </w:p>
    <w:p w14:paraId="5FAD3758" w14:textId="6E904DE9" w:rsidR="00432A58" w:rsidRPr="00EC04D2" w:rsidRDefault="00432A58" w:rsidP="0096433D">
      <w:pPr>
        <w:spacing w:after="120" w:line="360" w:lineRule="auto"/>
        <w:jc w:val="both"/>
        <w:rPr>
          <w:sz w:val="24"/>
          <w:szCs w:val="24"/>
        </w:rPr>
      </w:pPr>
      <m:oMathPara>
        <m:oMath>
          <m:r>
            <w:rPr>
              <w:rFonts w:ascii="Cambria Math" w:hAnsi="Cambria Math"/>
            </w:rPr>
            <m:t>Q~</m:t>
          </m:r>
          <m:sSubSup>
            <m:sSubSupPr>
              <m:ctrlPr>
                <w:rPr>
                  <w:rFonts w:ascii="Cambria Math" w:hAnsi="Cambria Math"/>
                  <w:i/>
                </w:rPr>
              </m:ctrlPr>
            </m:sSubSupPr>
            <m:e>
              <m:r>
                <m:rPr>
                  <m:sty m:val="p"/>
                </m:rPr>
                <w:rPr>
                  <w:rFonts w:ascii="Cambria Math" w:hAnsi="Cambria Math"/>
                </w:rPr>
                <m:t>χ</m:t>
              </m:r>
            </m:e>
            <m:sub>
              <m:r>
                <w:rPr>
                  <w:rFonts w:ascii="Cambria Math" w:hAnsi="Cambria Math"/>
                </w:rPr>
                <m:t>k-1</m:t>
              </m:r>
            </m:sub>
            <m:sup>
              <m:r>
                <w:rPr>
                  <w:rFonts w:ascii="Cambria Math" w:hAnsi="Cambria Math"/>
                </w:rPr>
                <m:t>2</m:t>
              </m:r>
            </m:sup>
          </m:sSubSup>
        </m:oMath>
      </m:oMathPara>
    </w:p>
    <w:p w14:paraId="2447D60E" w14:textId="3926CE8E" w:rsidR="00432A58" w:rsidRPr="00F12818" w:rsidRDefault="00645D7F" w:rsidP="0096433D">
      <w:pPr>
        <w:spacing w:after="120" w:line="360" w:lineRule="auto"/>
        <w:jc w:val="both"/>
        <w:rPr>
          <w:iCs/>
        </w:rPr>
      </w:pPr>
      <w:r>
        <w:tab/>
      </w:r>
      <w:r w:rsidRPr="00645D7F">
        <w:t xml:space="preserve">where </w:t>
      </w:r>
      <w:r>
        <w:rPr>
          <w:rFonts w:hint="eastAsia"/>
        </w:rPr>
        <w:t xml:space="preserve"> </w:t>
      </w:r>
      <m:oMath>
        <m:sSub>
          <m:sSubPr>
            <m:ctrlPr>
              <w:rPr>
                <w:rFonts w:ascii="Cambria Math" w:hAnsi="Cambria Math"/>
                <w:iCs/>
              </w:rPr>
            </m:ctrlPr>
          </m:sSubPr>
          <m:e>
            <m:acc>
              <m:accPr>
                <m:ctrlPr>
                  <w:rPr>
                    <w:rFonts w:ascii="Cambria Math" w:hAnsi="Cambria Math"/>
                    <w:iCs/>
                  </w:rPr>
                </m:ctrlPr>
              </m:accPr>
              <m:e>
                <m:r>
                  <m:rPr>
                    <m:sty m:val="p"/>
                  </m:rPr>
                  <w:rPr>
                    <w:rFonts w:ascii="Cambria Math" w:hAnsi="Cambria Math"/>
                  </w:rPr>
                  <m:t>θ</m:t>
                </m:r>
              </m:e>
            </m:acc>
          </m:e>
          <m:sub>
            <m:r>
              <m:rPr>
                <m:sty m:val="p"/>
              </m:rPr>
              <w:rPr>
                <w:rFonts w:ascii="Cambria Math" w:hAnsi="Cambria Math"/>
              </w:rPr>
              <m:t>FE</m:t>
            </m:r>
          </m:sub>
        </m:sSub>
      </m:oMath>
      <w:r w:rsidR="00F12818">
        <w:rPr>
          <w:rFonts w:hint="eastAsia"/>
          <w:iCs/>
        </w:rPr>
        <w:t xml:space="preserve"> </w:t>
      </w:r>
      <w:r w:rsidRPr="00645D7F">
        <w:t xml:space="preserve">is the fixed-effect pooled estimate, and </w:t>
      </w:r>
      <w:r w:rsidRPr="00645D7F">
        <w:rPr>
          <w:i/>
          <w:iCs/>
        </w:rPr>
        <w:t>k</w:t>
      </w:r>
      <w:r w:rsidRPr="00645D7F">
        <w:t xml:space="preserve"> is the number of studies. </w:t>
      </w:r>
      <w:r w:rsidR="00225746" w:rsidRPr="00225746">
        <w:t xml:space="preserve">Under the null hypothesis of homogeneity, Cochran's </w:t>
      </w:r>
      <w:r w:rsidR="00225746" w:rsidRPr="00225746">
        <w:rPr>
          <w:rFonts w:hint="eastAsia"/>
          <w:i/>
          <w:iCs/>
        </w:rPr>
        <w:t>Q</w:t>
      </w:r>
      <w:r w:rsidR="00225746" w:rsidRPr="00225746">
        <w:t xml:space="preserve"> approximately follows a chi-square distribution with </w:t>
      </w:r>
      <w:r w:rsidR="00225746" w:rsidRPr="00225746">
        <w:rPr>
          <w:i/>
          <w:iCs/>
        </w:rPr>
        <w:t>k</w:t>
      </w:r>
      <w:r w:rsidR="00225746" w:rsidRPr="00225746">
        <w:t>−</w:t>
      </w:r>
      <w:r w:rsidR="00225746">
        <w:rPr>
          <w:rFonts w:hint="eastAsia"/>
        </w:rPr>
        <w:t>1</w:t>
      </w:r>
      <w:r w:rsidR="00225746" w:rsidRPr="00225746">
        <w:t xml:space="preserve"> degrees of freedom.</w:t>
      </w:r>
    </w:p>
    <w:p w14:paraId="0C05DBAD" w14:textId="32F55FB8" w:rsidR="00FB3BC0" w:rsidRDefault="00EC76E3" w:rsidP="00EC76E3">
      <w:pPr>
        <w:spacing w:after="120" w:line="360" w:lineRule="auto"/>
        <w:ind w:firstLine="360"/>
        <w:jc w:val="both"/>
      </w:pPr>
      <w:r w:rsidRPr="00432A58">
        <w:rPr>
          <w:rFonts w:hint="eastAsia"/>
          <w:i/>
          <w:iCs/>
        </w:rPr>
        <w:t>I</w:t>
      </w:r>
      <w:r w:rsidRPr="00432A58">
        <w:rPr>
          <w:rFonts w:hint="eastAsia"/>
          <w:vertAlign w:val="superscript"/>
        </w:rPr>
        <w:t>2</w:t>
      </w:r>
      <w:r>
        <w:rPr>
          <w:rFonts w:hint="eastAsia"/>
        </w:rPr>
        <w:t xml:space="preserve"> </w:t>
      </w:r>
      <w:r w:rsidR="00432A58">
        <w:rPr>
          <w:rFonts w:hint="eastAsia"/>
        </w:rPr>
        <w:t>further estimates the proportion of deviation that cannot be accounted by random sampling error</w:t>
      </w:r>
      <w:r w:rsidR="00A56615">
        <w:rPr>
          <w:rFonts w:hint="eastAsia"/>
        </w:rPr>
        <w:t xml:space="preserve">. </w:t>
      </w:r>
      <w:r w:rsidR="00645D7F" w:rsidRPr="00645D7F">
        <w:t xml:space="preserve">Following Higgins et al. (2003), </w:t>
      </w:r>
      <w:r w:rsidR="00645D7F" w:rsidRPr="00645D7F">
        <w:rPr>
          <w:i/>
          <w:iCs/>
        </w:rPr>
        <w:t>I</w:t>
      </w:r>
      <w:r w:rsidR="00645D7F" w:rsidRPr="00645D7F">
        <w:rPr>
          <w:vertAlign w:val="superscript"/>
        </w:rPr>
        <w:t>2</w:t>
      </w:r>
      <w:r w:rsidR="00645D7F" w:rsidRPr="00645D7F">
        <w:t xml:space="preserve"> values of approximately 25%, 50%, and 75% were interpreted as low, moderate, and high heterogeneity, respectively. Prediction intervals </w:t>
      </w:r>
      <w:r w:rsidR="00393911">
        <w:rPr>
          <w:rFonts w:hint="eastAsia"/>
        </w:rPr>
        <w:t xml:space="preserve">(PI) </w:t>
      </w:r>
      <w:r w:rsidR="00645D7F" w:rsidRPr="00645D7F">
        <w:t>were reported alongside 95% confidence intervals to convey the range of effects expected in a future comparable setting (</w:t>
      </w:r>
      <w:proofErr w:type="spellStart"/>
      <w:r w:rsidR="00645D7F" w:rsidRPr="00645D7F">
        <w:t>IntHout</w:t>
      </w:r>
      <w:proofErr w:type="spellEnd"/>
      <w:r w:rsidR="00645D7F" w:rsidRPr="00645D7F">
        <w:t xml:space="preserve"> et al., 2016).</w:t>
      </w:r>
    </w:p>
    <w:p w14:paraId="58EF3024" w14:textId="6B16BD60" w:rsidR="007868BA" w:rsidRPr="007868BA" w:rsidRDefault="00000000" w:rsidP="007868BA">
      <w:pPr>
        <w:spacing w:after="120" w:line="360" w:lineRule="auto"/>
        <w:ind w:firstLine="360"/>
        <w:jc w:val="both"/>
        <w:rPr>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unc>
            <m:funcPr>
              <m:ctrlPr>
                <w:rPr>
                  <w:rFonts w:ascii="Cambria Math" w:hAnsi="Cambria Math"/>
                  <w:iCs/>
                </w:rPr>
              </m:ctrlPr>
            </m:funcPr>
            <m:fName>
              <m:r>
                <m:rPr>
                  <m:sty m:val="p"/>
                </m:rPr>
                <w:rPr>
                  <w:rFonts w:ascii="Cambria Math" w:hAnsi="Cambria Math"/>
                </w:rPr>
                <m:t>max</m:t>
              </m:r>
              <m:ctrlPr>
                <w:rPr>
                  <w:rFonts w:ascii="Cambria Math" w:hAnsi="Cambria Math"/>
                  <w:i/>
                  <w:iCs/>
                </w:rPr>
              </m:ctrlPr>
            </m:fName>
            <m:e>
              <m:d>
                <m:dPr>
                  <m:ctrlPr>
                    <w:rPr>
                      <w:rFonts w:ascii="Cambria Math" w:hAnsi="Cambria Math"/>
                      <w:iCs/>
                    </w:rPr>
                  </m:ctrlPr>
                </m:dPr>
                <m:e>
                  <m:r>
                    <w:rPr>
                      <w:rFonts w:ascii="Cambria Math" w:hAnsi="Cambria Math"/>
                    </w:rPr>
                    <m:t>0,</m:t>
                  </m:r>
                  <m:f>
                    <m:fPr>
                      <m:ctrlPr>
                        <w:rPr>
                          <w:rFonts w:ascii="Cambria Math" w:hAnsi="Cambria Math"/>
                          <w:iCs/>
                        </w:rPr>
                      </m:ctrlPr>
                    </m:fPr>
                    <m:num>
                      <m:r>
                        <w:rPr>
                          <w:rFonts w:ascii="Cambria Math" w:hAnsi="Cambria Math"/>
                        </w:rPr>
                        <m:t>Q-</m:t>
                      </m:r>
                      <m:d>
                        <m:dPr>
                          <m:ctrlPr>
                            <w:rPr>
                              <w:rFonts w:ascii="Cambria Math" w:hAnsi="Cambria Math"/>
                              <w:i/>
                              <w:iCs/>
                            </w:rPr>
                          </m:ctrlPr>
                        </m:dPr>
                        <m:e>
                          <m:r>
                            <w:rPr>
                              <w:rFonts w:ascii="Cambria Math" w:hAnsi="Cambria Math"/>
                            </w:rPr>
                            <m:t>k-1</m:t>
                          </m:r>
                        </m:e>
                      </m:d>
                      <m:ctrlPr>
                        <w:rPr>
                          <w:rFonts w:ascii="Cambria Math" w:hAnsi="Cambria Math"/>
                          <w:i/>
                          <w:iCs/>
                        </w:rPr>
                      </m:ctrlPr>
                    </m:num>
                    <m:den>
                      <m:r>
                        <w:rPr>
                          <w:rFonts w:ascii="Cambria Math" w:hAnsi="Cambria Math"/>
                        </w:rPr>
                        <m:t>Q</m:t>
                      </m:r>
                      <m:ctrlPr>
                        <w:rPr>
                          <w:rFonts w:ascii="Cambria Math" w:hAnsi="Cambria Math"/>
                          <w:i/>
                          <w:iCs/>
                        </w:rPr>
                      </m:ctrlPr>
                    </m:den>
                  </m:f>
                  <m:ctrlPr>
                    <w:rPr>
                      <w:rFonts w:ascii="Cambria Math" w:hAnsi="Cambria Math"/>
                      <w:i/>
                      <w:iCs/>
                    </w:rPr>
                  </m:ctrlPr>
                </m:e>
              </m:d>
            </m:e>
          </m:func>
          <m:r>
            <m:rPr>
              <m:sty m:val="p"/>
            </m:rPr>
            <w:rPr>
              <w:rFonts w:ascii="Cambria Math" w:hAnsi="Cambria Math" w:hint="eastAsia"/>
            </w:rPr>
            <m:t>×</m:t>
          </m:r>
          <m:r>
            <w:rPr>
              <w:rFonts w:ascii="Cambria Math" w:hAnsi="Cambria Math"/>
            </w:rPr>
            <m:t>100%</m:t>
          </m:r>
        </m:oMath>
      </m:oMathPara>
    </w:p>
    <w:p w14:paraId="0C9AA5B5" w14:textId="6A444A9C" w:rsidR="00261750" w:rsidRPr="007868BA" w:rsidRDefault="00261750" w:rsidP="007868BA">
      <w:pPr>
        <w:spacing w:after="120" w:line="360" w:lineRule="auto"/>
        <w:ind w:firstLine="360"/>
        <w:jc w:val="both"/>
        <w:rPr>
          <w:rFonts w:ascii="Cambria Math" w:hAnsi="Cambria Math"/>
          <w:oMath/>
        </w:rPr>
      </w:pPr>
      <m:oMathPara>
        <m:oMath>
          <m:r>
            <w:rPr>
              <w:rFonts w:ascii="Cambria Math" w:hAnsi="Cambria Math"/>
            </w:rPr>
            <m:t>PI=</m:t>
          </m:r>
          <m:acc>
            <m:accPr>
              <m:ctrlPr>
                <w:rPr>
                  <w:rFonts w:ascii="Cambria Math" w:hAnsi="Cambria Math"/>
                  <w:iCs/>
                </w:rPr>
              </m:ctrlPr>
            </m:accPr>
            <m:e>
              <m:r>
                <m:rPr>
                  <m:sty m:val="p"/>
                </m:rPr>
                <w:rPr>
                  <w:rFonts w:ascii="Cambria Math" w:hAnsi="Cambria Math"/>
                </w:rPr>
                <m:t>θ</m:t>
              </m:r>
            </m:e>
          </m:acc>
          <m:r>
            <m:rPr>
              <m:sty m:val="p"/>
            </m:rPr>
            <w:rPr>
              <w:rFonts w:ascii="Cambria Math" w:hAnsi="Cambria Math" w:hint="eastAsia"/>
            </w:rPr>
            <m:t>±</m:t>
          </m:r>
          <m:r>
            <w:rPr>
              <w:rFonts w:ascii="Cambria Math" w:hAnsi="Cambria Math"/>
            </w:rPr>
            <m:t>t</m:t>
          </m:r>
          <m:rad>
            <m:radPr>
              <m:degHide m:val="1"/>
              <m:ctrlPr>
                <w:rPr>
                  <w:rFonts w:ascii="Cambria Math" w:hAnsi="Cambria Math"/>
                  <w:iCs/>
                </w:rPr>
              </m:ctrlPr>
            </m:radPr>
            <m:deg>
              <m:ctrlPr>
                <w:rPr>
                  <w:rFonts w:ascii="Cambria Math" w:hAnsi="Cambria Math"/>
                  <w:i/>
                  <w:iCs/>
                </w:rPr>
              </m:ctrlPr>
            </m:deg>
            <m:e>
              <m:r>
                <w:rPr>
                  <w:rFonts w:ascii="Cambria Math" w:hAnsi="Cambria Math"/>
                </w:rPr>
                <m:t>S</m:t>
              </m:r>
              <m:sSubSup>
                <m:sSubSupPr>
                  <m:ctrlPr>
                    <w:rPr>
                      <w:rFonts w:ascii="Cambria Math" w:hAnsi="Cambria Math"/>
                      <w:i/>
                      <w:iCs/>
                    </w:rPr>
                  </m:ctrlPr>
                </m:sSubSupPr>
                <m:e>
                  <m:r>
                    <w:rPr>
                      <w:rFonts w:ascii="Cambria Math" w:hAnsi="Cambria Math"/>
                    </w:rPr>
                    <m:t>E</m:t>
                  </m:r>
                </m:e>
                <m:sub>
                  <m:acc>
                    <m:accPr>
                      <m:ctrlPr>
                        <w:rPr>
                          <w:rFonts w:ascii="Cambria Math" w:hAnsi="Cambria Math"/>
                          <w:iCs/>
                        </w:rPr>
                      </m:ctrlPr>
                    </m:accPr>
                    <m:e>
                      <m:r>
                        <m:rPr>
                          <m:sty m:val="p"/>
                        </m:rPr>
                        <w:rPr>
                          <w:rFonts w:ascii="Cambria Math" w:hAnsi="Cambria Math"/>
                        </w:rPr>
                        <m:t>θ</m:t>
                      </m:r>
                    </m:e>
                  </m:acc>
                </m:sub>
                <m:sup>
                  <m:r>
                    <w:rPr>
                      <w:rFonts w:ascii="Cambria Math" w:hAnsi="Cambria Math"/>
                    </w:rPr>
                    <m:t>2</m:t>
                  </m:r>
                </m:sup>
              </m:sSubSup>
              <m:r>
                <w:rPr>
                  <w:rFonts w:ascii="Cambria Math" w:hAnsi="Cambria Math"/>
                </w:rPr>
                <m:t>+</m:t>
              </m:r>
              <m:sSup>
                <m:sSupPr>
                  <m:ctrlPr>
                    <w:rPr>
                      <w:rFonts w:ascii="Cambria Math" w:hAnsi="Cambria Math"/>
                      <w:i/>
                      <w:iCs/>
                    </w:rPr>
                  </m:ctrlPr>
                </m:sSupPr>
                <m:e>
                  <m:acc>
                    <m:accPr>
                      <m:ctrlPr>
                        <w:rPr>
                          <w:rFonts w:ascii="Cambria Math" w:hAnsi="Cambria Math"/>
                          <w:iCs/>
                        </w:rPr>
                      </m:ctrlPr>
                    </m:accPr>
                    <m:e>
                      <m:r>
                        <m:rPr>
                          <m:sty m:val="p"/>
                        </m:rPr>
                        <w:rPr>
                          <w:rFonts w:ascii="Cambria Math" w:hAnsi="Cambria Math"/>
                        </w:rPr>
                        <m:t>τ</m:t>
                      </m:r>
                    </m:e>
                  </m:acc>
                </m:e>
                <m:sup>
                  <m:r>
                    <w:rPr>
                      <w:rFonts w:ascii="Cambria Math" w:hAnsi="Cambria Math"/>
                    </w:rPr>
                    <m:t>2</m:t>
                  </m:r>
                </m:sup>
              </m:sSup>
            </m:e>
          </m:rad>
        </m:oMath>
      </m:oMathPara>
    </w:p>
    <w:p w14:paraId="232A4269" w14:textId="77777777" w:rsidR="00092C7B" w:rsidRPr="00092C7B" w:rsidRDefault="00092C7B" w:rsidP="00092C7B">
      <w:pPr>
        <w:spacing w:after="120"/>
        <w:jc w:val="both"/>
      </w:pPr>
    </w:p>
    <w:p w14:paraId="51FBAB3E" w14:textId="5109B77C" w:rsidR="000C3784" w:rsidRPr="000D52E9" w:rsidRDefault="00D450DC">
      <w:pPr>
        <w:pStyle w:val="3"/>
        <w:rPr>
          <w:rFonts w:eastAsiaTheme="minorEastAsia" w:hint="eastAsia"/>
        </w:rPr>
      </w:pPr>
      <w:r>
        <w:t>3.</w:t>
      </w:r>
      <w:r w:rsidR="00CB4E77">
        <w:rPr>
          <w:rFonts w:eastAsiaTheme="minorEastAsia" w:hint="eastAsia"/>
        </w:rPr>
        <w:t>7.</w:t>
      </w:r>
      <w:r>
        <w:t>3. Subgroup and Sensitivity Analyses</w:t>
      </w:r>
      <w:r w:rsidR="000D52E9">
        <w:rPr>
          <w:rFonts w:eastAsiaTheme="minorEastAsia" w:hint="eastAsia"/>
        </w:rPr>
        <w:t xml:space="preserve"> </w:t>
      </w:r>
    </w:p>
    <w:p w14:paraId="3637E4FB" w14:textId="3D7A81AC" w:rsidR="00BA7E47" w:rsidRPr="004F1570" w:rsidRDefault="004F1570" w:rsidP="00396FAE">
      <w:pPr>
        <w:spacing w:after="120" w:line="360" w:lineRule="auto"/>
        <w:ind w:firstLine="360"/>
        <w:jc w:val="both"/>
        <w:rPr>
          <w:rFonts w:hint="eastAsia"/>
          <w:b/>
          <w:bCs/>
        </w:rPr>
      </w:pPr>
      <w:r w:rsidRPr="004F1570">
        <w:rPr>
          <w:rFonts w:hint="eastAsia"/>
          <w:b/>
          <w:bCs/>
        </w:rPr>
        <w:t>Subgroup analyses and meta-regression</w:t>
      </w:r>
    </w:p>
    <w:p w14:paraId="6A1C2600" w14:textId="77777777" w:rsidR="00F424E4" w:rsidRDefault="00F424E4" w:rsidP="003D728B">
      <w:pPr>
        <w:spacing w:after="120" w:line="360" w:lineRule="auto"/>
        <w:ind w:firstLine="360"/>
        <w:jc w:val="both"/>
      </w:pPr>
      <w:r w:rsidRPr="00F424E4">
        <w:t xml:space="preserve">Subgroup analysis, also called moderator analysis, identifies which study-level characteristics explain the heterogeneity observed in the data, that is, why effect sizes differ across groups of studies. The model </w:t>
      </w:r>
      <w:r w:rsidRPr="00F424E4">
        <w:lastRenderedPageBreak/>
        <w:t>is close to the random-effects model used in the main analysis, with one change. The observed effect of each study still decomposes into a true effect and sampling error.</w:t>
      </w:r>
    </w:p>
    <w:p w14:paraId="39AE30E7" w14:textId="24158F03" w:rsidR="003D728B" w:rsidRPr="00F424E4" w:rsidRDefault="003D728B" w:rsidP="003D728B">
      <w:pPr>
        <w:spacing w:after="120" w:line="360" w:lineRule="auto"/>
        <w:ind w:firstLine="360"/>
        <w:jc w:val="both"/>
      </w:pPr>
      <m:oMathPara>
        <m:oMath>
          <m:sSub>
            <m:sSubPr>
              <m:ctrlPr>
                <w:rPr>
                  <w:rFonts w:ascii="Cambria Math" w:hAnsi="Cambria Math"/>
                  <w:i/>
                </w:rPr>
              </m:ctrlPr>
            </m:sSubPr>
            <m:e>
              <m:acc>
                <m:accPr>
                  <m:ctrlPr>
                    <w:rPr>
                      <w:rFonts w:ascii="Cambria Math" w:hAnsi="Cambria Math"/>
                    </w:rPr>
                  </m:ctrlPr>
                </m:accPr>
                <m:e>
                  <m:r>
                    <m:rPr>
                      <m:sty m:val="p"/>
                    </m:rPr>
                    <w:rPr>
                      <w:rFonts w:ascii="Cambria Math" w:hAnsi="Cambria Math"/>
                    </w:rPr>
                    <m:t>θ</m:t>
                  </m:r>
                </m:e>
              </m:acc>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oMath>
      </m:oMathPara>
    </w:p>
    <w:p w14:paraId="63EFBFCF" w14:textId="589F0AF4" w:rsidR="00F424E4" w:rsidRPr="00F424E4" w:rsidRDefault="00F424E4" w:rsidP="00F424E4">
      <w:pPr>
        <w:spacing w:after="120" w:line="360" w:lineRule="auto"/>
        <w:jc w:val="both"/>
      </w:pPr>
      <m:oMathPara>
        <m:oMath>
          <m:sSub>
            <m:sSubPr>
              <m:ctrlPr>
                <w:rPr>
                  <w:rFonts w:ascii="Cambria Math" w:hAnsi="Cambria Math"/>
                  <w:i/>
                </w:rPr>
              </m:ctrlPr>
            </m:sSubPr>
            <m:e>
              <m:r>
                <m:rPr>
                  <m:sty m:val="p"/>
                </m:rPr>
                <w:rPr>
                  <w:rFonts w:ascii="Cambria Math" w:hAnsi="Cambria Math"/>
                </w:rPr>
                <m:t>θ</m:t>
              </m:r>
              <m:ctrlPr>
                <w:rPr>
                  <w:rFonts w:ascii="Cambria Math" w:hAnsi="Cambria Math"/>
                </w:rPr>
              </m:ctrlP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i</m:t>
              </m:r>
            </m:sub>
          </m:sSub>
          <m:r>
            <m:rPr>
              <m:sty m:val="p"/>
            </m:rPr>
            <w:rPr>
              <w:rFonts w:ascii="Cambria Math" w:hAnsi="Cambria Math" w:cs="Cambria Math"/>
            </w:rPr>
            <m:t>∼</m:t>
          </m:r>
          <m:r>
            <w:rPr>
              <w:rFonts w:ascii="Cambria Math" w:hAnsi="Cambria Math"/>
            </w:rPr>
            <m:t>N</m:t>
          </m:r>
          <m:d>
            <m:dPr>
              <m:ctrlPr>
                <w:rPr>
                  <w:rFonts w:ascii="Cambria Math" w:hAnsi="Cambria Math"/>
                  <w:i/>
                </w:rPr>
              </m:ctrlPr>
            </m:dPr>
            <m:e>
              <m:r>
                <w:rPr>
                  <w:rFonts w:ascii="Cambria Math" w:hAnsi="Cambria Math"/>
                </w:rPr>
                <m:t>0,</m:t>
              </m:r>
              <m:sSup>
                <m:sSupPr>
                  <m:ctrlPr>
                    <w:rPr>
                      <w:rFonts w:ascii="Cambria Math" w:hAnsi="Cambria Math"/>
                      <w:i/>
                    </w:rPr>
                  </m:ctrlPr>
                </m:sSupPr>
                <m:e>
                  <m:r>
                    <m:rPr>
                      <m:sty m:val="p"/>
                    </m:rPr>
                    <w:rPr>
                      <w:rFonts w:ascii="Cambria Math" w:hAnsi="Cambria Math"/>
                    </w:rPr>
                    <m:t>τ</m:t>
                  </m:r>
                </m:e>
                <m:sup>
                  <m:r>
                    <w:rPr>
                      <w:rFonts w:ascii="Cambria Math" w:hAnsi="Cambria Math"/>
                    </w:rPr>
                    <m:t>2</m:t>
                  </m:r>
                </m:sup>
              </m:sSup>
            </m:e>
          </m:d>
        </m:oMath>
      </m:oMathPara>
    </w:p>
    <w:p w14:paraId="4BA187B8" w14:textId="77777777" w:rsidR="00F424E4" w:rsidRPr="00F424E4" w:rsidRDefault="00F424E4" w:rsidP="00F424E4">
      <w:pPr>
        <w:spacing w:after="120" w:line="360" w:lineRule="auto"/>
        <w:jc w:val="both"/>
        <w:rPr>
          <w:rFonts w:hint="eastAsia"/>
        </w:rPr>
      </w:pPr>
    </w:p>
    <w:p w14:paraId="307FD496" w14:textId="77777777" w:rsidR="00F424E4" w:rsidRDefault="003D728B" w:rsidP="00F424E4">
      <w:pPr>
        <w:spacing w:after="120" w:line="360" w:lineRule="auto"/>
        <w:jc w:val="both"/>
      </w:pPr>
      <w:r>
        <w:tab/>
      </w:r>
      <w:bookmarkStart w:id="27" w:name="OLE_LINK91"/>
      <w:r w:rsidR="00F424E4" w:rsidRPr="00F424E4">
        <w:t xml:space="preserve">The only difference is that the true effect of each study is now centered on the mean of its own subgroup, </w:t>
      </w:r>
      <w:r w:rsidR="00F424E4" w:rsidRPr="00F424E4">
        <w:rPr>
          <w:i/>
          <w:iCs/>
        </w:rPr>
        <w:t>μ</w:t>
      </w:r>
      <w:r w:rsidR="00F424E4" w:rsidRPr="00F424E4">
        <w:t>ⱼ, rather than on a single overall mean. The same between-study variance is assumed within each subgroup.</w:t>
      </w:r>
    </w:p>
    <w:p w14:paraId="52026CF8" w14:textId="099EA333" w:rsidR="00F424E4" w:rsidRPr="00F424E4" w:rsidRDefault="00F424E4" w:rsidP="00F424E4">
      <w:pPr>
        <w:spacing w:after="120" w:line="360" w:lineRule="auto"/>
        <w:ind w:firstLine="420"/>
        <w:jc w:val="both"/>
      </w:pPr>
      <w:r w:rsidRPr="00F424E4">
        <w:t>A difference between the observed subgroup means</w:t>
      </w:r>
      <w:r>
        <w:rPr>
          <w:rFonts w:hint="eastAsia"/>
        </w:rPr>
        <w:t xml:space="preserve"> </w:t>
      </w:r>
      <m:oMath>
        <m:sSub>
          <m:sSubPr>
            <m:ctrlPr>
              <w:rPr>
                <w:rFonts w:ascii="Cambria Math" w:hAnsi="Cambria Math"/>
                <w:i/>
              </w:rPr>
            </m:ctrlPr>
          </m:sSubPr>
          <m:e>
            <m:acc>
              <m:accPr>
                <m:ctrlPr>
                  <w:rPr>
                    <w:rFonts w:ascii="Cambria Math" w:hAnsi="Cambria Math"/>
                  </w:rPr>
                </m:ctrlPr>
              </m:accPr>
              <m:e>
                <m:r>
                  <m:rPr>
                    <m:sty m:val="p"/>
                  </m:rPr>
                  <w:rPr>
                    <w:rFonts w:ascii="Cambria Math" w:hAnsi="Cambria Math"/>
                  </w:rPr>
                  <m:t>μ</m:t>
                </m:r>
              </m:e>
            </m:acc>
          </m:e>
          <m:sub>
            <m:r>
              <w:rPr>
                <w:rFonts w:ascii="Cambria Math" w:hAnsi="Cambria Math"/>
              </w:rPr>
              <m:t>j</m:t>
            </m:r>
          </m:sub>
        </m:sSub>
      </m:oMath>
      <w:r w:rsidRPr="00F424E4">
        <w:t xml:space="preserve">​ does not by itself establish a real subgroup effect. It cannot show whether the dispersion between groups is larger than would be expected from random fluctuation. This is tested with the between-subgroup </w:t>
      </w:r>
      <w:r w:rsidRPr="00F424E4">
        <w:rPr>
          <w:rFonts w:hint="eastAsia"/>
          <w:i/>
          <w:iCs/>
        </w:rPr>
        <w:t>Q</w:t>
      </w:r>
      <w:r w:rsidRPr="00F424E4">
        <w:t xml:space="preserve"> statistic.</w:t>
      </w:r>
    </w:p>
    <w:p w14:paraId="451539BA" w14:textId="3389F83A" w:rsidR="009A18BE" w:rsidRPr="00BF4029" w:rsidRDefault="009A18BE" w:rsidP="00F424E4">
      <w:pPr>
        <w:spacing w:after="120" w:line="360" w:lineRule="auto"/>
        <w:jc w:val="both"/>
      </w:pPr>
      <m:oMathPara>
        <m:oMath>
          <m:sSub>
            <m:sSubPr>
              <m:ctrlPr>
                <w:rPr>
                  <w:rFonts w:ascii="Cambria Math" w:hAnsi="Cambria Math"/>
                  <w:i/>
                </w:rPr>
              </m:ctrlPr>
            </m:sSubPr>
            <m:e>
              <m:r>
                <w:rPr>
                  <w:rFonts w:ascii="Cambria Math" w:hAnsi="Cambria Math"/>
                </w:rPr>
                <m:t>Q</m:t>
              </m:r>
            </m:e>
            <m:sub>
              <m:r>
                <m:rPr>
                  <m:sty m:val="p"/>
                </m:rPr>
                <w:rPr>
                  <w:rFonts w:ascii="Cambria Math" w:hAnsi="Cambria Math"/>
                </w:rPr>
                <m:t>between</m:t>
              </m:r>
            </m:sub>
          </m:sSub>
          <w:bookmarkEnd w:id="27"/>
          <m:r>
            <w:rPr>
              <w:rFonts w:ascii="Cambria Math" w:hAnsi="Cambria Math"/>
            </w:rPr>
            <m:t>=</m:t>
          </m:r>
          <w:bookmarkStart w:id="28" w:name="OLE_LINK85"/>
          <m:sSub>
            <m:sSubPr>
              <m:ctrlPr>
                <w:rPr>
                  <w:rFonts w:ascii="Cambria Math" w:hAnsi="Cambria Math"/>
                  <w:i/>
                </w:rPr>
              </m:ctrlPr>
            </m:sSubPr>
            <m:e>
              <m:r>
                <w:rPr>
                  <w:rFonts w:ascii="Cambria Math" w:hAnsi="Cambria Math"/>
                </w:rPr>
                <m:t>Q</m:t>
              </m:r>
            </m:e>
            <m:sub>
              <m:r>
                <m:rPr>
                  <m:sty m:val="p"/>
                </m:rPr>
                <w:rPr>
                  <w:rFonts w:ascii="Cambria Math" w:hAnsi="Cambria Math"/>
                </w:rPr>
                <m:t>total</m:t>
              </m:r>
            </m:sub>
          </m:sSub>
          <w:bookmarkEnd w:id="28"/>
          <m:r>
            <w:rPr>
              <w:rFonts w:ascii="Cambria Math" w:hAnsi="Cambria Math"/>
            </w:rPr>
            <m:t>-</m:t>
          </m:r>
          <m:sSub>
            <m:sSubPr>
              <m:ctrlPr>
                <w:rPr>
                  <w:rFonts w:ascii="Cambria Math" w:hAnsi="Cambria Math"/>
                  <w:i/>
                </w:rPr>
              </m:ctrlPr>
            </m:sSubPr>
            <m:e>
              <m:r>
                <w:rPr>
                  <w:rFonts w:ascii="Cambria Math" w:hAnsi="Cambria Math"/>
                </w:rPr>
                <m:t>Q</m:t>
              </m:r>
            </m:e>
            <m:sub>
              <m:r>
                <m:rPr>
                  <m:sty m:val="p"/>
                </m:rPr>
                <w:rPr>
                  <w:rFonts w:ascii="Cambria Math" w:hAnsi="Cambria Math"/>
                </w:rPr>
                <m:t>within</m:t>
              </m:r>
            </m:sub>
          </m:sSub>
        </m:oMath>
      </m:oMathPara>
    </w:p>
    <w:p w14:paraId="67D02872" w14:textId="19F53B48" w:rsidR="00BF4029" w:rsidRPr="00BF4029" w:rsidRDefault="00BF4029" w:rsidP="003D728B">
      <w:pPr>
        <w:spacing w:after="120" w:line="360" w:lineRule="auto"/>
        <w:jc w:val="both"/>
      </w:pPr>
      <m:oMathPara>
        <m:oMath>
          <m:sSub>
            <m:sSubPr>
              <m:ctrlPr>
                <w:rPr>
                  <w:rFonts w:ascii="Cambria Math" w:hAnsi="Cambria Math"/>
                  <w:i/>
                </w:rPr>
              </m:ctrlPr>
            </m:sSubPr>
            <m:e>
              <m:r>
                <w:rPr>
                  <w:rFonts w:ascii="Cambria Math" w:hAnsi="Cambria Math"/>
                </w:rPr>
                <m:t>Q</m:t>
              </m:r>
            </m:e>
            <m:sub>
              <m:r>
                <m:rPr>
                  <m:sty m:val="p"/>
                </m:rPr>
                <w:rPr>
                  <w:rFonts w:ascii="Cambria Math" w:hAnsi="Cambria Math"/>
                </w:rPr>
                <m:t>total</m:t>
              </m:r>
            </m:sub>
          </m:sSub>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p>
                <m:sSupPr>
                  <m:ctrlPr>
                    <w:rPr>
                      <w:rFonts w:ascii="Cambria Math" w:hAnsi="Cambria Math"/>
                      <w:i/>
                    </w:rPr>
                  </m:ctrlPr>
                </m:sSupPr>
                <m:e>
                  <m:d>
                    <m:dPr>
                      <m:ctrlPr>
                        <w:rPr>
                          <w:rFonts w:ascii="Cambria Math" w:hAnsi="Cambria Math"/>
                          <w:i/>
                        </w:rPr>
                      </m:ctrlPr>
                    </m:dPr>
                    <m:e>
                      <w:bookmarkStart w:id="29" w:name="OLE_LINK86"/>
                      <m:sSub>
                        <m:sSubPr>
                          <m:ctrlPr>
                            <w:rPr>
                              <w:rFonts w:ascii="Cambria Math" w:hAnsi="Cambria Math"/>
                              <w:i/>
                            </w:rPr>
                          </m:ctrlPr>
                        </m:sSubPr>
                        <m:e>
                          <m:r>
                            <w:rPr>
                              <w:rFonts w:ascii="Cambria Math" w:hAnsi="Cambria Math"/>
                            </w:rPr>
                            <m:t>y</m:t>
                          </m:r>
                        </m:e>
                        <m:sub>
                          <m:r>
                            <w:rPr>
                              <w:rFonts w:ascii="Cambria Math" w:hAnsi="Cambria Math"/>
                            </w:rPr>
                            <m:t>i</m:t>
                          </m:r>
                        </m:sub>
                      </m:sSub>
                      <w:bookmarkEnd w:id="29"/>
                      <m:r>
                        <w:rPr>
                          <w:rFonts w:ascii="Cambria Math" w:hAnsi="Cambria Math"/>
                        </w:rPr>
                        <m:t>-</m:t>
                      </m:r>
                      <w:bookmarkStart w:id="30" w:name="OLE_LINK87"/>
                      <m:acc>
                        <m:accPr>
                          <m:ctrlPr>
                            <w:rPr>
                              <w:rFonts w:ascii="Cambria Math" w:hAnsi="Cambria Math"/>
                            </w:rPr>
                          </m:ctrlPr>
                        </m:accPr>
                        <m:e>
                          <m:r>
                            <m:rPr>
                              <m:sty m:val="p"/>
                            </m:rPr>
                            <w:rPr>
                              <w:rFonts w:ascii="Cambria Math" w:hAnsi="Cambria Math"/>
                            </w:rPr>
                            <m:t>μ</m:t>
                          </m:r>
                        </m:e>
                      </m:acc>
                      <w:bookmarkEnd w:id="30"/>
                    </m:e>
                  </m:d>
                </m:e>
                <m:sup>
                  <m:r>
                    <w:rPr>
                      <w:rFonts w:ascii="Cambria Math" w:hAnsi="Cambria Math"/>
                    </w:rPr>
                    <m:t>2</m:t>
                  </m:r>
                </m:sup>
              </m:sSup>
              <m:ctrlPr>
                <w:rPr>
                  <w:rFonts w:ascii="Cambria Math" w:hAnsi="Cambria Math"/>
                  <w:i/>
                </w:rPr>
              </m:ctrlPr>
            </m:e>
          </m:nary>
        </m:oMath>
      </m:oMathPara>
    </w:p>
    <w:p w14:paraId="18571E67" w14:textId="009DE700" w:rsidR="00BF4029" w:rsidRPr="00C43BB7" w:rsidRDefault="00C43BB7" w:rsidP="003D728B">
      <w:pPr>
        <w:spacing w:after="120" w:line="360" w:lineRule="auto"/>
        <w:jc w:val="both"/>
      </w:pPr>
      <m:oMathPara>
        <m:oMath>
          <m:sSub>
            <m:sSubPr>
              <m:ctrlPr>
                <w:rPr>
                  <w:rFonts w:ascii="Cambria Math" w:hAnsi="Cambria Math"/>
                  <w:i/>
                </w:rPr>
              </m:ctrlPr>
            </m:sSubPr>
            <m:e>
              <m:r>
                <w:rPr>
                  <w:rFonts w:ascii="Cambria Math" w:hAnsi="Cambria Math"/>
                </w:rPr>
                <m:t>Q</m:t>
              </m:r>
            </m:e>
            <m:sub>
              <m:r>
                <m:rPr>
                  <m:sty m:val="p"/>
                </m:rPr>
                <w:rPr>
                  <w:rFonts w:ascii="Cambria Math" w:hAnsi="Cambria Math"/>
                </w:rPr>
                <m:t>within</m:t>
              </m:r>
            </m:sub>
          </m:sSub>
          <m:r>
            <w:rPr>
              <w:rFonts w:ascii="Cambria Math" w:hAnsi="Cambria Math"/>
            </w:rPr>
            <m:t>=</m:t>
          </m:r>
          <m:nary>
            <m:naryPr>
              <m:chr m:val="∑"/>
              <m:ctrlPr>
                <w:rPr>
                  <w:rFonts w:ascii="Cambria Math" w:hAnsi="Cambria Math"/>
                </w:rPr>
              </m:ctrlPr>
            </m:naryPr>
            <m:sub>
              <m:r>
                <w:rPr>
                  <w:rFonts w:ascii="Cambria Math" w:hAnsi="Cambria Math"/>
                </w:rPr>
                <m:t>j=1</m:t>
              </m:r>
              <m:ctrlPr>
                <w:rPr>
                  <w:rFonts w:ascii="Cambria Math" w:hAnsi="Cambria Math"/>
                  <w:i/>
                </w:rPr>
              </m:ctrlPr>
            </m:sub>
            <m:sup>
              <m:r>
                <m:rPr>
                  <m:sty m:val="p"/>
                </m:rPr>
                <w:rPr>
                  <w:rFonts w:ascii="Cambria Math" w:hAnsi="Cambria Math"/>
                </w:rPr>
                <m:t>G</m:t>
              </m:r>
            </m:sup>
            <m:e>
              <m:nary>
                <m:naryPr>
                  <m:chr m:val="∑"/>
                  <m:supHide m:val="1"/>
                  <m:ctrlPr>
                    <w:rPr>
                      <w:rFonts w:ascii="Cambria Math" w:hAnsi="Cambria Math"/>
                    </w:rPr>
                  </m:ctrlPr>
                </m:naryPr>
                <m:sub>
                  <m:r>
                    <w:rPr>
                      <w:rFonts w:ascii="Cambria Math" w:hAnsi="Cambria Math"/>
                    </w:rPr>
                    <m:t>i</m:t>
                  </m:r>
                  <m:r>
                    <m:rPr>
                      <m:sty m:val="p"/>
                    </m:rPr>
                    <w:rPr>
                      <w:rFonts w:ascii="Cambria Math" w:hAnsi="Cambria Math" w:hint="eastAsia"/>
                    </w:rPr>
                    <m:t>∈</m:t>
                  </m:r>
                  <m:r>
                    <w:rPr>
                      <w:rFonts w:ascii="Cambria Math" w:hAnsi="Cambria Math"/>
                    </w:rPr>
                    <m:t>j</m:t>
                  </m:r>
                  <m:ctrlPr>
                    <w:rPr>
                      <w:rFonts w:ascii="Cambria Math" w:hAnsi="Cambria Math"/>
                      <w:i/>
                    </w:rPr>
                  </m:ctrlPr>
                </m:sub>
                <m:sup/>
                <m:e>
                  <m:sSub>
                    <m:sSubPr>
                      <m:ctrlPr>
                        <w:rPr>
                          <w:rFonts w:ascii="Cambria Math" w:hAnsi="Cambria Math"/>
                          <w:i/>
                        </w:rPr>
                      </m:ctrlPr>
                    </m:sSubPr>
                    <m:e>
                      <m:r>
                        <w:rPr>
                          <w:rFonts w:ascii="Cambria Math" w:hAnsi="Cambria Math"/>
                        </w:rPr>
                        <m:t>w</m:t>
                      </m:r>
                      <m:ctrlPr>
                        <w:rPr>
                          <w:rFonts w:ascii="Cambria Math" w:hAnsi="Cambria Math"/>
                        </w:rPr>
                      </m:ctrlPr>
                    </m:e>
                    <m:sub>
                      <m:r>
                        <w:rPr>
                          <w:rFonts w:ascii="Cambria Math" w:hAnsi="Cambria Math"/>
                        </w:rPr>
                        <m:t>i</m:t>
                      </m:r>
                    </m:sub>
                  </m:sSub>
                  <m:sSup>
                    <m:sSupPr>
                      <m:ctrlPr>
                        <w:rPr>
                          <w:rFonts w:ascii="Cambria Math" w:hAnsi="Cambria Math"/>
                          <w:i/>
                        </w:rPr>
                      </m:ctrlPr>
                    </m:sSupPr>
                    <m:e>
                      <m:d>
                        <m:dPr>
                          <m:ctrlPr>
                            <w:rPr>
                              <w:rFonts w:ascii="Cambria Math" w:hAnsi="Cambria Math"/>
                            </w:rPr>
                          </m:ctrlPr>
                        </m:d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rPr>
                                  </m:ctrlPr>
                                </m:accPr>
                                <m:e>
                                  <m:r>
                                    <m:rPr>
                                      <m:sty m:val="p"/>
                                    </m:rPr>
                                    <w:rPr>
                                      <w:rFonts w:ascii="Cambria Math" w:hAnsi="Cambria Math"/>
                                    </w:rPr>
                                    <m:t>μ</m:t>
                                  </m:r>
                                </m:e>
                              </m:acc>
                            </m:e>
                            <m:sub>
                              <m:r>
                                <w:rPr>
                                  <w:rFonts w:ascii="Cambria Math" w:hAnsi="Cambria Math"/>
                                </w:rPr>
                                <m:t>j</m:t>
                              </m:r>
                            </m:sub>
                          </m:sSub>
                          <m:ctrlPr>
                            <w:rPr>
                              <w:rFonts w:ascii="Cambria Math" w:hAnsi="Cambria Math"/>
                              <w:i/>
                            </w:rPr>
                          </m:ctrlPr>
                        </m:e>
                      </m:d>
                    </m:e>
                    <m:sup>
                      <m:r>
                        <w:rPr>
                          <w:rFonts w:ascii="Cambria Math" w:hAnsi="Cambria Math"/>
                        </w:rPr>
                        <m:t>2</m:t>
                      </m:r>
                    </m:sup>
                  </m:sSup>
                </m:e>
              </m:nary>
            </m:e>
          </m:nary>
        </m:oMath>
      </m:oMathPara>
    </w:p>
    <w:p w14:paraId="5BBA59C9" w14:textId="5C0B68A2" w:rsidR="00C43BB7" w:rsidRPr="00C43BB7" w:rsidRDefault="00C43BB7" w:rsidP="003D728B">
      <w:pPr>
        <w:spacing w:after="120" w:line="360" w:lineRule="auto"/>
        <w:jc w:val="both"/>
        <w:rPr>
          <w:rFonts w:hint="eastAsia"/>
        </w:rPr>
      </w:pPr>
      <m:oMathPara>
        <m:oMath>
          <m:sSub>
            <m:sSubPr>
              <m:ctrlPr>
                <w:rPr>
                  <w:rFonts w:ascii="Cambria Math" w:hAnsi="Cambria Math"/>
                  <w:i/>
                </w:rPr>
              </m:ctrlPr>
            </m:sSubPr>
            <m:e>
              <m:r>
                <w:rPr>
                  <w:rFonts w:ascii="Cambria Math" w:hAnsi="Cambria Math" w:hint="eastAsia"/>
                </w:rPr>
                <m:t>Q</m:t>
              </m:r>
              <m:ctrlPr>
                <w:rPr>
                  <w:rFonts w:ascii="Cambria Math" w:hAnsi="Cambria Math" w:hint="eastAsia"/>
                  <w:i/>
                </w:rPr>
              </m:ctrlPr>
            </m:e>
            <m:sub>
              <m:r>
                <m:rPr>
                  <m:sty m:val="p"/>
                </m:rPr>
                <w:rPr>
                  <w:rFonts w:ascii="Cambria Math" w:hAnsi="Cambria Math"/>
                </w:rPr>
                <m:t>between</m:t>
              </m:r>
            </m:sub>
          </m:sSub>
          <m:r>
            <m:rPr>
              <m:sty m:val="p"/>
            </m:rPr>
            <w:rPr>
              <w:rFonts w:ascii="Cambria Math" w:hAnsi="Cambria Math" w:cs="Cambria Math"/>
            </w:rPr>
            <m:t>∼</m:t>
          </m:r>
          <m:sSubSup>
            <m:sSubSupPr>
              <m:ctrlPr>
                <w:rPr>
                  <w:rFonts w:ascii="Cambria Math" w:hAnsi="Cambria Math"/>
                  <w:i/>
                </w:rPr>
              </m:ctrlPr>
            </m:sSubSupPr>
            <m:e>
              <m:r>
                <w:rPr>
                  <w:rFonts w:ascii="Cambria Math" w:hAnsi="Cambria Math"/>
                </w:rPr>
                <m:t>χ</m:t>
              </m:r>
              <m:ctrlPr>
                <w:rPr>
                  <w:rFonts w:ascii="Cambria Math" w:hAnsi="Cambria Math" w:cs="Cambria Math"/>
                </w:rPr>
              </m:ctrlPr>
            </m:e>
            <m:sub>
              <m:r>
                <w:rPr>
                  <w:rFonts w:ascii="Cambria Math" w:hAnsi="Cambria Math"/>
                </w:rPr>
                <m:t>G-1</m:t>
              </m:r>
            </m:sub>
            <m:sup>
              <m:r>
                <w:rPr>
                  <w:rFonts w:ascii="Cambria Math" w:hAnsi="Cambria Math"/>
                </w:rPr>
                <m:t>2</m:t>
              </m:r>
            </m:sup>
          </m:sSubSup>
        </m:oMath>
      </m:oMathPara>
    </w:p>
    <w:p w14:paraId="64CA786D" w14:textId="77777777" w:rsidR="00C43BB7" w:rsidRPr="00C43BB7" w:rsidRDefault="00C43BB7" w:rsidP="003D728B">
      <w:pPr>
        <w:spacing w:after="120" w:line="360" w:lineRule="auto"/>
        <w:jc w:val="both"/>
        <w:rPr>
          <w:rFonts w:hint="eastAsia"/>
        </w:rPr>
      </w:pPr>
    </w:p>
    <w:p w14:paraId="04126ACC" w14:textId="2A14F7E5" w:rsidR="00BD7461" w:rsidRDefault="00F424E4" w:rsidP="00F424E4">
      <w:pPr>
        <w:spacing w:after="120" w:line="360" w:lineRule="auto"/>
        <w:ind w:firstLine="360"/>
      </w:pPr>
      <w:proofErr w:type="spellStart"/>
      <w:r w:rsidRPr="00F424E4">
        <w:rPr>
          <w:i/>
          <w:iCs/>
        </w:rPr>
        <w:t>Q</w:t>
      </w:r>
      <w:r w:rsidRPr="00F424E4">
        <w:rPr>
          <w:vertAlign w:val="subscript"/>
        </w:rPr>
        <w:t>total</w:t>
      </w:r>
      <w:proofErr w:type="spellEnd"/>
      <w:r w:rsidRPr="00F424E4">
        <w:t xml:space="preserve">​ is the total heterogeneity across all studies, computed as the weighted squared deviation of each study effect from the overall pooled effect. </w:t>
      </w:r>
      <w:proofErr w:type="spellStart"/>
      <w:r w:rsidRPr="00F424E4">
        <w:rPr>
          <w:i/>
          <w:iCs/>
        </w:rPr>
        <w:t>Q</w:t>
      </w:r>
      <w:r w:rsidRPr="00F424E4">
        <w:rPr>
          <w:vertAlign w:val="subscript"/>
        </w:rPr>
        <w:t>within</w:t>
      </w:r>
      <w:proofErr w:type="spellEnd"/>
      <w:r w:rsidRPr="00F424E4">
        <w:t xml:space="preserve"> is the heterogeneity that remains inside the subgroups, computed as the weighted squared deviation of each study effect from its own subgroup mean.</w:t>
      </w:r>
      <w:bookmarkStart w:id="31" w:name="OLE_LINK92"/>
      <w:r w:rsidRPr="00F424E4">
        <w:t xml:space="preserve"> </w:t>
      </w:r>
      <w:proofErr w:type="spellStart"/>
      <w:r w:rsidRPr="00F424E4">
        <w:rPr>
          <w:i/>
          <w:iCs/>
        </w:rPr>
        <w:t>Q</w:t>
      </w:r>
      <w:r w:rsidRPr="00F424E4">
        <w:rPr>
          <w:vertAlign w:val="subscript"/>
        </w:rPr>
        <w:t>between</w:t>
      </w:r>
      <w:bookmarkEnd w:id="31"/>
      <w:proofErr w:type="spellEnd"/>
      <w:r w:rsidRPr="00F424E4">
        <w:t xml:space="preserve"> </w:t>
      </w:r>
      <w:r w:rsidRPr="00F424E4">
        <w:t xml:space="preserve">​ is the remaining part of the total heterogeneity that is accounted for by differences between the subgroup means. A large </w:t>
      </w:r>
      <w:proofErr w:type="spellStart"/>
      <w:r w:rsidRPr="00F424E4">
        <w:rPr>
          <w:i/>
          <w:iCs/>
        </w:rPr>
        <w:t>Q</w:t>
      </w:r>
      <w:r w:rsidRPr="00F424E4">
        <w:rPr>
          <w:vertAlign w:val="subscript"/>
        </w:rPr>
        <w:t>between</w:t>
      </w:r>
      <w:proofErr w:type="spellEnd"/>
      <w:r w:rsidRPr="00F424E4">
        <w:t xml:space="preserve"> </w:t>
      </w:r>
      <w:r w:rsidRPr="00F424E4">
        <w:t>relative to its degrees of freedom indicates that the subgroups differ by more than random fluctuation. The same quantity can be written directly as a weighted sum of squared deviations of the subgroup means from the overall mean.</w:t>
      </w:r>
      <w:r>
        <w:tab/>
      </w:r>
    </w:p>
    <w:p w14:paraId="453EE24D" w14:textId="10B46B47" w:rsidR="00F424E4" w:rsidRPr="004D3A91" w:rsidRDefault="00F424E4" w:rsidP="00F424E4">
      <w:pPr>
        <w:spacing w:after="120" w:line="360" w:lineRule="auto"/>
      </w:pPr>
      <m:oMathPara>
        <m:oMath>
          <m:sSub>
            <m:sSubPr>
              <m:ctrlPr>
                <w:rPr>
                  <w:rFonts w:ascii="Cambria Math" w:hAnsi="Cambria Math"/>
                  <w:i/>
                </w:rPr>
              </m:ctrlPr>
            </m:sSubPr>
            <m:e>
              <m:r>
                <w:rPr>
                  <w:rFonts w:ascii="Cambria Math" w:hAnsi="Cambria Math"/>
                </w:rPr>
                <m:t>Q</m:t>
              </m:r>
            </m:e>
            <m:sub>
              <m:r>
                <m:rPr>
                  <m:sty m:val="p"/>
                </m:rPr>
                <w:rPr>
                  <w:rFonts w:ascii="Cambria Math" w:hAnsi="Cambria Math"/>
                </w:rPr>
                <m:t>between</m:t>
              </m:r>
            </m:sub>
          </m:sSub>
          <m:r>
            <w:rPr>
              <w:rFonts w:ascii="Cambria Math" w:hAnsi="Cambria Math"/>
            </w:rPr>
            <m:t>=</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G</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j</m:t>
                  </m:r>
                </m:sub>
              </m:sSub>
              <m:sSub>
                <m:sSubPr>
                  <m:ctrlPr>
                    <w:rPr>
                      <w:rFonts w:ascii="Cambria Math" w:hAnsi="Cambria Math"/>
                      <w:i/>
                    </w:rPr>
                  </m:ctrlPr>
                </m:sSubPr>
                <m:e>
                  <m:acc>
                    <m:accPr>
                      <m:ctrlPr>
                        <w:rPr>
                          <w:rFonts w:ascii="Cambria Math" w:hAnsi="Cambria Math"/>
                        </w:rPr>
                      </m:ctrlPr>
                    </m:accPr>
                    <m:e>
                      <m:r>
                        <m:rPr>
                          <m:sty m:val="p"/>
                        </m:rPr>
                        <w:rPr>
                          <w:rFonts w:ascii="Cambria Math" w:hAnsi="Cambria Math"/>
                        </w:rPr>
                        <m:t>μ</m:t>
                      </m:r>
                    </m:e>
                  </m:acc>
                </m:e>
                <m:sub>
                  <m:r>
                    <w:rPr>
                      <w:rFonts w:ascii="Cambria Math" w:hAnsi="Cambria Math"/>
                    </w:rPr>
                    <m:t>j</m:t>
                  </m:r>
                </m:sub>
              </m:sSub>
              <m:r>
                <w:rPr>
                  <w:rFonts w:ascii="Cambria Math" w:hAnsi="Cambria Math"/>
                </w:rPr>
                <m:t>-</m:t>
              </m:r>
              <m:sSup>
                <m:sSupPr>
                  <m:ctrlPr>
                    <w:rPr>
                      <w:rFonts w:ascii="Cambria Math" w:hAnsi="Cambria Math"/>
                      <w:i/>
                    </w:rPr>
                  </m:ctrlPr>
                </m:sSupPr>
                <m:e>
                  <m:acc>
                    <m:accPr>
                      <m:ctrlPr>
                        <w:rPr>
                          <w:rFonts w:ascii="Cambria Math" w:hAnsi="Cambria Math"/>
                        </w:rPr>
                      </m:ctrlPr>
                    </m:accPr>
                    <m:e>
                      <m:r>
                        <m:rPr>
                          <m:sty m:val="p"/>
                        </m:rPr>
                        <w:rPr>
                          <w:rFonts w:ascii="Cambria Math" w:hAnsi="Cambria Math"/>
                        </w:rPr>
                        <m:t>μ</m:t>
                      </m:r>
                    </m:e>
                  </m:acc>
                </m:e>
                <m:sup>
                  <m:r>
                    <w:rPr>
                      <w:rFonts w:ascii="Cambria Math" w:hAnsi="Cambria Math"/>
                    </w:rPr>
                    <m:t>2</m:t>
                  </m:r>
                </m:sup>
              </m:sSup>
              <m:ctrlPr>
                <w:rPr>
                  <w:rFonts w:ascii="Cambria Math" w:hAnsi="Cambria Math"/>
                  <w:i/>
                </w:rPr>
              </m:ctrlPr>
            </m:e>
          </m:nary>
          <m:r>
            <w:rPr>
              <w:rFonts w:ascii="Cambria Math" w:hAnsi="Cambria Math"/>
            </w:rPr>
            <m:t>,</m:t>
          </m:r>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m:t>
          </m:r>
          <m:nary>
            <m:naryPr>
              <m:chr m:val="∑"/>
              <m:supHide m:val="1"/>
              <m:ctrlPr>
                <w:rPr>
                  <w:rFonts w:ascii="Cambria Math" w:hAnsi="Cambria Math"/>
                </w:rPr>
              </m:ctrlPr>
            </m:naryPr>
            <m:sub>
              <m:r>
                <w:rPr>
                  <w:rFonts w:ascii="Cambria Math" w:hAnsi="Cambria Math"/>
                </w:rPr>
                <m:t>i</m:t>
              </m:r>
              <m:r>
                <m:rPr>
                  <m:sty m:val="p"/>
                </m:rPr>
                <w:rPr>
                  <w:rFonts w:ascii="Cambria Math" w:hAnsi="Cambria Math" w:hint="eastAsia"/>
                </w:rPr>
                <m:t>∈</m:t>
              </m:r>
              <m:r>
                <w:rPr>
                  <w:rFonts w:ascii="Cambria Math" w:hAnsi="Cambria Math"/>
                </w:rPr>
                <m:t>j</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oMath>
      </m:oMathPara>
    </w:p>
    <w:p w14:paraId="39AD2969" w14:textId="7D000290" w:rsidR="004D3A91" w:rsidRPr="00D74777" w:rsidRDefault="0018574F" w:rsidP="0018574F">
      <w:pPr>
        <w:spacing w:after="120"/>
        <w:rPr>
          <w:rFonts w:hint="eastAsia"/>
          <w:sz w:val="16"/>
          <w:szCs w:val="16"/>
        </w:rPr>
      </w:pPr>
      <w:r w:rsidRPr="0018574F">
        <w:rPr>
          <w:i/>
          <w:iCs/>
          <w:sz w:val="16"/>
          <w:szCs w:val="16"/>
        </w:rPr>
        <w:t>Note</w:t>
      </w:r>
      <w:r w:rsidRPr="0018574F">
        <w:rPr>
          <w:sz w:val="16"/>
          <w:szCs w:val="16"/>
        </w:rPr>
        <w:t xml:space="preserve">. </w:t>
      </w:r>
      <m:oMath>
        <m:sSub>
          <m:sSubPr>
            <m:ctrlPr>
              <w:rPr>
                <w:rFonts w:ascii="Cambria Math" w:hAnsi="Cambria Math"/>
                <w:i/>
                <w:sz w:val="16"/>
                <w:szCs w:val="16"/>
              </w:rPr>
            </m:ctrlPr>
          </m:sSubPr>
          <m:e>
            <m:r>
              <m:rPr>
                <m:sty m:val="p"/>
              </m:rPr>
              <w:rPr>
                <w:rFonts w:ascii="Cambria Math" w:hAnsi="Cambria Math"/>
                <w:sz w:val="16"/>
                <w:szCs w:val="16"/>
              </w:rPr>
              <m:t>μ</m:t>
            </m:r>
            <m:ctrlPr>
              <w:rPr>
                <w:rFonts w:ascii="Cambria Math" w:hAnsi="Cambria Math"/>
                <w:sz w:val="16"/>
                <w:szCs w:val="16"/>
              </w:rPr>
            </m:ctrlPr>
          </m:e>
          <m:sub>
            <m:r>
              <w:rPr>
                <w:rFonts w:ascii="Cambria Math" w:hAnsi="Cambria Math"/>
                <w:sz w:val="16"/>
                <w:szCs w:val="16"/>
              </w:rPr>
              <m:t>j</m:t>
            </m:r>
          </m:sub>
        </m:sSub>
      </m:oMath>
      <w:r>
        <w:rPr>
          <w:rFonts w:hint="eastAsia"/>
          <w:sz w:val="16"/>
          <w:szCs w:val="16"/>
        </w:rPr>
        <w:t xml:space="preserve"> and </w:t>
      </w:r>
      <m:oMath>
        <m:sSub>
          <m:sSubPr>
            <m:ctrlPr>
              <w:rPr>
                <w:rFonts w:ascii="Cambria Math" w:hAnsi="Cambria Math"/>
                <w:i/>
                <w:sz w:val="16"/>
                <w:szCs w:val="16"/>
              </w:rPr>
            </m:ctrlPr>
          </m:sSubPr>
          <m:e>
            <m:acc>
              <m:accPr>
                <m:ctrlPr>
                  <w:rPr>
                    <w:rFonts w:ascii="Cambria Math" w:hAnsi="Cambria Math"/>
                    <w:sz w:val="16"/>
                    <w:szCs w:val="16"/>
                  </w:rPr>
                </m:ctrlPr>
              </m:accPr>
              <m:e>
                <m:r>
                  <m:rPr>
                    <m:sty m:val="p"/>
                  </m:rPr>
                  <w:rPr>
                    <w:rFonts w:ascii="Cambria Math" w:hAnsi="Cambria Math"/>
                    <w:sz w:val="16"/>
                    <w:szCs w:val="16"/>
                  </w:rPr>
                  <m:t>μ</m:t>
                </m:r>
              </m:e>
            </m:acc>
          </m:e>
          <m:sub>
            <m:r>
              <w:rPr>
                <w:rFonts w:ascii="Cambria Math" w:hAnsi="Cambria Math"/>
                <w:sz w:val="16"/>
                <w:szCs w:val="16"/>
              </w:rPr>
              <m:t>j</m:t>
            </m:r>
          </m:sub>
        </m:sSub>
      </m:oMath>
      <w:r w:rsidRPr="0018574F">
        <w:rPr>
          <w:sz w:val="16"/>
          <w:szCs w:val="16"/>
        </w:rPr>
        <w:t xml:space="preserve"> = true and estimated mean effect of subgroup</w:t>
      </w:r>
      <w:r w:rsidRPr="0018574F">
        <w:rPr>
          <w:i/>
          <w:iCs/>
          <w:sz w:val="16"/>
          <w:szCs w:val="16"/>
        </w:rPr>
        <w:t xml:space="preserve"> </w:t>
      </w:r>
      <w:r w:rsidRPr="0018574F">
        <w:rPr>
          <w:rFonts w:hint="eastAsia"/>
          <w:i/>
          <w:iCs/>
          <w:sz w:val="16"/>
          <w:szCs w:val="16"/>
        </w:rPr>
        <w:t>j</w:t>
      </w:r>
      <w:r w:rsidRPr="0018574F">
        <w:rPr>
          <w:i/>
          <w:iCs/>
          <w:sz w:val="16"/>
          <w:szCs w:val="16"/>
        </w:rPr>
        <w:t>.</w:t>
      </w:r>
      <w:r>
        <w:rPr>
          <w:rFonts w:hint="eastAsia"/>
          <w:sz w:val="16"/>
          <w:szCs w:val="16"/>
        </w:rPr>
        <w:t xml:space="preserve"> </w:t>
      </w:r>
      <m:oMath>
        <m:acc>
          <m:accPr>
            <m:ctrlPr>
              <w:rPr>
                <w:rFonts w:ascii="Cambria Math" w:hAnsi="Cambria Math"/>
                <w:sz w:val="16"/>
                <w:szCs w:val="16"/>
              </w:rPr>
            </m:ctrlPr>
          </m:accPr>
          <m:e>
            <m:r>
              <m:rPr>
                <m:sty m:val="p"/>
              </m:rPr>
              <w:rPr>
                <w:rFonts w:ascii="Cambria Math" w:hAnsi="Cambria Math"/>
                <w:sz w:val="16"/>
                <w:szCs w:val="16"/>
              </w:rPr>
              <m:t>μ</m:t>
            </m:r>
          </m:e>
        </m:acc>
      </m:oMath>
      <w:r w:rsidRPr="0018574F">
        <w:rPr>
          <w:sz w:val="16"/>
          <w:szCs w:val="16"/>
        </w:rPr>
        <w:t xml:space="preserve">​ = overall pooled estimate (denoted </w:t>
      </w:r>
      <m:oMath>
        <m:acc>
          <m:accPr>
            <m:ctrlPr>
              <w:rPr>
                <w:rFonts w:ascii="Cambria Math" w:hAnsi="Cambria Math"/>
                <w:sz w:val="16"/>
                <w:szCs w:val="16"/>
              </w:rPr>
            </m:ctrlPr>
          </m:accPr>
          <m:e>
            <m:r>
              <m:rPr>
                <m:sty m:val="p"/>
              </m:rPr>
              <w:rPr>
                <w:rFonts w:ascii="Cambria Math" w:hAnsi="Cambria Math"/>
                <w:sz w:val="16"/>
                <w:szCs w:val="16"/>
              </w:rPr>
              <m:t>θ</m:t>
            </m:r>
          </m:e>
        </m:acc>
      </m:oMath>
      <w:r w:rsidRPr="0018574F">
        <w:rPr>
          <w:sz w:val="16"/>
          <w:szCs w:val="16"/>
        </w:rPr>
        <w:t xml:space="preserve"> in Section 3.7.2).</w:t>
      </w:r>
      <w:r w:rsidRPr="00D74777">
        <w:rPr>
          <w:i/>
          <w:iCs/>
          <w:sz w:val="16"/>
          <w:szCs w:val="16"/>
        </w:rPr>
        <w:t xml:space="preserve"> G</w:t>
      </w:r>
      <w:r w:rsidRPr="0018574F">
        <w:rPr>
          <w:sz w:val="16"/>
          <w:szCs w:val="16"/>
        </w:rPr>
        <w:t xml:space="preserve"> = number of subgroups.</w:t>
      </w:r>
    </w:p>
    <w:p w14:paraId="1A8348EE" w14:textId="58693E74" w:rsidR="004F1570" w:rsidRDefault="004F1570" w:rsidP="00481B02">
      <w:pPr>
        <w:spacing w:after="120" w:line="360" w:lineRule="auto"/>
        <w:jc w:val="both"/>
        <w:rPr>
          <w:rFonts w:hint="eastAsia"/>
        </w:rPr>
      </w:pPr>
    </w:p>
    <w:p w14:paraId="3DAE2C46" w14:textId="3A8EA51D" w:rsidR="0026581C" w:rsidRDefault="0026581C" w:rsidP="003F0C00">
      <w:pPr>
        <w:spacing w:after="120" w:line="360" w:lineRule="auto"/>
        <w:ind w:firstLine="360"/>
        <w:jc w:val="both"/>
      </w:pPr>
      <w:r w:rsidRPr="0026581C">
        <w:lastRenderedPageBreak/>
        <w:t xml:space="preserve">Subgroup analysis is a special case of a more general model (Harrer et al., 2021). A categorical moderator compares group means, whereas a continuous moderator estimates how the effect size changes across its full range. The latter is meta-regression. Subgroup analysis is therefore a meta-regression with a categorical predictor, and meta-regression generalizes it by treating the moderator as continuous rather than binning studies into groups. In a random-effects meta-regression, the true effect of each study is modeled as a linear function of a moderator </w:t>
      </w:r>
      <w:r w:rsidRPr="0026581C">
        <w:rPr>
          <w:i/>
          <w:iCs/>
        </w:rPr>
        <w:t>x</w:t>
      </w:r>
      <w:r w:rsidRPr="0026581C">
        <w:t>ᵢ.</w:t>
      </w:r>
    </w:p>
    <w:bookmarkStart w:id="32" w:name="OLE_LINK93"/>
    <w:p w14:paraId="7E78269D" w14:textId="64BC8321" w:rsidR="0026581C" w:rsidRPr="003F0C00" w:rsidRDefault="0026581C" w:rsidP="0026581C">
      <w:pPr>
        <w:spacing w:after="120" w:line="360" w:lineRule="auto"/>
        <w:ind w:firstLine="360"/>
        <w:jc w:val="both"/>
        <w:rPr>
          <w:rFonts w:hint="eastAsia"/>
        </w:rPr>
      </w:pPr>
      <m:oMathPara>
        <m:oMath>
          <m:sSub>
            <m:sSubPr>
              <m:ctrlPr>
                <w:rPr>
                  <w:rFonts w:ascii="Cambria Math" w:hAnsi="Cambria Math"/>
                  <w:i/>
                </w:rPr>
              </m:ctrlPr>
            </m:sSubPr>
            <m:e>
              <m:acc>
                <m:accPr>
                  <m:ctrlPr>
                    <w:rPr>
                      <w:rFonts w:ascii="Cambria Math" w:hAnsi="Cambria Math"/>
                    </w:rPr>
                  </m:ctrlPr>
                </m:accPr>
                <m:e>
                  <m:r>
                    <m:rPr>
                      <m:sty m:val="p"/>
                    </m:rPr>
                    <w:rPr>
                      <w:rFonts w:ascii="Cambria Math" w:hAnsi="Cambria Math"/>
                    </w:rPr>
                    <m:t>θ</m:t>
                  </m:r>
                </m:e>
              </m:acc>
            </m:e>
            <m:sub>
              <m:r>
                <w:rPr>
                  <w:rFonts w:ascii="Cambria Math" w:hAnsi="Cambria Math"/>
                </w:rPr>
                <m:t>i</m:t>
              </m:r>
            </m:sub>
          </m:sSub>
          <w:bookmarkEnd w:id="32"/>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1</m:t>
              </m:r>
            </m:sub>
          </m:sSub>
          <w:bookmarkStart w:id="33" w:name="OLE_LINK95"/>
          <m:sSub>
            <m:sSubPr>
              <m:ctrlPr>
                <w:rPr>
                  <w:rFonts w:ascii="Cambria Math" w:hAnsi="Cambria Math"/>
                  <w:i/>
                </w:rPr>
              </m:ctrlPr>
            </m:sSubPr>
            <m:e>
              <m:r>
                <w:rPr>
                  <w:rFonts w:ascii="Cambria Math" w:hAnsi="Cambria Math"/>
                </w:rPr>
                <m:t>x</m:t>
              </m:r>
            </m:e>
            <m:sub>
              <m:r>
                <w:rPr>
                  <w:rFonts w:ascii="Cambria Math" w:hAnsi="Cambria Math"/>
                </w:rPr>
                <m:t>i</m:t>
              </m:r>
            </m:sub>
          </m:sSub>
          <w:bookmarkEnd w:id="33"/>
          <m:r>
            <w:rPr>
              <w:rFonts w:ascii="Cambria Math" w:hAnsi="Cambria Math"/>
            </w:rPr>
            <m:t>+</m:t>
          </m:r>
          <w:bookmarkStart w:id="34" w:name="OLE_LINK97"/>
          <m:sSub>
            <m:sSubPr>
              <m:ctrlPr>
                <w:rPr>
                  <w:rFonts w:ascii="Cambria Math" w:hAnsi="Cambria Math"/>
                  <w:i/>
                </w:rPr>
              </m:ctrlPr>
            </m:sSubPr>
            <m:e>
              <m:r>
                <w:rPr>
                  <w:rFonts w:ascii="Cambria Math" w:hAnsi="Cambria Math"/>
                </w:rPr>
                <m:t>u</m:t>
              </m:r>
            </m:e>
            <m:sub>
              <m:r>
                <w:rPr>
                  <w:rFonts w:ascii="Cambria Math" w:hAnsi="Cambria Math"/>
                </w:rPr>
                <m:t>i</m:t>
              </m:r>
            </m:sub>
          </m:sSub>
          <w:bookmarkEnd w:id="34"/>
          <m:r>
            <w:rPr>
              <w:rFonts w:ascii="Cambria Math" w:hAnsi="Cambria Math"/>
            </w:rPr>
            <m:t>+</m:t>
          </m:r>
          <w:bookmarkStart w:id="35" w:name="OLE_LINK94"/>
          <m:sSub>
            <m:sSubPr>
              <m:ctrlPr>
                <w:rPr>
                  <w:rFonts w:ascii="Cambria Math" w:hAnsi="Cambria Math"/>
                  <w:i/>
                </w:rPr>
              </m:ctrlPr>
            </m:sSubPr>
            <m:e>
              <m:r>
                <w:rPr>
                  <w:rFonts w:ascii="Cambria Math" w:hAnsi="Cambria Math"/>
                </w:rPr>
                <m:t>e</m:t>
              </m:r>
            </m:e>
            <m:sub>
              <m:r>
                <w:rPr>
                  <w:rFonts w:ascii="Cambria Math" w:hAnsi="Cambria Math"/>
                </w:rPr>
                <m:t>i</m:t>
              </m:r>
            </m:sub>
          </m:sSub>
          <w:bookmarkEnd w:id="35"/>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i</m:t>
              </m:r>
            </m:sub>
          </m:sSub>
          <m:r>
            <m:rPr>
              <m:sty m:val="p"/>
            </m:rPr>
            <w:rPr>
              <w:rFonts w:ascii="Cambria Math" w:hAnsi="Cambria Math" w:cs="Cambria Math"/>
            </w:rPr>
            <m:t>∼</m:t>
          </m:r>
          <m:r>
            <w:rPr>
              <w:rFonts w:ascii="Cambria Math" w:hAnsi="Cambria Math"/>
            </w:rPr>
            <m:t>N</m:t>
          </m:r>
          <m:d>
            <m:dPr>
              <m:ctrlPr>
                <w:rPr>
                  <w:rFonts w:ascii="Cambria Math" w:hAnsi="Cambria Math"/>
                  <w:i/>
                </w:rPr>
              </m:ctrlPr>
            </m:dPr>
            <m:e>
              <m:r>
                <w:rPr>
                  <w:rFonts w:ascii="Cambria Math" w:hAnsi="Cambria Math"/>
                </w:rPr>
                <m:t>0,</m:t>
              </m:r>
              <m:sSubSup>
                <m:sSubSupPr>
                  <m:ctrlPr>
                    <w:rPr>
                      <w:rFonts w:ascii="Cambria Math" w:hAnsi="Cambria Math"/>
                      <w:i/>
                    </w:rPr>
                  </m:ctrlPr>
                </m:sSubSupPr>
                <m:e>
                  <m:r>
                    <m:rPr>
                      <m:sty m:val="p"/>
                    </m:rPr>
                    <w:rPr>
                      <w:rFonts w:ascii="Cambria Math" w:hAnsi="Cambria Math"/>
                    </w:rPr>
                    <m:t>τ</m:t>
                  </m:r>
                </m:e>
                <m:sub>
                  <m:r>
                    <w:rPr>
                      <w:rFonts w:ascii="Cambria Math" w:hAnsi="Cambria Math"/>
                    </w:rPr>
                    <m:t>resid</m:t>
                  </m:r>
                </m:sub>
                <m:sup>
                  <m:r>
                    <w:rPr>
                      <w:rFonts w:ascii="Cambria Math" w:hAnsi="Cambria Math"/>
                    </w:rPr>
                    <m:t>2</m:t>
                  </m:r>
                </m:sup>
              </m:sSubSup>
            </m:e>
          </m:d>
        </m:oMath>
      </m:oMathPara>
    </w:p>
    <w:p w14:paraId="5A911F9D" w14:textId="3230DCA2" w:rsidR="003F0C00" w:rsidRDefault="0026581C" w:rsidP="0026581C">
      <w:pPr>
        <w:spacing w:after="120" w:line="360" w:lineRule="auto"/>
        <w:ind w:firstLine="360"/>
        <w:jc w:val="both"/>
        <w:rPr>
          <w:rFonts w:hint="eastAsia"/>
        </w:rPr>
      </w:pPr>
      <w:r w:rsidRPr="0026581C">
        <w:t>Here</w:t>
      </w:r>
      <w:r>
        <w:rPr>
          <w:rFonts w:hint="eastAsia"/>
        </w:rPr>
        <w:t>,</w:t>
      </w:r>
      <w:r w:rsidRPr="0026581C">
        <w:t xml:space="preserve"> </w:t>
      </w:r>
      <m:oMath>
        <m:sSub>
          <m:sSubPr>
            <m:ctrlPr>
              <w:rPr>
                <w:rFonts w:ascii="Cambria Math" w:hAnsi="Cambria Math"/>
                <w:i/>
              </w:rPr>
            </m:ctrlPr>
          </m:sSubPr>
          <m:e>
            <m:acc>
              <m:accPr>
                <m:ctrlPr>
                  <w:rPr>
                    <w:rFonts w:ascii="Cambria Math" w:hAnsi="Cambria Math"/>
                  </w:rPr>
                </m:ctrlPr>
              </m:accPr>
              <m:e>
                <m:r>
                  <m:rPr>
                    <m:sty m:val="p"/>
                  </m:rPr>
                  <w:rPr>
                    <w:rFonts w:ascii="Cambria Math" w:hAnsi="Cambria Math"/>
                  </w:rPr>
                  <m:t>θ</m:t>
                </m:r>
              </m:e>
            </m:acc>
          </m:e>
          <m:sub>
            <m:r>
              <w:rPr>
                <w:rFonts w:ascii="Cambria Math" w:hAnsi="Cambria Math"/>
              </w:rPr>
              <m:t>i</m:t>
            </m:r>
          </m:sub>
        </m:sSub>
      </m:oMath>
      <w:r w:rsidRPr="0026581C">
        <w:t xml:space="preserve"> </w:t>
      </w:r>
      <w:r w:rsidRPr="0026581C">
        <w:t xml:space="preserve">​ and </w:t>
      </w:r>
      <m:oMath>
        <m:sSub>
          <m:sSubPr>
            <m:ctrlPr>
              <w:rPr>
                <w:rFonts w:ascii="Cambria Math" w:hAnsi="Cambria Math"/>
                <w:i/>
              </w:rPr>
            </m:ctrlPr>
          </m:sSubPr>
          <m:e>
            <m:r>
              <w:rPr>
                <w:rFonts w:ascii="Cambria Math" w:hAnsi="Cambria Math"/>
              </w:rPr>
              <m:t>e</m:t>
            </m:r>
          </m:e>
          <m:sub>
            <m:r>
              <w:rPr>
                <w:rFonts w:ascii="Cambria Math" w:hAnsi="Cambria Math"/>
              </w:rPr>
              <m:t>i</m:t>
            </m:r>
          </m:sub>
        </m:sSub>
      </m:oMath>
      <w:r w:rsidRPr="0026581C">
        <w:t xml:space="preserve"> are the observed effect and sampling error of study</w:t>
      </w:r>
      <w:bookmarkStart w:id="36" w:name="OLE_LINK96"/>
      <w:r w:rsidRPr="0026581C">
        <w:t xml:space="preserve"> </w:t>
      </w:r>
      <w:proofErr w:type="spellStart"/>
      <w:r w:rsidR="000A329D" w:rsidRPr="000A329D">
        <w:rPr>
          <w:rFonts w:hint="eastAsia"/>
          <w:i/>
          <w:iCs/>
        </w:rPr>
        <w:t>i</w:t>
      </w:r>
      <w:proofErr w:type="spellEnd"/>
      <w:r w:rsidRPr="0026581C">
        <w:t>,</w:t>
      </w:r>
      <w:bookmarkEnd w:id="36"/>
      <w:r w:rsidRPr="0026581C">
        <w:t xml:space="preserve"> as defined in Section 3.7.2. The moderator value for </w:t>
      </w:r>
      <w:r>
        <w:rPr>
          <w:rFonts w:hint="eastAsia"/>
        </w:rPr>
        <w:t>stud</w:t>
      </w:r>
      <w:r w:rsidRPr="0026581C">
        <w:t xml:space="preserve">y </w:t>
      </w:r>
      <w:proofErr w:type="spellStart"/>
      <w:r w:rsidRPr="0026581C">
        <w:rPr>
          <w:i/>
          <w:iCs/>
        </w:rPr>
        <w:t>i</w:t>
      </w:r>
      <w:proofErr w:type="spellEnd"/>
      <w:r w:rsidRPr="0026581C">
        <w:t xml:space="preserve"> is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26581C">
        <w:t xml:space="preserve">. β₀ is the intercept and β₁ is the slope. The slope is the change in effect size for a one-unit increase in the moderator. The term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rsidRPr="0026581C">
        <w:t xml:space="preserve"> is the residual between-study heterogeneity that the moderator does not explain, and its variance is the residual τ². The proportion of the original between-study heterogeneity explained by the moderator is reported as </w:t>
      </w:r>
      <w:r w:rsidRPr="00F36968">
        <w:rPr>
          <w:i/>
          <w:iCs/>
        </w:rPr>
        <w:t>R</w:t>
      </w:r>
      <w:r w:rsidRPr="0026581C">
        <w:t xml:space="preserve">². The slope was tested with the Hartung-Knapp adjustment, so inference on β₁ used a </w:t>
      </w:r>
      <w:r w:rsidRPr="00F36968">
        <w:rPr>
          <w:i/>
          <w:iCs/>
        </w:rPr>
        <w:t>t</w:t>
      </w:r>
      <w:r w:rsidRPr="0026581C">
        <w:t xml:space="preserve"> distribution.</w:t>
      </w:r>
    </w:p>
    <w:p w14:paraId="74342BE3" w14:textId="196BE085" w:rsidR="00396FAE" w:rsidRDefault="00396FAE" w:rsidP="00396FAE">
      <w:pPr>
        <w:spacing w:after="120" w:line="360" w:lineRule="auto"/>
        <w:ind w:firstLine="360"/>
        <w:jc w:val="both"/>
      </w:pPr>
      <w:r w:rsidRPr="00396FAE">
        <w:t xml:space="preserve">Planned subgroup analyses were conducted for </w:t>
      </w:r>
      <w:r w:rsidR="000D52E9">
        <w:rPr>
          <w:rFonts w:hint="eastAsia"/>
        </w:rPr>
        <w:t xml:space="preserve">age group (Bjornstad et al., 2024), therapeutic </w:t>
      </w:r>
      <w:r w:rsidR="000D52E9">
        <w:t>component</w:t>
      </w:r>
      <w:r w:rsidR="000D52E9">
        <w:rPr>
          <w:rFonts w:hint="eastAsia"/>
        </w:rPr>
        <w:t xml:space="preserve">s (See Section 2.4.2, Table 1), </w:t>
      </w:r>
      <w:r w:rsidRPr="00396FAE">
        <w:t>control type</w:t>
      </w:r>
      <w:r w:rsidR="00516FE0">
        <w:rPr>
          <w:rFonts w:hint="eastAsia"/>
        </w:rPr>
        <w:t xml:space="preserve">, </w:t>
      </w:r>
      <w:r w:rsidRPr="00396FAE">
        <w:t>baseline depression severity</w:t>
      </w:r>
      <w:r w:rsidR="00516FE0">
        <w:rPr>
          <w:rFonts w:hint="eastAsia"/>
        </w:rPr>
        <w:t xml:space="preserve">, </w:t>
      </w:r>
      <w:r w:rsidR="00516FE0">
        <w:t>delivery</w:t>
      </w:r>
      <w:r w:rsidR="00516FE0">
        <w:rPr>
          <w:rFonts w:hint="eastAsia"/>
        </w:rPr>
        <w:t xml:space="preserve"> formats (See 2.4.1) </w:t>
      </w:r>
      <w:proofErr w:type="gramStart"/>
      <w:r w:rsidR="00516FE0">
        <w:rPr>
          <w:rFonts w:hint="eastAsia"/>
        </w:rPr>
        <w:t>and  non</w:t>
      </w:r>
      <w:proofErr w:type="gramEnd"/>
      <w:r w:rsidR="00516FE0">
        <w:rPr>
          <w:rFonts w:hint="eastAsia"/>
        </w:rPr>
        <w:t>-therapeutic support level (See Section 2.4.3, Table 2)</w:t>
      </w:r>
      <w:r w:rsidRPr="00396FAE">
        <w:t>. Control type was classified as passive control (waitlist, treatment as usual</w:t>
      </w:r>
      <w:r w:rsidR="007370A4">
        <w:rPr>
          <w:rFonts w:hint="eastAsia"/>
        </w:rPr>
        <w:t xml:space="preserve"> in both groups</w:t>
      </w:r>
      <w:r w:rsidRPr="00396FAE">
        <w:t>,</w:t>
      </w:r>
      <w:r w:rsidR="007370A4">
        <w:rPr>
          <w:rFonts w:hint="eastAsia"/>
        </w:rPr>
        <w:t xml:space="preserve"> assessment-only group</w:t>
      </w:r>
      <w:r w:rsidRPr="00396FAE">
        <w:t xml:space="preserve">) or minimally active control (attention control and information-only control). </w:t>
      </w:r>
    </w:p>
    <w:p w14:paraId="68D553C5" w14:textId="77777777" w:rsidR="00E612BC" w:rsidRPr="00E612BC" w:rsidRDefault="00E612BC" w:rsidP="00E612BC">
      <w:pPr>
        <w:spacing w:after="120" w:line="360" w:lineRule="auto"/>
        <w:ind w:firstLine="360"/>
        <w:jc w:val="both"/>
      </w:pPr>
      <w:r w:rsidRPr="00E612BC">
        <w:t>Subgroup analyses and the meta-regression were restricted to the post-intervention timepoint (</w:t>
      </w:r>
      <w:r w:rsidRPr="00E612BC">
        <w:rPr>
          <w:i/>
          <w:iCs/>
        </w:rPr>
        <w:t>k</w:t>
      </w:r>
      <w:r w:rsidRPr="00E612BC">
        <w:t xml:space="preserve"> = 14), because the follow-up windows contained too few studies for stable between-subgroup estimates. Each analysis used the same random-effects specification as the main analysis, with the REML estimator and the Hartung-Knapp adjustment. A common between-study variance (τ²) was assumed across subgroups, and between-subgroup differences were tested with the </w:t>
      </w:r>
      <w:r w:rsidRPr="00E612BC">
        <w:rPr>
          <w:i/>
          <w:iCs/>
        </w:rPr>
        <w:t>Q</w:t>
      </w:r>
      <w:r w:rsidRPr="00E612BC">
        <w:t xml:space="preserve"> statistic for subgroup differences. Confidence intervals for </w:t>
      </w:r>
      <w:r w:rsidRPr="00E612BC">
        <w:rPr>
          <w:i/>
          <w:iCs/>
        </w:rPr>
        <w:t>I</w:t>
      </w:r>
      <w:r w:rsidRPr="00E612BC">
        <w:t>² used the Q-profile method (</w:t>
      </w:r>
      <w:proofErr w:type="spellStart"/>
      <w:r w:rsidRPr="00E612BC">
        <w:t>Viechtbauer</w:t>
      </w:r>
      <w:proofErr w:type="spellEnd"/>
      <w:r w:rsidRPr="00E612BC">
        <w:t>, 2007), and estimates based on five or fewer studies were interpreted with caution (Borenstein et al., 2011). Bohr et al. (2023) was excluded, consistent with the main analysis.</w:t>
      </w:r>
    </w:p>
    <w:p w14:paraId="5AFB98D6" w14:textId="77777777" w:rsidR="00E612BC" w:rsidRPr="00E612BC" w:rsidRDefault="00E612BC" w:rsidP="00E612BC">
      <w:pPr>
        <w:spacing w:after="120" w:line="360" w:lineRule="auto"/>
        <w:ind w:firstLine="360"/>
        <w:jc w:val="both"/>
      </w:pPr>
      <w:r w:rsidRPr="00E612BC">
        <w:t xml:space="preserve">Two subgroup analyses were confirmatory. These were control type and baseline depression severity. Severity was collapsed into two strata, Low and High, because finer categories were too sparse for comparison. The remaining contrasts were exploratory. They examined the presence or absence of non-therapeutic human contact and of five individual CBT components, namely relaxation, problem-solving, homework requirement, relapse prevention, and interpersonal skills training. Coding for all moderators is given in Table 5. Cognitive restructuring was not contrasted because it was an inclusion criterion, and </w:t>
      </w:r>
      <w:r w:rsidRPr="00E612BC">
        <w:lastRenderedPageBreak/>
        <w:t>behavioral activation was not contrasted because too few programs lacked it.</w:t>
      </w:r>
    </w:p>
    <w:p w14:paraId="012335A5" w14:textId="77777777" w:rsidR="00E612BC" w:rsidRPr="00E612BC" w:rsidRDefault="00E612BC" w:rsidP="00E612BC">
      <w:pPr>
        <w:spacing w:after="120" w:line="360" w:lineRule="auto"/>
        <w:ind w:firstLine="360"/>
        <w:jc w:val="both"/>
      </w:pPr>
      <w:r w:rsidRPr="00E612BC">
        <w:t xml:space="preserve">Component contrasts were treated as exploratory for a structural reason. Components co-occurred within multi-component packages and clustered within a small number of program families. A single-component contrast therefore cannot be read as the independent effect of that </w:t>
      </w:r>
      <w:proofErr w:type="gramStart"/>
      <w:r w:rsidRPr="00E612BC">
        <w:t>component, and</w:t>
      </w:r>
      <w:proofErr w:type="gramEnd"/>
      <w:r w:rsidRPr="00E612BC">
        <w:t xml:space="preserve"> may partly reflect differences between programs. An exploratory meta-regression of the total component count, mean-centered and fitted with the same random-effects model, summarized the cumulative association suggested by these contrasts.</w:t>
      </w:r>
    </w:p>
    <w:p w14:paraId="5CF54B2B" w14:textId="252E33D2" w:rsidR="00E612BC" w:rsidRPr="00E612BC" w:rsidRDefault="00E612BC" w:rsidP="00244084">
      <w:pPr>
        <w:spacing w:after="120" w:line="360" w:lineRule="auto"/>
        <w:ind w:firstLine="360"/>
        <w:jc w:val="both"/>
        <w:rPr>
          <w:rFonts w:hint="eastAsia"/>
        </w:rPr>
      </w:pPr>
      <w:r w:rsidRPr="00E612BC">
        <w:t xml:space="preserve">Several moderators identified in the proposal could not be analyzed as planned and were summarized descriptively in Section 4.2. Age group, delivery modality, and the full support taxonomy lacked sufficient spread for formal comparison. The support dimension was reduced to the single human-contact contrast above, which was the only support feature with enough studies on both sides. A planned meta-regression of estimated weekly dose was not feasible, because dose was </w:t>
      </w:r>
      <w:proofErr w:type="gramStart"/>
      <w:r w:rsidRPr="00E612BC">
        <w:t>codable</w:t>
      </w:r>
      <w:r w:rsidR="00BE4EDC">
        <w:rPr>
          <w:rFonts w:hint="eastAsia"/>
        </w:rPr>
        <w:t xml:space="preserve"> </w:t>
      </w:r>
      <w:r w:rsidRPr="00E612BC">
        <w:t xml:space="preserve"> for</w:t>
      </w:r>
      <w:proofErr w:type="gramEnd"/>
      <w:r w:rsidRPr="00E612BC">
        <w:t xml:space="preserve"> only 4 of the 14 trials, below the level recommended for meta-regression with a single continuous predictor (Harrer et al., 2021).</w:t>
      </w:r>
    </w:p>
    <w:p w14:paraId="3B8D81B2" w14:textId="77777777" w:rsidR="005F5C4C" w:rsidRDefault="005F5C4C" w:rsidP="005F5C4C">
      <w:pPr>
        <w:spacing w:after="120" w:line="360" w:lineRule="auto"/>
        <w:ind w:firstLine="360"/>
        <w:jc w:val="both"/>
      </w:pPr>
    </w:p>
    <w:p w14:paraId="4BAFBD99" w14:textId="397ECC56" w:rsidR="005F5C4C" w:rsidRPr="005F5C4C" w:rsidRDefault="005F5C4C" w:rsidP="005F5C4C">
      <w:pPr>
        <w:spacing w:after="120" w:line="360" w:lineRule="auto"/>
        <w:jc w:val="both"/>
        <w:rPr>
          <w:b/>
          <w:bCs/>
          <w:iCs/>
        </w:rPr>
      </w:pPr>
      <w:r w:rsidRPr="005F5C4C">
        <w:rPr>
          <w:rFonts w:hint="eastAsia"/>
          <w:b/>
          <w:bCs/>
          <w:iCs/>
          <w:sz w:val="24"/>
        </w:rPr>
        <w:t xml:space="preserve">Table 5. </w:t>
      </w:r>
      <w:r w:rsidRPr="005F5C4C">
        <w:rPr>
          <w:rFonts w:eastAsia="Times New Roman"/>
          <w:b/>
          <w:bCs/>
          <w:iCs/>
          <w:sz w:val="24"/>
        </w:rPr>
        <w:t>Moderator Variables Extracted for Subgroup and Meta-Regression Analyses</w:t>
      </w:r>
    </w:p>
    <w:tbl>
      <w:tblPr>
        <w:tblW w:w="9356" w:type="dxa"/>
        <w:jc w:val="center"/>
        <w:tblLayout w:type="fixed"/>
        <w:tblLook w:val="04A0" w:firstRow="1" w:lastRow="0" w:firstColumn="1" w:lastColumn="0" w:noHBand="0" w:noVBand="1"/>
      </w:tblPr>
      <w:tblGrid>
        <w:gridCol w:w="1811"/>
        <w:gridCol w:w="2592"/>
        <w:gridCol w:w="4953"/>
      </w:tblGrid>
      <w:tr w:rsidR="005F5C4C" w14:paraId="4CAB5C62" w14:textId="77777777" w:rsidTr="005F5C4C">
        <w:trPr>
          <w:jc w:val="center"/>
        </w:trPr>
        <w:tc>
          <w:tcPr>
            <w:tcW w:w="1811" w:type="dxa"/>
            <w:tcBorders>
              <w:top w:val="single" w:sz="8" w:space="0" w:color="000000"/>
              <w:left w:val="nil"/>
              <w:bottom w:val="single" w:sz="4" w:space="0" w:color="000000"/>
              <w:right w:val="nil"/>
            </w:tcBorders>
            <w:tcMar>
              <w:top w:w="80" w:type="dxa"/>
              <w:left w:w="80" w:type="dxa"/>
              <w:bottom w:w="80" w:type="dxa"/>
              <w:right w:w="80" w:type="dxa"/>
            </w:tcMar>
            <w:vAlign w:val="center"/>
          </w:tcPr>
          <w:p w14:paraId="300975D1" w14:textId="77777777" w:rsidR="005F5C4C" w:rsidRDefault="005F5C4C" w:rsidP="00EF71F7">
            <w:pPr>
              <w:jc w:val="center"/>
            </w:pPr>
            <w:r>
              <w:rPr>
                <w:rFonts w:eastAsia="Times New Roman"/>
                <w:b/>
                <w:sz w:val="21"/>
              </w:rPr>
              <w:t>Analysis set</w:t>
            </w:r>
          </w:p>
        </w:tc>
        <w:tc>
          <w:tcPr>
            <w:tcW w:w="2592" w:type="dxa"/>
            <w:tcBorders>
              <w:top w:val="single" w:sz="8" w:space="0" w:color="000000"/>
              <w:left w:val="nil"/>
              <w:bottom w:val="single" w:sz="4" w:space="0" w:color="000000"/>
              <w:right w:val="nil"/>
            </w:tcBorders>
            <w:tcMar>
              <w:top w:w="80" w:type="dxa"/>
              <w:left w:w="80" w:type="dxa"/>
              <w:bottom w:w="80" w:type="dxa"/>
              <w:right w:w="80" w:type="dxa"/>
            </w:tcMar>
            <w:vAlign w:val="center"/>
          </w:tcPr>
          <w:p w14:paraId="75F9A797" w14:textId="77777777" w:rsidR="005F5C4C" w:rsidRDefault="005F5C4C" w:rsidP="00EF71F7">
            <w:pPr>
              <w:jc w:val="center"/>
            </w:pPr>
            <w:r>
              <w:rPr>
                <w:rFonts w:eastAsia="Times New Roman"/>
                <w:b/>
                <w:sz w:val="21"/>
              </w:rPr>
              <w:t>Moderator / derived variable</w:t>
            </w:r>
          </w:p>
        </w:tc>
        <w:tc>
          <w:tcPr>
            <w:tcW w:w="4953" w:type="dxa"/>
            <w:tcBorders>
              <w:top w:val="single" w:sz="8" w:space="0" w:color="000000"/>
              <w:left w:val="nil"/>
              <w:bottom w:val="single" w:sz="4" w:space="0" w:color="000000"/>
              <w:right w:val="nil"/>
            </w:tcBorders>
            <w:tcMar>
              <w:top w:w="80" w:type="dxa"/>
              <w:left w:w="80" w:type="dxa"/>
              <w:bottom w:w="80" w:type="dxa"/>
              <w:right w:w="80" w:type="dxa"/>
            </w:tcMar>
            <w:vAlign w:val="center"/>
          </w:tcPr>
          <w:p w14:paraId="059F55CD" w14:textId="77777777" w:rsidR="005F5C4C" w:rsidRDefault="005F5C4C" w:rsidP="00EF71F7">
            <w:pPr>
              <w:jc w:val="center"/>
            </w:pPr>
            <w:r>
              <w:rPr>
                <w:rFonts w:eastAsia="Times New Roman"/>
                <w:b/>
                <w:sz w:val="21"/>
              </w:rPr>
              <w:t>Coding used in analysis</w:t>
            </w:r>
          </w:p>
        </w:tc>
      </w:tr>
      <w:tr w:rsidR="005F5C4C" w14:paraId="59713419" w14:textId="77777777" w:rsidTr="005F5C4C">
        <w:trPr>
          <w:jc w:val="center"/>
        </w:trPr>
        <w:tc>
          <w:tcPr>
            <w:tcW w:w="1811" w:type="dxa"/>
            <w:vMerge w:val="restart"/>
            <w:tcBorders>
              <w:top w:val="nil"/>
              <w:left w:val="nil"/>
              <w:bottom w:val="nil"/>
              <w:right w:val="nil"/>
            </w:tcBorders>
            <w:tcMar>
              <w:top w:w="80" w:type="dxa"/>
              <w:left w:w="80" w:type="dxa"/>
              <w:bottom w:w="80" w:type="dxa"/>
              <w:right w:w="80" w:type="dxa"/>
            </w:tcMar>
            <w:vAlign w:val="center"/>
          </w:tcPr>
          <w:p w14:paraId="6503FD4E" w14:textId="77777777" w:rsidR="005F5C4C" w:rsidRDefault="005F5C4C" w:rsidP="00330FF4">
            <w:r>
              <w:rPr>
                <w:rFonts w:eastAsia="Times New Roman"/>
                <w:sz w:val="21"/>
              </w:rPr>
              <w:t>Confirmatory subgroup analyses</w:t>
            </w:r>
          </w:p>
        </w:tc>
        <w:tc>
          <w:tcPr>
            <w:tcW w:w="2592" w:type="dxa"/>
            <w:tcBorders>
              <w:top w:val="nil"/>
              <w:left w:val="nil"/>
              <w:bottom w:val="nil"/>
              <w:right w:val="nil"/>
            </w:tcBorders>
            <w:tcMar>
              <w:top w:w="80" w:type="dxa"/>
              <w:left w:w="80" w:type="dxa"/>
              <w:bottom w:w="80" w:type="dxa"/>
              <w:right w:w="80" w:type="dxa"/>
            </w:tcMar>
          </w:tcPr>
          <w:p w14:paraId="65199424" w14:textId="77777777" w:rsidR="005F5C4C" w:rsidRDefault="005F5C4C" w:rsidP="00EF71F7">
            <w:r>
              <w:rPr>
                <w:rFonts w:eastAsia="Times New Roman"/>
                <w:sz w:val="21"/>
              </w:rPr>
              <w:t>Control type</w:t>
            </w:r>
          </w:p>
        </w:tc>
        <w:tc>
          <w:tcPr>
            <w:tcW w:w="4953" w:type="dxa"/>
            <w:tcBorders>
              <w:top w:val="nil"/>
              <w:left w:val="nil"/>
              <w:bottom w:val="nil"/>
              <w:right w:val="nil"/>
            </w:tcBorders>
            <w:tcMar>
              <w:top w:w="80" w:type="dxa"/>
              <w:left w:w="80" w:type="dxa"/>
              <w:bottom w:w="80" w:type="dxa"/>
              <w:right w:w="80" w:type="dxa"/>
            </w:tcMar>
          </w:tcPr>
          <w:p w14:paraId="295CA319" w14:textId="77A12081" w:rsidR="00330FF4" w:rsidRPr="00330FF4" w:rsidRDefault="005F5C4C" w:rsidP="00EF71F7">
            <w:pPr>
              <w:rPr>
                <w:sz w:val="21"/>
              </w:rPr>
            </w:pPr>
            <w:r>
              <w:rPr>
                <w:rFonts w:eastAsia="Times New Roman"/>
                <w:sz w:val="21"/>
              </w:rPr>
              <w:t>Passive control: waitlist, treatment-as-usual</w:t>
            </w:r>
            <w:r w:rsidR="00330FF4">
              <w:rPr>
                <w:rFonts w:hint="eastAsia"/>
                <w:sz w:val="21"/>
              </w:rPr>
              <w:t xml:space="preserve"> in both groups</w:t>
            </w:r>
            <w:r>
              <w:rPr>
                <w:rFonts w:eastAsia="Times New Roman"/>
                <w:sz w:val="21"/>
              </w:rPr>
              <w:t>, no treatment, assessment-</w:t>
            </w:r>
            <w:proofErr w:type="gramStart"/>
            <w:r>
              <w:rPr>
                <w:rFonts w:eastAsia="Times New Roman"/>
                <w:sz w:val="21"/>
              </w:rPr>
              <w:t>only</w:t>
            </w:r>
            <w:r w:rsidR="00330FF4">
              <w:rPr>
                <w:rFonts w:hint="eastAsia"/>
                <w:sz w:val="21"/>
              </w:rPr>
              <w:t>;</w:t>
            </w:r>
            <w:proofErr w:type="gramEnd"/>
          </w:p>
          <w:p w14:paraId="21551E1E" w14:textId="023D16E2" w:rsidR="005F5C4C" w:rsidRDefault="00330FF4" w:rsidP="00EF71F7">
            <w:r>
              <w:rPr>
                <w:rFonts w:hint="eastAsia"/>
                <w:sz w:val="21"/>
              </w:rPr>
              <w:t>M</w:t>
            </w:r>
            <w:r w:rsidR="005F5C4C">
              <w:rPr>
                <w:rFonts w:eastAsia="Times New Roman"/>
                <w:sz w:val="21"/>
              </w:rPr>
              <w:t>inimally active control: attention-control or information-only control.</w:t>
            </w:r>
          </w:p>
        </w:tc>
      </w:tr>
      <w:tr w:rsidR="005F5C4C" w14:paraId="76EF1B99" w14:textId="77777777" w:rsidTr="005F5C4C">
        <w:trPr>
          <w:jc w:val="center"/>
        </w:trPr>
        <w:tc>
          <w:tcPr>
            <w:tcW w:w="1811" w:type="dxa"/>
            <w:vMerge/>
          </w:tcPr>
          <w:p w14:paraId="66E87CB2" w14:textId="77777777" w:rsidR="005F5C4C" w:rsidRDefault="005F5C4C" w:rsidP="00EF71F7"/>
        </w:tc>
        <w:tc>
          <w:tcPr>
            <w:tcW w:w="2592" w:type="dxa"/>
            <w:tcBorders>
              <w:top w:val="nil"/>
              <w:left w:val="nil"/>
              <w:bottom w:val="nil"/>
              <w:right w:val="nil"/>
            </w:tcBorders>
            <w:tcMar>
              <w:top w:w="80" w:type="dxa"/>
              <w:left w:w="80" w:type="dxa"/>
              <w:bottom w:w="80" w:type="dxa"/>
              <w:right w:w="80" w:type="dxa"/>
            </w:tcMar>
          </w:tcPr>
          <w:p w14:paraId="00049BCC" w14:textId="77777777" w:rsidR="005F5C4C" w:rsidRDefault="005F5C4C" w:rsidP="00EF71F7">
            <w:r>
              <w:rPr>
                <w:rFonts w:eastAsia="Times New Roman"/>
                <w:sz w:val="21"/>
              </w:rPr>
              <w:t>Baseline depression severity</w:t>
            </w:r>
          </w:p>
        </w:tc>
        <w:tc>
          <w:tcPr>
            <w:tcW w:w="4953" w:type="dxa"/>
            <w:tcBorders>
              <w:top w:val="nil"/>
              <w:left w:val="nil"/>
              <w:bottom w:val="nil"/>
              <w:right w:val="nil"/>
            </w:tcBorders>
            <w:tcMar>
              <w:top w:w="80" w:type="dxa"/>
              <w:left w:w="80" w:type="dxa"/>
              <w:bottom w:w="80" w:type="dxa"/>
              <w:right w:w="80" w:type="dxa"/>
            </w:tcMar>
          </w:tcPr>
          <w:p w14:paraId="4BD9A080" w14:textId="77777777" w:rsidR="005F5C4C" w:rsidRDefault="005F5C4C" w:rsidP="00EF71F7">
            <w:r>
              <w:rPr>
                <w:rFonts w:eastAsia="Times New Roman"/>
                <w:sz w:val="21"/>
              </w:rPr>
              <w:t>Low: mild or mild-to-moderate baseline depression; High: moderate or severe baseline depression. Coding was based on the reported pre-intervention mean and the corresponding clinical cutoff.</w:t>
            </w:r>
          </w:p>
        </w:tc>
      </w:tr>
      <w:tr w:rsidR="005F5C4C" w14:paraId="3ACC9966" w14:textId="77777777" w:rsidTr="005F5C4C">
        <w:trPr>
          <w:jc w:val="center"/>
        </w:trPr>
        <w:tc>
          <w:tcPr>
            <w:tcW w:w="1811" w:type="dxa"/>
            <w:tcBorders>
              <w:top w:val="single" w:sz="4" w:space="0" w:color="000000"/>
              <w:left w:val="nil"/>
              <w:bottom w:val="nil"/>
              <w:right w:val="nil"/>
            </w:tcBorders>
            <w:tcMar>
              <w:top w:w="80" w:type="dxa"/>
              <w:left w:w="80" w:type="dxa"/>
              <w:bottom w:w="80" w:type="dxa"/>
              <w:right w:w="80" w:type="dxa"/>
            </w:tcMar>
          </w:tcPr>
          <w:p w14:paraId="4E02C720" w14:textId="77777777" w:rsidR="005F5C4C" w:rsidRDefault="005F5C4C" w:rsidP="00EF71F7">
            <w:r>
              <w:rPr>
                <w:rFonts w:eastAsia="Times New Roman"/>
                <w:sz w:val="21"/>
              </w:rPr>
              <w:t>Exploratory subgroup analyses</w:t>
            </w:r>
          </w:p>
        </w:tc>
        <w:tc>
          <w:tcPr>
            <w:tcW w:w="2592" w:type="dxa"/>
            <w:tcBorders>
              <w:top w:val="single" w:sz="4" w:space="0" w:color="000000"/>
              <w:left w:val="nil"/>
              <w:bottom w:val="nil"/>
              <w:right w:val="nil"/>
            </w:tcBorders>
            <w:tcMar>
              <w:top w:w="80" w:type="dxa"/>
              <w:left w:w="80" w:type="dxa"/>
              <w:bottom w:w="80" w:type="dxa"/>
              <w:right w:w="80" w:type="dxa"/>
            </w:tcMar>
          </w:tcPr>
          <w:p w14:paraId="5B9DEAEB" w14:textId="77777777" w:rsidR="005F5C4C" w:rsidRDefault="005F5C4C" w:rsidP="00EF71F7">
            <w:r>
              <w:rPr>
                <w:rFonts w:eastAsia="Times New Roman"/>
                <w:sz w:val="21"/>
              </w:rPr>
              <w:t>Non-therapeutic human contact</w:t>
            </w:r>
          </w:p>
        </w:tc>
        <w:tc>
          <w:tcPr>
            <w:tcW w:w="4953" w:type="dxa"/>
            <w:tcBorders>
              <w:top w:val="single" w:sz="4" w:space="0" w:color="000000"/>
              <w:left w:val="nil"/>
              <w:bottom w:val="nil"/>
              <w:right w:val="nil"/>
            </w:tcBorders>
            <w:tcMar>
              <w:top w:w="80" w:type="dxa"/>
              <w:left w:w="80" w:type="dxa"/>
              <w:bottom w:w="80" w:type="dxa"/>
              <w:right w:w="80" w:type="dxa"/>
            </w:tcMar>
          </w:tcPr>
          <w:p w14:paraId="544A2079" w14:textId="01D6BDE3" w:rsidR="005F5C4C" w:rsidRPr="0069414E" w:rsidRDefault="005F5C4C" w:rsidP="00EF71F7">
            <w:r>
              <w:rPr>
                <w:rFonts w:eastAsia="Times New Roman"/>
                <w:sz w:val="21"/>
              </w:rPr>
              <w:t>No / Yes. Human contact referred to ongoing non-therapeutic reminders, encouragement, monitoring calls, or peer-moderated support during the intervention period. Initial consent or baseline assessment was not counted</w:t>
            </w:r>
            <w:r w:rsidR="0069414E">
              <w:rPr>
                <w:rFonts w:hint="eastAsia"/>
                <w:sz w:val="21"/>
              </w:rPr>
              <w:t xml:space="preserve">, since it contained in </w:t>
            </w:r>
            <w:proofErr w:type="gramStart"/>
            <w:r w:rsidR="0069414E">
              <w:rPr>
                <w:rFonts w:hint="eastAsia"/>
                <w:sz w:val="21"/>
              </w:rPr>
              <w:t>all of</w:t>
            </w:r>
            <w:proofErr w:type="gramEnd"/>
            <w:r w:rsidR="0069414E">
              <w:rPr>
                <w:rFonts w:hint="eastAsia"/>
                <w:sz w:val="21"/>
              </w:rPr>
              <w:t xml:space="preserve"> the</w:t>
            </w:r>
            <w:r w:rsidR="00807F62">
              <w:rPr>
                <w:rFonts w:hint="eastAsia"/>
                <w:sz w:val="21"/>
              </w:rPr>
              <w:t xml:space="preserve"> included</w:t>
            </w:r>
            <w:r w:rsidR="0069414E">
              <w:rPr>
                <w:rFonts w:hint="eastAsia"/>
                <w:sz w:val="21"/>
              </w:rPr>
              <w:t xml:space="preserve"> stud</w:t>
            </w:r>
            <w:r w:rsidR="00807F62">
              <w:rPr>
                <w:rFonts w:hint="eastAsia"/>
                <w:sz w:val="21"/>
              </w:rPr>
              <w:t>ies.</w:t>
            </w:r>
          </w:p>
        </w:tc>
      </w:tr>
      <w:tr w:rsidR="005F5C4C" w14:paraId="1F73A870" w14:textId="77777777" w:rsidTr="005F5C4C">
        <w:trPr>
          <w:jc w:val="center"/>
        </w:trPr>
        <w:tc>
          <w:tcPr>
            <w:tcW w:w="1811" w:type="dxa"/>
            <w:vMerge w:val="restart"/>
            <w:tcBorders>
              <w:top w:val="single" w:sz="4" w:space="0" w:color="000000"/>
              <w:left w:val="nil"/>
              <w:bottom w:val="nil"/>
              <w:right w:val="nil"/>
            </w:tcBorders>
            <w:tcMar>
              <w:top w:w="80" w:type="dxa"/>
              <w:left w:w="80" w:type="dxa"/>
              <w:bottom w:w="80" w:type="dxa"/>
              <w:right w:w="80" w:type="dxa"/>
            </w:tcMar>
            <w:vAlign w:val="center"/>
          </w:tcPr>
          <w:p w14:paraId="5625B6EB" w14:textId="77777777" w:rsidR="005F5C4C" w:rsidRDefault="005F5C4C" w:rsidP="00330FF4">
            <w:r>
              <w:rPr>
                <w:rFonts w:eastAsia="Times New Roman"/>
                <w:sz w:val="21"/>
              </w:rPr>
              <w:t>Exploratory CBT component contrasts</w:t>
            </w:r>
          </w:p>
        </w:tc>
        <w:tc>
          <w:tcPr>
            <w:tcW w:w="2592" w:type="dxa"/>
            <w:tcBorders>
              <w:top w:val="single" w:sz="4" w:space="0" w:color="000000"/>
              <w:left w:val="nil"/>
              <w:bottom w:val="nil"/>
              <w:right w:val="nil"/>
            </w:tcBorders>
            <w:tcMar>
              <w:top w:w="80" w:type="dxa"/>
              <w:left w:w="80" w:type="dxa"/>
              <w:bottom w:w="80" w:type="dxa"/>
              <w:right w:w="80" w:type="dxa"/>
            </w:tcMar>
          </w:tcPr>
          <w:p w14:paraId="7FE73F8A" w14:textId="77777777" w:rsidR="005F5C4C" w:rsidRDefault="005F5C4C" w:rsidP="00EF71F7">
            <w:r>
              <w:rPr>
                <w:rFonts w:eastAsia="Times New Roman"/>
                <w:sz w:val="21"/>
              </w:rPr>
              <w:t>Relaxation</w:t>
            </w:r>
          </w:p>
        </w:tc>
        <w:tc>
          <w:tcPr>
            <w:tcW w:w="4953" w:type="dxa"/>
            <w:tcBorders>
              <w:top w:val="single" w:sz="4" w:space="0" w:color="000000"/>
              <w:left w:val="nil"/>
              <w:bottom w:val="nil"/>
              <w:right w:val="nil"/>
            </w:tcBorders>
            <w:tcMar>
              <w:top w:w="80" w:type="dxa"/>
              <w:left w:w="80" w:type="dxa"/>
              <w:bottom w:w="80" w:type="dxa"/>
              <w:right w:w="80" w:type="dxa"/>
            </w:tcMar>
          </w:tcPr>
          <w:p w14:paraId="657DA018" w14:textId="77777777" w:rsidR="005F5C4C" w:rsidRDefault="005F5C4C" w:rsidP="00EF71F7">
            <w:r>
              <w:rPr>
                <w:rFonts w:eastAsia="Times New Roman"/>
                <w:sz w:val="21"/>
              </w:rPr>
              <w:t>Absent / present.</w:t>
            </w:r>
          </w:p>
        </w:tc>
      </w:tr>
      <w:tr w:rsidR="005F5C4C" w14:paraId="5E7C2630" w14:textId="77777777" w:rsidTr="005F5C4C">
        <w:trPr>
          <w:jc w:val="center"/>
        </w:trPr>
        <w:tc>
          <w:tcPr>
            <w:tcW w:w="1811" w:type="dxa"/>
            <w:vMerge/>
          </w:tcPr>
          <w:p w14:paraId="3311A3DC" w14:textId="77777777" w:rsidR="005F5C4C" w:rsidRDefault="005F5C4C" w:rsidP="00EF71F7"/>
        </w:tc>
        <w:tc>
          <w:tcPr>
            <w:tcW w:w="2592" w:type="dxa"/>
            <w:tcBorders>
              <w:top w:val="nil"/>
              <w:left w:val="nil"/>
              <w:bottom w:val="nil"/>
              <w:right w:val="nil"/>
            </w:tcBorders>
            <w:tcMar>
              <w:top w:w="80" w:type="dxa"/>
              <w:left w:w="80" w:type="dxa"/>
              <w:bottom w:w="80" w:type="dxa"/>
              <w:right w:w="80" w:type="dxa"/>
            </w:tcMar>
          </w:tcPr>
          <w:p w14:paraId="46C7FA3A" w14:textId="77777777" w:rsidR="005F5C4C" w:rsidRDefault="005F5C4C" w:rsidP="00EF71F7">
            <w:r>
              <w:rPr>
                <w:rFonts w:eastAsia="Times New Roman"/>
                <w:sz w:val="21"/>
              </w:rPr>
              <w:t>Problem-solving</w:t>
            </w:r>
          </w:p>
        </w:tc>
        <w:tc>
          <w:tcPr>
            <w:tcW w:w="4953" w:type="dxa"/>
            <w:tcBorders>
              <w:top w:val="nil"/>
              <w:left w:val="nil"/>
              <w:bottom w:val="nil"/>
              <w:right w:val="nil"/>
            </w:tcBorders>
            <w:tcMar>
              <w:top w:w="80" w:type="dxa"/>
              <w:left w:w="80" w:type="dxa"/>
              <w:bottom w:w="80" w:type="dxa"/>
              <w:right w:w="80" w:type="dxa"/>
            </w:tcMar>
          </w:tcPr>
          <w:p w14:paraId="00D74B9B" w14:textId="77777777" w:rsidR="005F5C4C" w:rsidRDefault="005F5C4C" w:rsidP="00EF71F7">
            <w:r>
              <w:rPr>
                <w:rFonts w:eastAsia="Times New Roman"/>
                <w:sz w:val="21"/>
              </w:rPr>
              <w:t>Absent / present.</w:t>
            </w:r>
          </w:p>
        </w:tc>
      </w:tr>
      <w:tr w:rsidR="005F5C4C" w14:paraId="3024FE99" w14:textId="77777777" w:rsidTr="005F5C4C">
        <w:trPr>
          <w:jc w:val="center"/>
        </w:trPr>
        <w:tc>
          <w:tcPr>
            <w:tcW w:w="1811" w:type="dxa"/>
            <w:vMerge/>
          </w:tcPr>
          <w:p w14:paraId="5BD1F812" w14:textId="77777777" w:rsidR="005F5C4C" w:rsidRDefault="005F5C4C" w:rsidP="00EF71F7"/>
        </w:tc>
        <w:tc>
          <w:tcPr>
            <w:tcW w:w="2592" w:type="dxa"/>
            <w:tcBorders>
              <w:top w:val="nil"/>
              <w:left w:val="nil"/>
              <w:bottom w:val="nil"/>
              <w:right w:val="nil"/>
            </w:tcBorders>
            <w:tcMar>
              <w:top w:w="80" w:type="dxa"/>
              <w:left w:w="80" w:type="dxa"/>
              <w:bottom w:w="80" w:type="dxa"/>
              <w:right w:w="80" w:type="dxa"/>
            </w:tcMar>
          </w:tcPr>
          <w:p w14:paraId="2126C0C7" w14:textId="77777777" w:rsidR="005F5C4C" w:rsidRDefault="005F5C4C" w:rsidP="00EF71F7">
            <w:r>
              <w:rPr>
                <w:rFonts w:eastAsia="Times New Roman"/>
                <w:sz w:val="21"/>
              </w:rPr>
              <w:t>Homework requirement</w:t>
            </w:r>
          </w:p>
        </w:tc>
        <w:tc>
          <w:tcPr>
            <w:tcW w:w="4953" w:type="dxa"/>
            <w:tcBorders>
              <w:top w:val="nil"/>
              <w:left w:val="nil"/>
              <w:bottom w:val="nil"/>
              <w:right w:val="nil"/>
            </w:tcBorders>
            <w:tcMar>
              <w:top w:w="80" w:type="dxa"/>
              <w:left w:w="80" w:type="dxa"/>
              <w:bottom w:w="80" w:type="dxa"/>
              <w:right w:w="80" w:type="dxa"/>
            </w:tcMar>
          </w:tcPr>
          <w:p w14:paraId="66BE5DE5" w14:textId="77777777" w:rsidR="005F5C4C" w:rsidRDefault="005F5C4C" w:rsidP="00EF71F7">
            <w:r>
              <w:rPr>
                <w:rFonts w:eastAsia="Times New Roman"/>
                <w:sz w:val="21"/>
              </w:rPr>
              <w:t>Absent / present.</w:t>
            </w:r>
          </w:p>
        </w:tc>
      </w:tr>
      <w:tr w:rsidR="005F5C4C" w14:paraId="38456042" w14:textId="77777777" w:rsidTr="005F5C4C">
        <w:trPr>
          <w:jc w:val="center"/>
        </w:trPr>
        <w:tc>
          <w:tcPr>
            <w:tcW w:w="1811" w:type="dxa"/>
            <w:vMerge/>
          </w:tcPr>
          <w:p w14:paraId="1647F659" w14:textId="77777777" w:rsidR="005F5C4C" w:rsidRDefault="005F5C4C" w:rsidP="00EF71F7"/>
        </w:tc>
        <w:tc>
          <w:tcPr>
            <w:tcW w:w="2592" w:type="dxa"/>
            <w:tcBorders>
              <w:top w:val="nil"/>
              <w:left w:val="nil"/>
              <w:bottom w:val="nil"/>
              <w:right w:val="nil"/>
            </w:tcBorders>
            <w:tcMar>
              <w:top w:w="80" w:type="dxa"/>
              <w:left w:w="80" w:type="dxa"/>
              <w:bottom w:w="80" w:type="dxa"/>
              <w:right w:w="80" w:type="dxa"/>
            </w:tcMar>
          </w:tcPr>
          <w:p w14:paraId="61C261BD" w14:textId="77777777" w:rsidR="005F5C4C" w:rsidRDefault="005F5C4C" w:rsidP="00EF71F7">
            <w:r>
              <w:rPr>
                <w:rFonts w:eastAsia="Times New Roman"/>
                <w:sz w:val="21"/>
              </w:rPr>
              <w:t>Relapse prevention</w:t>
            </w:r>
          </w:p>
        </w:tc>
        <w:tc>
          <w:tcPr>
            <w:tcW w:w="4953" w:type="dxa"/>
            <w:tcBorders>
              <w:top w:val="nil"/>
              <w:left w:val="nil"/>
              <w:bottom w:val="nil"/>
              <w:right w:val="nil"/>
            </w:tcBorders>
            <w:tcMar>
              <w:top w:w="80" w:type="dxa"/>
              <w:left w:w="80" w:type="dxa"/>
              <w:bottom w:w="80" w:type="dxa"/>
              <w:right w:w="80" w:type="dxa"/>
            </w:tcMar>
          </w:tcPr>
          <w:p w14:paraId="792C6C58" w14:textId="77777777" w:rsidR="005F5C4C" w:rsidRDefault="005F5C4C" w:rsidP="00EF71F7">
            <w:r>
              <w:rPr>
                <w:rFonts w:eastAsia="Times New Roman"/>
                <w:sz w:val="21"/>
              </w:rPr>
              <w:t>Absent / present.</w:t>
            </w:r>
          </w:p>
        </w:tc>
      </w:tr>
      <w:tr w:rsidR="005F5C4C" w14:paraId="1D218EF4" w14:textId="77777777" w:rsidTr="005F5C4C">
        <w:trPr>
          <w:jc w:val="center"/>
        </w:trPr>
        <w:tc>
          <w:tcPr>
            <w:tcW w:w="1811" w:type="dxa"/>
            <w:vMerge/>
          </w:tcPr>
          <w:p w14:paraId="588A9A38" w14:textId="77777777" w:rsidR="005F5C4C" w:rsidRDefault="005F5C4C" w:rsidP="00EF71F7"/>
        </w:tc>
        <w:tc>
          <w:tcPr>
            <w:tcW w:w="2592" w:type="dxa"/>
            <w:tcBorders>
              <w:top w:val="nil"/>
              <w:left w:val="nil"/>
              <w:bottom w:val="nil"/>
              <w:right w:val="nil"/>
            </w:tcBorders>
            <w:tcMar>
              <w:top w:w="80" w:type="dxa"/>
              <w:left w:w="80" w:type="dxa"/>
              <w:bottom w:w="80" w:type="dxa"/>
              <w:right w:w="80" w:type="dxa"/>
            </w:tcMar>
          </w:tcPr>
          <w:p w14:paraId="584B32CE" w14:textId="77777777" w:rsidR="005F5C4C" w:rsidRDefault="005F5C4C" w:rsidP="00EF71F7">
            <w:r>
              <w:rPr>
                <w:rFonts w:eastAsia="Times New Roman"/>
                <w:sz w:val="21"/>
              </w:rPr>
              <w:t>Interpersonal skills training</w:t>
            </w:r>
          </w:p>
        </w:tc>
        <w:tc>
          <w:tcPr>
            <w:tcW w:w="4953" w:type="dxa"/>
            <w:tcBorders>
              <w:top w:val="nil"/>
              <w:left w:val="nil"/>
              <w:bottom w:val="nil"/>
              <w:right w:val="nil"/>
            </w:tcBorders>
            <w:tcMar>
              <w:top w:w="80" w:type="dxa"/>
              <w:left w:w="80" w:type="dxa"/>
              <w:bottom w:w="80" w:type="dxa"/>
              <w:right w:w="80" w:type="dxa"/>
            </w:tcMar>
          </w:tcPr>
          <w:p w14:paraId="57E8E838" w14:textId="77777777" w:rsidR="005F5C4C" w:rsidRDefault="005F5C4C" w:rsidP="00EF71F7">
            <w:r>
              <w:rPr>
                <w:rFonts w:eastAsia="Times New Roman"/>
                <w:sz w:val="21"/>
              </w:rPr>
              <w:t>Absent / present.</w:t>
            </w:r>
          </w:p>
        </w:tc>
      </w:tr>
      <w:tr w:rsidR="005F5C4C" w14:paraId="3292323E" w14:textId="77777777" w:rsidTr="005F5C4C">
        <w:trPr>
          <w:jc w:val="center"/>
        </w:trPr>
        <w:tc>
          <w:tcPr>
            <w:tcW w:w="1811" w:type="dxa"/>
            <w:tcBorders>
              <w:left w:val="nil"/>
              <w:bottom w:val="single" w:sz="8" w:space="0" w:color="000000"/>
              <w:right w:val="nil"/>
            </w:tcBorders>
            <w:tcMar>
              <w:top w:w="80" w:type="dxa"/>
              <w:left w:w="80" w:type="dxa"/>
              <w:bottom w:w="80" w:type="dxa"/>
              <w:right w:w="80" w:type="dxa"/>
            </w:tcMar>
          </w:tcPr>
          <w:p w14:paraId="2B75DB9E" w14:textId="77777777" w:rsidR="005F5C4C" w:rsidRDefault="005F5C4C" w:rsidP="00EF71F7">
            <w:r>
              <w:rPr>
                <w:rFonts w:eastAsia="Times New Roman"/>
                <w:sz w:val="21"/>
              </w:rPr>
              <w:lastRenderedPageBreak/>
              <w:t>Meta-regression</w:t>
            </w:r>
          </w:p>
        </w:tc>
        <w:tc>
          <w:tcPr>
            <w:tcW w:w="2592" w:type="dxa"/>
            <w:tcBorders>
              <w:left w:val="nil"/>
              <w:bottom w:val="single" w:sz="8" w:space="0" w:color="000000"/>
              <w:right w:val="nil"/>
            </w:tcBorders>
            <w:tcMar>
              <w:top w:w="80" w:type="dxa"/>
              <w:left w:w="80" w:type="dxa"/>
              <w:bottom w:w="80" w:type="dxa"/>
              <w:right w:w="80" w:type="dxa"/>
            </w:tcMar>
          </w:tcPr>
          <w:p w14:paraId="6376FFFB" w14:textId="77777777" w:rsidR="005F5C4C" w:rsidRDefault="005F5C4C" w:rsidP="00EF71F7">
            <w:r>
              <w:rPr>
                <w:rFonts w:eastAsia="Times New Roman"/>
                <w:sz w:val="21"/>
              </w:rPr>
              <w:t>CBT component count</w:t>
            </w:r>
          </w:p>
        </w:tc>
        <w:tc>
          <w:tcPr>
            <w:tcW w:w="4953" w:type="dxa"/>
            <w:tcBorders>
              <w:left w:val="nil"/>
              <w:bottom w:val="single" w:sz="8" w:space="0" w:color="000000"/>
              <w:right w:val="nil"/>
            </w:tcBorders>
            <w:tcMar>
              <w:top w:w="80" w:type="dxa"/>
              <w:left w:w="80" w:type="dxa"/>
              <w:bottom w:w="80" w:type="dxa"/>
              <w:right w:w="80" w:type="dxa"/>
            </w:tcMar>
          </w:tcPr>
          <w:p w14:paraId="67473A3D" w14:textId="77777777" w:rsidR="005F5C4C" w:rsidRDefault="005F5C4C" w:rsidP="00EF71F7">
            <w:r>
              <w:rPr>
                <w:rFonts w:eastAsia="Times New Roman"/>
                <w:sz w:val="21"/>
              </w:rPr>
              <w:t>Continuous predictor. The number of coded CBT components was counted for each intervention and mean-</w:t>
            </w:r>
            <w:proofErr w:type="spellStart"/>
            <w:r>
              <w:rPr>
                <w:rFonts w:eastAsia="Times New Roman"/>
                <w:sz w:val="21"/>
              </w:rPr>
              <w:t>centred</w:t>
            </w:r>
            <w:proofErr w:type="spellEnd"/>
            <w:r>
              <w:rPr>
                <w:rFonts w:eastAsia="Times New Roman"/>
                <w:sz w:val="21"/>
              </w:rPr>
              <w:t xml:space="preserve"> before analysis.</w:t>
            </w:r>
          </w:p>
        </w:tc>
      </w:tr>
    </w:tbl>
    <w:p w14:paraId="2D9E4692" w14:textId="77777777" w:rsidR="005F5C4C" w:rsidRDefault="005F5C4C" w:rsidP="005F5C4C"/>
    <w:p w14:paraId="2C0624E9" w14:textId="77777777" w:rsidR="005F5C4C" w:rsidRPr="00330FF4" w:rsidRDefault="005F5C4C" w:rsidP="005F5C4C">
      <w:pPr>
        <w:rPr>
          <w:sz w:val="16"/>
          <w:szCs w:val="16"/>
        </w:rPr>
      </w:pPr>
      <w:r w:rsidRPr="00330FF4">
        <w:rPr>
          <w:rFonts w:eastAsia="Times New Roman"/>
          <w:i/>
          <w:sz w:val="16"/>
          <w:szCs w:val="16"/>
        </w:rPr>
        <w:t xml:space="preserve">Note. </w:t>
      </w:r>
      <w:r w:rsidRPr="00330FF4">
        <w:rPr>
          <w:rFonts w:eastAsia="Times New Roman"/>
          <w:sz w:val="16"/>
          <w:szCs w:val="16"/>
        </w:rPr>
        <w:t>Only variables used for subgroup analyses or meta-regression are shown. Cognitive restructuring was not examined as a subgroup contrast because it was an inclusion criterion. Behavioral activation was not examined as a single-component contrast because it was present in most included interventions, leaving the absent subgroup insufficient for comparison. Support coding excluded therapist-delivered therapeutic content such as cognitive restructuring guidance, homework feedback, or treatment-related coaching.</w:t>
      </w:r>
    </w:p>
    <w:p w14:paraId="7FE865F7" w14:textId="77777777" w:rsidR="005F5C4C" w:rsidRPr="005F5C4C" w:rsidRDefault="005F5C4C" w:rsidP="005F5C4C">
      <w:pPr>
        <w:spacing w:after="120" w:line="360" w:lineRule="auto"/>
        <w:jc w:val="both"/>
      </w:pPr>
    </w:p>
    <w:p w14:paraId="312AC656" w14:textId="77777777" w:rsidR="000C3784" w:rsidRDefault="00D450DC">
      <w:pPr>
        <w:pStyle w:val="3"/>
      </w:pPr>
      <w:bookmarkStart w:id="37" w:name="OLE_LINK3"/>
      <w:r>
        <w:t>3.7.4. Publication Bias</w:t>
      </w:r>
    </w:p>
    <w:bookmarkEnd w:id="37"/>
    <w:p w14:paraId="4F8A51B7" w14:textId="77777777" w:rsidR="00E30B40" w:rsidRPr="00E30B40" w:rsidRDefault="00E30B40" w:rsidP="00E30B40">
      <w:pPr>
        <w:spacing w:after="120" w:line="360" w:lineRule="auto"/>
        <w:ind w:firstLine="360"/>
        <w:jc w:val="both"/>
        <w:rPr>
          <w:rFonts w:eastAsia="Times New Roman"/>
        </w:rPr>
      </w:pPr>
      <w:r w:rsidRPr="00E30B40">
        <w:rPr>
          <w:rFonts w:eastAsia="Times New Roman"/>
        </w:rPr>
        <w:t>Publication bias was evaluated graphically through inspection of a contour-enhanced funnel plot (Peters et al., 2008) and statistically through Egger's regression test for funnel-plot asymmetry (Egger et al., 1997). When funnel-plot asymmetry was suggested, the trim-and-fill procedure (Duval &amp; Tweedie, 2000) was applied as a sensitivity analysis to estimate the potential impact of missing studies on the pooled effect.</w:t>
      </w:r>
    </w:p>
    <w:p w14:paraId="62769A88" w14:textId="413C14AF" w:rsidR="00AB7F1D" w:rsidRPr="00E30B40" w:rsidRDefault="00E30B40" w:rsidP="00E30B40">
      <w:pPr>
        <w:spacing w:after="120" w:line="360" w:lineRule="auto"/>
        <w:ind w:firstLine="360"/>
        <w:jc w:val="both"/>
      </w:pPr>
      <w:r w:rsidRPr="00E30B40">
        <w:rPr>
          <w:rFonts w:eastAsia="Times New Roman"/>
        </w:rPr>
        <w:t>Contour-enhanced funnel plots extend conventional funnel plots by adding shaded regions that correspond to different levels of statistical significance. These contours help distinguish publication bias from other possible causes of asymmetry. For example, if missing or sparse studies are concentrated in non-significant regions, this pattern may be more consistent with publication bias. In the present analysis, the contour regions represented conventional significance levels of (p &lt; .10), (p &lt; .05), and (p &lt; .01), while the white region represented non-significant results.</w:t>
      </w:r>
    </w:p>
    <w:p w14:paraId="2CB9E7A2" w14:textId="77777777" w:rsidR="000C3784" w:rsidRDefault="00D450DC">
      <w:pPr>
        <w:pStyle w:val="3"/>
      </w:pPr>
      <w:r>
        <w:t>3.7.5. Acceptability</w:t>
      </w:r>
    </w:p>
    <w:p w14:paraId="72F7F403" w14:textId="0EDBE843" w:rsidR="000C3784" w:rsidRDefault="00E74DAD">
      <w:pPr>
        <w:spacing w:after="120" w:line="360" w:lineRule="auto"/>
        <w:ind w:firstLine="360"/>
        <w:jc w:val="both"/>
      </w:pPr>
      <w:r w:rsidRPr="00E74DAD">
        <w:rPr>
          <w:rFonts w:eastAsia="Times New Roman"/>
        </w:rPr>
        <w:t>Acceptability was operationalized as differential dropout between the experimental and control arms, quantified as the relative risk of dropout in the experimental arm relative to the control arm. Dropout was defined as the proportion of participants randomized to an arm who did not provide data at the primary post-intervention time-point. A relative risk greater than 1 indicates that dropout was higher in the experimental arm than in the control arm; a value less than 1 indicates the reverse</w:t>
      </w:r>
      <w:r>
        <w:rPr>
          <w:rFonts w:eastAsia="Times New Roman"/>
        </w:rPr>
        <w:t>.</w:t>
      </w:r>
    </w:p>
    <w:p w14:paraId="2D58FFD7" w14:textId="77777777" w:rsidR="000C3784" w:rsidRDefault="00D450DC">
      <w:pPr>
        <w:pStyle w:val="3"/>
      </w:pPr>
      <w:r>
        <w:t>3.7.6. Software</w:t>
      </w:r>
    </w:p>
    <w:p w14:paraId="4A5BB28C" w14:textId="0E65493F" w:rsidR="000C3784" w:rsidRDefault="00E74DAD">
      <w:pPr>
        <w:spacing w:after="120" w:line="360" w:lineRule="auto"/>
        <w:ind w:firstLine="360"/>
        <w:jc w:val="both"/>
      </w:pPr>
      <w:r w:rsidRPr="00E74DAD">
        <w:rPr>
          <w:rFonts w:eastAsia="Times New Roman"/>
        </w:rPr>
        <w:t xml:space="preserve">All statistical analyses were conducted in R version 4.4.2 (R Core Team, 2024) using the meta and </w:t>
      </w:r>
      <w:proofErr w:type="spellStart"/>
      <w:r w:rsidRPr="00E74DAD">
        <w:rPr>
          <w:rFonts w:eastAsia="Times New Roman"/>
        </w:rPr>
        <w:t>metafor</w:t>
      </w:r>
      <w:proofErr w:type="spellEnd"/>
      <w:r w:rsidRPr="00E74DAD">
        <w:rPr>
          <w:rFonts w:eastAsia="Times New Roman"/>
        </w:rPr>
        <w:t xml:space="preserve"> packages (Balduzzi et al., 2019; </w:t>
      </w:r>
      <w:proofErr w:type="spellStart"/>
      <w:r w:rsidRPr="00E74DAD">
        <w:rPr>
          <w:rFonts w:eastAsia="Times New Roman"/>
        </w:rPr>
        <w:t>Viechtbauer</w:t>
      </w:r>
      <w:proofErr w:type="spellEnd"/>
      <w:r w:rsidRPr="00E74DAD">
        <w:rPr>
          <w:rFonts w:eastAsia="Times New Roman"/>
        </w:rPr>
        <w:t xml:space="preserve">, 2010). Risk-of-bias judgments and visualizations were produced using the Cochrane </w:t>
      </w:r>
      <w:proofErr w:type="spellStart"/>
      <w:r w:rsidRPr="00E74DAD">
        <w:rPr>
          <w:rFonts w:eastAsia="Times New Roman"/>
        </w:rPr>
        <w:t>RoB</w:t>
      </w:r>
      <w:proofErr w:type="spellEnd"/>
      <w:r w:rsidRPr="00E74DAD">
        <w:rPr>
          <w:rFonts w:eastAsia="Times New Roman"/>
        </w:rPr>
        <w:t xml:space="preserve"> 2 Excel tool and associated R utilities. Forest plots, funnel plots, and subgroup forest plots were generated using the forest and funnel functions of the meta package</w:t>
      </w:r>
      <w:r>
        <w:rPr>
          <w:rFonts w:eastAsia="Times New Roman"/>
        </w:rPr>
        <w:t>.</w:t>
      </w:r>
    </w:p>
    <w:p w14:paraId="3ADD7DBA" w14:textId="77777777" w:rsidR="000C3784" w:rsidRDefault="00D450DC">
      <w:pPr>
        <w:pStyle w:val="1"/>
        <w:pageBreakBefore/>
      </w:pPr>
      <w:bookmarkStart w:id="38" w:name="OLE_LINK55"/>
      <w:r>
        <w:lastRenderedPageBreak/>
        <w:t>Chapter 4. Results</w:t>
      </w:r>
    </w:p>
    <w:p w14:paraId="5E2D0C61" w14:textId="77777777" w:rsidR="000C3784" w:rsidRDefault="00D450DC">
      <w:pPr>
        <w:spacing w:after="120" w:line="360" w:lineRule="auto"/>
        <w:ind w:firstLine="360"/>
        <w:jc w:val="both"/>
      </w:pPr>
      <w:r>
        <w:rPr>
          <w:rFonts w:eastAsia="Times New Roman"/>
        </w:rPr>
        <w:t>This chapter will report the results of the meta-analysis following the Cochrane reporting framework: study selection (PRISMA flow diagram), study characteristics, risk of bias across studies, overall effects at post-intervention and follow-up, subgroup analyses, sensitivity analyses, publication bias, and acceptability. The statistical analyses are conducted in R 4.4.2 and will be inserted upon completion.</w:t>
      </w:r>
    </w:p>
    <w:p w14:paraId="31395F37" w14:textId="477382ED" w:rsidR="001728AF" w:rsidRDefault="00D450DC">
      <w:pPr>
        <w:pStyle w:val="2"/>
        <w:rPr>
          <w:rFonts w:eastAsiaTheme="minorEastAsia"/>
        </w:rPr>
      </w:pPr>
      <w:r>
        <w:t>4.1. Study Selection (PRISMA Flow)</w:t>
      </w:r>
    </w:p>
    <w:p w14:paraId="370C8788" w14:textId="1AA0F44F" w:rsidR="007D6CC9" w:rsidRDefault="001728AF" w:rsidP="001728AF">
      <w:pPr>
        <w:rPr>
          <w:b/>
          <w:bCs/>
        </w:rPr>
      </w:pPr>
      <w:bookmarkStart w:id="39" w:name="OLE_LINK7"/>
      <w:r>
        <w:rPr>
          <w:rFonts w:hint="eastAsia"/>
          <w:b/>
          <w:bCs/>
        </w:rPr>
        <w:t>Figure</w:t>
      </w:r>
      <w:r w:rsidRPr="007D6CC9">
        <w:rPr>
          <w:rFonts w:eastAsia="Times New Roman"/>
          <w:b/>
          <w:bCs/>
        </w:rPr>
        <w:t xml:space="preserve"> 1.</w:t>
      </w:r>
      <w:r w:rsidR="007D6CC9" w:rsidRPr="007D6CC9">
        <w:rPr>
          <w:rFonts w:hint="eastAsia"/>
          <w:b/>
          <w:bCs/>
        </w:rPr>
        <w:t xml:space="preserve"> </w:t>
      </w:r>
      <w:r w:rsidR="007D6CC9" w:rsidRPr="007D6CC9">
        <w:rPr>
          <w:b/>
          <w:bCs/>
        </w:rPr>
        <w:t>Prisma Flow Diagram of Study Selection</w:t>
      </w:r>
    </w:p>
    <w:bookmarkEnd w:id="39"/>
    <w:p w14:paraId="4A5159F9" w14:textId="77777777" w:rsidR="009555E2" w:rsidRPr="007D6CC9" w:rsidRDefault="009555E2" w:rsidP="001728AF">
      <w:pPr>
        <w:rPr>
          <w:b/>
          <w:bCs/>
        </w:rPr>
      </w:pPr>
    </w:p>
    <w:p w14:paraId="30F15F68" w14:textId="7402B1C5" w:rsidR="001728AF" w:rsidRPr="001728AF" w:rsidRDefault="00857C58" w:rsidP="009555E2">
      <w:r>
        <w:rPr>
          <w:noProof/>
        </w:rPr>
        <w:drawing>
          <wp:inline distT="0" distB="0" distL="0" distR="0" wp14:anchorId="266ABA7E" wp14:editId="77250708">
            <wp:extent cx="5943600" cy="3776980"/>
            <wp:effectExtent l="0" t="0" r="0" b="0"/>
            <wp:docPr id="964844241" name="图片 18"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44241" name="图片 18" descr="图示&#10;&#10;描述已自动生成"/>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776980"/>
                    </a:xfrm>
                    <a:prstGeom prst="rect">
                      <a:avLst/>
                    </a:prstGeom>
                  </pic:spPr>
                </pic:pic>
              </a:graphicData>
            </a:graphic>
          </wp:inline>
        </w:drawing>
      </w:r>
    </w:p>
    <w:p w14:paraId="147C252E" w14:textId="77777777" w:rsidR="001728AF" w:rsidRDefault="001728AF">
      <w:pPr>
        <w:spacing w:after="120" w:line="360" w:lineRule="auto"/>
        <w:ind w:firstLine="360"/>
        <w:jc w:val="both"/>
      </w:pPr>
    </w:p>
    <w:p w14:paraId="39F08892" w14:textId="374301B3" w:rsidR="009555E2" w:rsidRPr="007D6CC9" w:rsidRDefault="009555E2">
      <w:pPr>
        <w:spacing w:after="120" w:line="360" w:lineRule="auto"/>
        <w:ind w:firstLine="360"/>
        <w:jc w:val="both"/>
      </w:pPr>
      <w:r w:rsidRPr="009555E2">
        <w:t>A total of 2,748 records were retrieved from four databases from database inception to April 3, 2026, of which 785 duplicates were removed. The remaining 1,963 records were screened, and 46 full-text articles were assessed for eligibility. In the initial database search, 14 studies met all inclusion criteria. One additional eligible study was identified through backward citation searching of six systematic reviews related to the current study. Therefore, a total of 15 studies were included in the final meta-analysis (see Figure 1).</w:t>
      </w:r>
    </w:p>
    <w:p w14:paraId="6ED7D409" w14:textId="77777777" w:rsidR="000C3784" w:rsidRDefault="00D450DC">
      <w:pPr>
        <w:pStyle w:val="2"/>
      </w:pPr>
      <w:r>
        <w:lastRenderedPageBreak/>
        <w:t>4.2. Study Characteristics</w:t>
      </w:r>
    </w:p>
    <w:p w14:paraId="5488DD0E" w14:textId="30C2C5D8" w:rsidR="007B1EAF" w:rsidRPr="00967ABB" w:rsidRDefault="000A0168" w:rsidP="00967ABB">
      <w:pPr>
        <w:pStyle w:val="3"/>
        <w:rPr>
          <w:rFonts w:eastAsiaTheme="minorEastAsia"/>
        </w:rPr>
      </w:pPr>
      <w:r>
        <w:rPr>
          <w:rFonts w:eastAsiaTheme="minorEastAsia" w:hint="eastAsia"/>
        </w:rPr>
        <w:t>4</w:t>
      </w:r>
      <w:r>
        <w:t>.</w:t>
      </w:r>
      <w:r>
        <w:rPr>
          <w:rFonts w:eastAsiaTheme="minorEastAsia" w:hint="eastAsia"/>
        </w:rPr>
        <w:t>2</w:t>
      </w:r>
      <w:r>
        <w:t>.</w:t>
      </w:r>
      <w:r>
        <w:rPr>
          <w:rFonts w:eastAsiaTheme="minorEastAsia" w:hint="eastAsia"/>
        </w:rPr>
        <w:t>1</w:t>
      </w:r>
      <w:r>
        <w:t xml:space="preserve">. </w:t>
      </w:r>
      <w:r>
        <w:rPr>
          <w:rFonts w:eastAsiaTheme="minorEastAsia" w:hint="eastAsia"/>
        </w:rPr>
        <w:t>General Information of Included Studies</w:t>
      </w:r>
    </w:p>
    <w:p w14:paraId="72A62A1E" w14:textId="0269991F" w:rsidR="00DB0C1E" w:rsidRPr="00643A0F" w:rsidRDefault="00107418" w:rsidP="00643A0F">
      <w:pPr>
        <w:spacing w:after="120" w:line="360" w:lineRule="auto"/>
        <w:ind w:firstLine="360"/>
        <w:jc w:val="both"/>
      </w:pPr>
      <w:r>
        <w:rPr>
          <w:rFonts w:hint="eastAsia"/>
        </w:rPr>
        <w:t>Fift</w:t>
      </w:r>
      <w:r w:rsidR="00DB0C1E" w:rsidRPr="00DB0C1E">
        <w:t xml:space="preserve">een studies (reported across 20 publications) met the eligibility criteria. Of these, </w:t>
      </w:r>
      <w:r>
        <w:rPr>
          <w:rFonts w:hint="eastAsia"/>
        </w:rPr>
        <w:t>a</w:t>
      </w:r>
      <w:r w:rsidRPr="00107418">
        <w:t>ll studies adopted randomized controlled designs, predominantly two-arm parallel-group RCTs at the individual level</w:t>
      </w:r>
      <w:r w:rsidR="00DB0C1E" w:rsidRPr="00DB0C1E">
        <w:t xml:space="preserve">; one cluster-randomized pilot trial conducted among Inuit youth in Nunavut (Bohr et al., 2023) did not report an intra-cluster correlation coefficient </w:t>
      </w:r>
      <w:r>
        <w:rPr>
          <w:rFonts w:hint="eastAsia"/>
        </w:rPr>
        <w:t xml:space="preserve">(ICC) </w:t>
      </w:r>
      <w:r w:rsidR="00DB0C1E" w:rsidRPr="00DB0C1E">
        <w:t xml:space="preserve">and was therefore reserved for sensitivity analysis (Section 4.6). The 15 studies in the main analysis were published between 1998 and 2025 and conducted in six countries: the United States (k = 5), the United Kingdom (k = 3), New Zealand (k = 3), Australia (k = 2), the Netherlands (k = 1), and Hong Kong, China (k = 1). Twelve studies were peer-reviewed journal articles, </w:t>
      </w:r>
      <w:r w:rsidR="00987166">
        <w:rPr>
          <w:rFonts w:hint="eastAsia"/>
        </w:rPr>
        <w:t>one is</w:t>
      </w:r>
      <w:r w:rsidR="00DB0C1E" w:rsidRPr="00DB0C1E">
        <w:t xml:space="preserve"> doctoral dissertations (</w:t>
      </w:r>
      <w:proofErr w:type="spellStart"/>
      <w:r w:rsidR="00DB0C1E" w:rsidRPr="00DB0C1E">
        <w:t>Makarushka</w:t>
      </w:r>
      <w:proofErr w:type="spellEnd"/>
      <w:r w:rsidR="00DB0C1E" w:rsidRPr="00DB0C1E">
        <w:t xml:space="preserve">, 2012), and one was a preprint (O'Dea et al., 2025). </w:t>
      </w:r>
    </w:p>
    <w:p w14:paraId="33EF3C89" w14:textId="77777777" w:rsidR="000A0168" w:rsidRDefault="000A0168" w:rsidP="000A0168">
      <w:pPr>
        <w:pStyle w:val="3"/>
        <w:rPr>
          <w:rFonts w:eastAsiaTheme="minorEastAsia"/>
        </w:rPr>
      </w:pPr>
      <w:r w:rsidRPr="000A0168">
        <w:rPr>
          <w:rFonts w:eastAsiaTheme="minorEastAsia"/>
        </w:rPr>
        <w:t xml:space="preserve">4.2.2 Participant Characteristics </w:t>
      </w:r>
    </w:p>
    <w:p w14:paraId="55E7FCF8" w14:textId="2B7C6252" w:rsidR="00DB0C1E" w:rsidRPr="00967ABB" w:rsidRDefault="00DB0C1E" w:rsidP="00967ABB">
      <w:pPr>
        <w:spacing w:after="120" w:line="360" w:lineRule="auto"/>
        <w:ind w:firstLine="360"/>
        <w:jc w:val="both"/>
      </w:pPr>
      <w:r w:rsidRPr="00DB0C1E">
        <w:t xml:space="preserve">A total of 15 randomized controlled trials contributed to the main analysis, with </w:t>
      </w:r>
      <w:bookmarkStart w:id="40" w:name="OLE_LINK38"/>
      <w:r w:rsidRPr="00DB0C1E">
        <w:t>2,073 participants</w:t>
      </w:r>
      <w:bookmarkEnd w:id="40"/>
      <w:r w:rsidRPr="00DB0C1E">
        <w:t xml:space="preserve"> providing post-treatment data (intervention: n = 1,024; control: n = 1,049). Sample sizes at post-treatment ranged from 22 (Ackerson et al., 1998) to 284 (O'Dea et al., 2025). Most samples were drawn from high-income contexts; one trial was conducted in Hong Kong, China (Ip et al., 2016), and several included culturally specific or under-represented populations</w:t>
      </w:r>
      <w:r w:rsidR="00987166">
        <w:rPr>
          <w:rFonts w:hint="eastAsia"/>
        </w:rPr>
        <w:t xml:space="preserve"> (Fleming et al., 2012; Stallard et al., 2024; Ranney et al., 2018). </w:t>
      </w:r>
      <w:r w:rsidRPr="00DB0C1E">
        <w:t>Baseline depressive severity ranged from mild to severe across trials, with most samples falling within the mild-to-moderate range as defined by each measure's clinical cutoff</w:t>
      </w:r>
      <w:r w:rsidR="00987166">
        <w:rPr>
          <w:rFonts w:hint="eastAsia"/>
        </w:rPr>
        <w:t>.</w:t>
      </w:r>
    </w:p>
    <w:p w14:paraId="4F56EEC4" w14:textId="1BE200AC" w:rsidR="0091591B" w:rsidRPr="00474F45" w:rsidRDefault="00967ABB" w:rsidP="00474F45">
      <w:pPr>
        <w:spacing w:after="120" w:line="360" w:lineRule="auto"/>
        <w:ind w:firstLine="360"/>
        <w:jc w:val="both"/>
      </w:pPr>
      <w:r w:rsidRPr="00967ABB">
        <w:t>Recruitment pathways were heterogeneous. School-based recruitment was the most common channel (k = 7), followed by clinical referral from primary care, CAMHS, or emergency departments (k = 4), school-and-community combined recruitment (k = 2), community-based facilitator recruitment in remote settings (k = 2</w:t>
      </w:r>
      <w:r w:rsidR="00D6331B">
        <w:rPr>
          <w:rFonts w:hint="eastAsia"/>
        </w:rPr>
        <w:t>)</w:t>
      </w:r>
      <w:r w:rsidRPr="00967ABB">
        <w:t>, and online or social-media advertisement (k = 1; O'Dea 2020).</w:t>
      </w:r>
      <w:r w:rsidR="00D6331B">
        <w:rPr>
          <w:rFonts w:hint="eastAsia"/>
        </w:rPr>
        <w:t xml:space="preserve"> </w:t>
      </w:r>
      <w:r w:rsidR="005410F5">
        <w:rPr>
          <w:rFonts w:hint="eastAsia"/>
        </w:rPr>
        <w:t xml:space="preserve">All </w:t>
      </w:r>
      <w:r w:rsidR="00D6331B">
        <w:rPr>
          <w:rFonts w:hint="eastAsia"/>
        </w:rPr>
        <w:t>the studies take the guardians</w:t>
      </w:r>
      <w:r w:rsidR="00D6331B">
        <w:t>’</w:t>
      </w:r>
      <w:r w:rsidR="00D6331B">
        <w:rPr>
          <w:rFonts w:hint="eastAsia"/>
        </w:rPr>
        <w:t xml:space="preserve"> </w:t>
      </w:r>
      <w:r w:rsidR="005410F5">
        <w:rPr>
          <w:rFonts w:hint="eastAsia"/>
        </w:rPr>
        <w:t>consent</w:t>
      </w:r>
      <w:r w:rsidR="00D6331B">
        <w:rPr>
          <w:rFonts w:hint="eastAsia"/>
        </w:rPr>
        <w:t xml:space="preserve"> as inclusion criteria</w:t>
      </w:r>
      <w:r w:rsidR="005410F5">
        <w:rPr>
          <w:rFonts w:hint="eastAsia"/>
        </w:rPr>
        <w:t>.</w:t>
      </w:r>
    </w:p>
    <w:p w14:paraId="6A0FDDD6" w14:textId="77777777" w:rsidR="000A0168" w:rsidRDefault="000A0168" w:rsidP="000A0168">
      <w:pPr>
        <w:pStyle w:val="3"/>
        <w:rPr>
          <w:rFonts w:eastAsiaTheme="minorEastAsia"/>
        </w:rPr>
      </w:pPr>
      <w:r w:rsidRPr="000A0168">
        <w:rPr>
          <w:rFonts w:eastAsiaTheme="minorEastAsia"/>
        </w:rPr>
        <w:t xml:space="preserve">4.2.3 Intervention Characteristics </w:t>
      </w:r>
    </w:p>
    <w:p w14:paraId="6B4D84C2" w14:textId="77777777" w:rsidR="00DB0C1E" w:rsidRPr="00DB0C1E" w:rsidRDefault="00DB0C1E" w:rsidP="00DB0C1E">
      <w:pPr>
        <w:spacing w:after="120" w:line="360" w:lineRule="auto"/>
        <w:ind w:firstLine="360"/>
        <w:jc w:val="both"/>
      </w:pPr>
      <w:r w:rsidRPr="00DB0C1E">
        <w:t xml:space="preserve">The 15 trials evaluated 11 distinct intervention programs, with SPARX, Stressbusters, and the Feeling Good bibliotherapy each evaluated in multiple trials. Delivery modalities spanned bibliotherapy (k = 3; Feeling Good, evaluated in Ackerson et al., 1998, Stice et al., 2010, and Rohde et al., 2015), stand-alone computer programs and serious games (k = 7; SPARX in Fleming 2012, Merry 2012, </w:t>
      </w:r>
      <w:proofErr w:type="spellStart"/>
      <w:r w:rsidRPr="00DB0C1E">
        <w:t>Poppelaars</w:t>
      </w:r>
      <w:proofErr w:type="spellEnd"/>
      <w:r w:rsidRPr="00DB0C1E">
        <w:t xml:space="preserve"> 2016, and Bohr 2023; Stressbusters in Smith 2015 and Wright 2020; The Journey in Stasiak 2014), web-based platforms (k = 2; Grasp the Opportunity in Ip 2016 and Blues Blaster in </w:t>
      </w:r>
      <w:proofErr w:type="spellStart"/>
      <w:r w:rsidRPr="00DB0C1E">
        <w:t>Makarushka</w:t>
      </w:r>
      <w:proofErr w:type="spellEnd"/>
      <w:r w:rsidRPr="00DB0C1E">
        <w:t xml:space="preserve"> 2012), mobile </w:t>
      </w:r>
      <w:r w:rsidRPr="00DB0C1E">
        <w:lastRenderedPageBreak/>
        <w:t xml:space="preserve">applications (k = 3; </w:t>
      </w:r>
      <w:proofErr w:type="spellStart"/>
      <w:r w:rsidRPr="00DB0C1E">
        <w:t>BlueIce</w:t>
      </w:r>
      <w:proofErr w:type="spellEnd"/>
      <w:r w:rsidRPr="00DB0C1E">
        <w:t xml:space="preserve"> in Stallard 2024, </w:t>
      </w:r>
      <w:proofErr w:type="spellStart"/>
      <w:r w:rsidRPr="00DB0C1E">
        <w:t>WeClick</w:t>
      </w:r>
      <w:proofErr w:type="spellEnd"/>
      <w:r w:rsidRPr="00DB0C1E">
        <w:t xml:space="preserve"> in O'Dea 2020, </w:t>
      </w:r>
      <w:proofErr w:type="spellStart"/>
      <w:r w:rsidRPr="00DB0C1E">
        <w:t>ClearlyMe</w:t>
      </w:r>
      <w:proofErr w:type="spellEnd"/>
      <w:r w:rsidRPr="00DB0C1E">
        <w:t xml:space="preserve"> in O'Dea 2025), and text-messaging delivery (k = 1; </w:t>
      </w:r>
      <w:proofErr w:type="spellStart"/>
      <w:r w:rsidRPr="00DB0C1E">
        <w:t>iDOVE</w:t>
      </w:r>
      <w:proofErr w:type="spellEnd"/>
      <w:r w:rsidRPr="00DB0C1E">
        <w:t xml:space="preserve"> in Ranney 2018). Program duration ranged from a single in-person session followed by 8 weeks of automated text messaging (</w:t>
      </w:r>
      <w:proofErr w:type="spellStart"/>
      <w:r w:rsidRPr="00DB0C1E">
        <w:t>iDOVE</w:t>
      </w:r>
      <w:proofErr w:type="spellEnd"/>
      <w:r w:rsidRPr="00DB0C1E">
        <w:t>) to 8 months of web-based modules (Grasp the Opportunity). Most programs were designed to be completed within a 4–</w:t>
      </w:r>
      <w:proofErr w:type="gramStart"/>
      <w:r w:rsidRPr="00DB0C1E">
        <w:t>8 week</w:t>
      </w:r>
      <w:proofErr w:type="gramEnd"/>
      <w:r w:rsidRPr="00DB0C1E">
        <w:t xml:space="preserve"> window, although several mobile-app interventions (</w:t>
      </w:r>
      <w:proofErr w:type="spellStart"/>
      <w:r w:rsidRPr="00DB0C1E">
        <w:t>BlueIce</w:t>
      </w:r>
      <w:proofErr w:type="spellEnd"/>
      <w:r w:rsidRPr="00DB0C1E">
        <w:t xml:space="preserve">, </w:t>
      </w:r>
      <w:proofErr w:type="spellStart"/>
      <w:r w:rsidRPr="00DB0C1E">
        <w:t>ClearlyMe</w:t>
      </w:r>
      <w:proofErr w:type="spellEnd"/>
      <w:r w:rsidRPr="00DB0C1E">
        <w:t>) operated on a self-paced model with continued open access.</w:t>
      </w:r>
    </w:p>
    <w:p w14:paraId="17EB0422" w14:textId="77777777" w:rsidR="00DB0C1E" w:rsidRPr="00DB0C1E" w:rsidRDefault="00DB0C1E" w:rsidP="00DB0C1E">
      <w:pPr>
        <w:spacing w:after="120" w:line="360" w:lineRule="auto"/>
        <w:ind w:firstLine="360"/>
        <w:jc w:val="both"/>
      </w:pPr>
      <w:r w:rsidRPr="00DB0C1E">
        <w:t>All programs included cognitive restructuring as a core component, paired with at least one behavioral component, in line with the operational definition of CBT applied at the eligibility stage (Section 3.3). Across the 15 trials, behavioral activation was the most frequently co-occurring component (k = 12), followed by problem-solving (k = 11), homework practice (k = 11), psychoeducation (k = 9), relaxation (k = 9), relapse prevention (k = 7), interpersonal skills training (k = 5), and third-wave elements (k = 4). Component count per program ranged from 2 (Grasp the Opportunity, Ip et al., 2016) to 9 (SPARX in Merry et al., 2012).</w:t>
      </w:r>
    </w:p>
    <w:p w14:paraId="55544A22" w14:textId="118B05D8" w:rsidR="00643A0F" w:rsidRPr="00DB0C1E" w:rsidRDefault="00DB0C1E" w:rsidP="00DB0C1E">
      <w:pPr>
        <w:spacing w:after="120" w:line="360" w:lineRule="auto"/>
        <w:ind w:firstLine="360"/>
        <w:jc w:val="both"/>
      </w:pPr>
      <w:r w:rsidRPr="00DB0C1E">
        <w:t>Cultural adaptation was reported for one program in the main analysis. Grasp the Opportunity (Ip et al., 2016) is a Chinese-language adaptation of CATCH-IT for Hong Kong adolescents, in which the interpersonal psychotherapy and motivational interview modules of the original protocol were omitted to align the program with local cultural and educational contexts. SPARX itself was originally co-developed with Māori cultural input in New Zealand (Merry et al., 2012). The remaining programs were developed and evaluated within their original cultural and linguistic settings without explicit cross-cultural adaptation procedures.</w:t>
      </w:r>
    </w:p>
    <w:p w14:paraId="23124564" w14:textId="77777777" w:rsidR="00DB0C1E" w:rsidRDefault="000A0168" w:rsidP="000A0168">
      <w:pPr>
        <w:pStyle w:val="3"/>
        <w:rPr>
          <w:rFonts w:eastAsiaTheme="minorEastAsia"/>
        </w:rPr>
      </w:pPr>
      <w:r w:rsidRPr="000A0168">
        <w:rPr>
          <w:rFonts w:eastAsiaTheme="minorEastAsia"/>
        </w:rPr>
        <w:t>4.2.4 Comparator Characteristics</w:t>
      </w:r>
    </w:p>
    <w:p w14:paraId="6EDD0B09" w14:textId="77777777" w:rsidR="00DB0C1E" w:rsidRPr="00DB0C1E" w:rsidRDefault="00DB0C1E" w:rsidP="00DB0C1E">
      <w:pPr>
        <w:spacing w:after="120" w:line="360" w:lineRule="auto"/>
        <w:ind w:firstLine="360"/>
        <w:jc w:val="both"/>
      </w:pPr>
      <w:r w:rsidRPr="00DB0C1E">
        <w:t xml:space="preserve">Control conditions across the 15 trials encompassed waitlist (k = 6; including one trial with active monitoring, </w:t>
      </w:r>
      <w:proofErr w:type="spellStart"/>
      <w:r w:rsidRPr="00DB0C1E">
        <w:t>Poppelaars</w:t>
      </w:r>
      <w:proofErr w:type="spellEnd"/>
      <w:r w:rsidRPr="00DB0C1E">
        <w:t xml:space="preserve"> et al., 2016), treatment-as-usual (k = 2; Stallard et al., 2024 and Merry et al., 2012), attention control (k = 5; Ip 2016, O'Dea 2025, Ranney 2018, Stasiak 2014, Wright 2020), information-only or assessment-only control (k = 3; Stice 2010, </w:t>
      </w:r>
      <w:proofErr w:type="spellStart"/>
      <w:r w:rsidRPr="00DB0C1E">
        <w:t>Makarushka</w:t>
      </w:r>
      <w:proofErr w:type="spellEnd"/>
      <w:r w:rsidRPr="00DB0C1E">
        <w:t xml:space="preserve"> 2012, Rohde 2015). Waitlist conditions in two trials offered the active intervention after the waiting period, with consequences for follow-up comparability (Smith et al., 2015; Ackerson et al., 1998); these trials therefore did not contribute follow-up data to the synthesis. Attention controls included supportive-expressive group sessions, computerized psychoeducation matched for length and format (Stasiak et al., 2014), self-help websites (Wright et al., 2020), and educational materials on depression. Treatment-as-usual conditions varied substantially across health systems, ranging from CAMHS-delivered counseling (Stallard et al., 2024) to primary-care counseling averaging approximately five sessions (Merry et al., 2012).</w:t>
      </w:r>
    </w:p>
    <w:p w14:paraId="30FD5686" w14:textId="072ADFD5" w:rsidR="00DB0C1E" w:rsidRPr="00DB0C1E" w:rsidRDefault="00DB0C1E" w:rsidP="00DB0C1E">
      <w:pPr>
        <w:spacing w:after="120" w:line="360" w:lineRule="auto"/>
        <w:ind w:firstLine="360"/>
        <w:jc w:val="both"/>
      </w:pPr>
      <w:r w:rsidRPr="00DB0C1E">
        <w:lastRenderedPageBreak/>
        <w:t xml:space="preserve">For the confirmatory subgroup analysis specified in Section 3.7, control conditions were collapsed into two categories per the pre-specified scheme: passive control (waitlist, TAU, no treatment, assessment-only; k = </w:t>
      </w:r>
      <w:r w:rsidR="00E550E4">
        <w:rPr>
          <w:rFonts w:hint="eastAsia"/>
        </w:rPr>
        <w:t>9</w:t>
      </w:r>
      <w:r w:rsidRPr="00DB0C1E">
        <w:t xml:space="preserve">) versus minimally active control (attention control or information-only; k = </w:t>
      </w:r>
      <w:r w:rsidR="00E550E4">
        <w:rPr>
          <w:rFonts w:hint="eastAsia"/>
        </w:rPr>
        <w:t>7</w:t>
      </w:r>
      <w:r w:rsidRPr="00DB0C1E">
        <w:t>). Waitlist with active monitoring was classified as passive on the grounds that monitoring did not deliver therapeutic content.</w:t>
      </w:r>
    </w:p>
    <w:p w14:paraId="7709032B" w14:textId="0EFCC454" w:rsidR="000A0168" w:rsidRDefault="000A0168" w:rsidP="00DB0C1E">
      <w:r w:rsidRPr="000A0168">
        <w:t xml:space="preserve"> </w:t>
      </w:r>
    </w:p>
    <w:p w14:paraId="7201308D" w14:textId="3F66D587" w:rsidR="000A0168" w:rsidRDefault="000A0168" w:rsidP="000A0168">
      <w:pPr>
        <w:pStyle w:val="3"/>
        <w:rPr>
          <w:rFonts w:eastAsiaTheme="minorEastAsia"/>
        </w:rPr>
      </w:pPr>
      <w:r w:rsidRPr="000A0168">
        <w:rPr>
          <w:rFonts w:eastAsiaTheme="minorEastAsia"/>
        </w:rPr>
        <w:t xml:space="preserve">4.2.5 Outcome Characteristics </w:t>
      </w:r>
    </w:p>
    <w:p w14:paraId="686D8DEC" w14:textId="01EB6E12" w:rsidR="00D33058" w:rsidRDefault="00DB0C1E" w:rsidP="00DB0C1E">
      <w:pPr>
        <w:spacing w:after="120" w:line="360" w:lineRule="auto"/>
        <w:ind w:firstLine="360"/>
        <w:jc w:val="both"/>
      </w:pPr>
      <w:r w:rsidRPr="00DB0C1E">
        <w:t>Depressive symptoms were assessed using a range of validated self-report instruments, including the BDI/BDI-II, CES-D/CESD-R, CDRS-R, MFQ/MFQ-C, PHQ-9/PHQ-A, and RADS-2; one trial (Rohde et al., 2015) used a study-specific 16-item composite derived from K-SADS clinician-administered ratings. Twelve studies reported follow-up data beyond post-treatment, distributed across short-term (1–3 months; k = 3, N = 246), medium-term (4–6 months; k = 8, N = 1,323), and long-term (12 months or longer; k = 5, N = 845) windows, with the longest follow-up extending to 24 months (Rohde et al., 2015; Stice et al., 2010).</w:t>
      </w:r>
    </w:p>
    <w:p w14:paraId="3FEA6921" w14:textId="77777777" w:rsidR="00D33058" w:rsidRDefault="00D33058">
      <w:pPr>
        <w:widowControl/>
      </w:pPr>
      <w:r>
        <w:br w:type="page"/>
      </w:r>
    </w:p>
    <w:p w14:paraId="2609FFA9" w14:textId="77777777" w:rsidR="00D33058" w:rsidRDefault="00D33058" w:rsidP="00D33058">
      <w:pPr>
        <w:spacing w:after="120" w:line="360" w:lineRule="auto"/>
        <w:jc w:val="both"/>
        <w:sectPr w:rsidR="00D33058">
          <w:headerReference w:type="default" r:id="rId9"/>
          <w:footerReference w:type="default" r:id="rId10"/>
          <w:pgSz w:w="12240" w:h="15840"/>
          <w:pgMar w:top="1440" w:right="1440" w:bottom="1440" w:left="1440" w:header="708" w:footer="708" w:gutter="0"/>
          <w:pgNumType w:start="1"/>
          <w:cols w:space="720"/>
          <w:docGrid w:linePitch="360"/>
        </w:sectPr>
      </w:pPr>
    </w:p>
    <w:p w14:paraId="41D24D63" w14:textId="4C9C5FCC" w:rsidR="00D33058" w:rsidRPr="00894383" w:rsidRDefault="00D33058" w:rsidP="00894383">
      <w:pPr>
        <w:rPr>
          <w:b/>
          <w:bCs/>
        </w:rPr>
      </w:pPr>
      <w:r w:rsidRPr="00894383">
        <w:rPr>
          <w:rFonts w:eastAsia="Times New Roman"/>
          <w:b/>
          <w:bCs/>
          <w:sz w:val="24"/>
          <w:szCs w:val="24"/>
        </w:rPr>
        <w:lastRenderedPageBreak/>
        <w:t>Table 1</w:t>
      </w:r>
      <w:r w:rsidR="00894383" w:rsidRPr="00894383">
        <w:rPr>
          <w:rFonts w:hint="eastAsia"/>
          <w:b/>
          <w:bCs/>
        </w:rPr>
        <w:t xml:space="preserve">. </w:t>
      </w:r>
      <w:r w:rsidRPr="00894383">
        <w:rPr>
          <w:rFonts w:eastAsia="Times New Roman"/>
          <w:b/>
          <w:bCs/>
          <w:sz w:val="24"/>
          <w:szCs w:val="24"/>
        </w:rPr>
        <w:t>Characteristics of Included Studies</w:t>
      </w:r>
    </w:p>
    <w:tbl>
      <w:tblPr>
        <w:tblW w:w="12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2"/>
        <w:gridCol w:w="894"/>
        <w:gridCol w:w="1027"/>
        <w:gridCol w:w="552"/>
        <w:gridCol w:w="1064"/>
        <w:gridCol w:w="1410"/>
        <w:gridCol w:w="734"/>
        <w:gridCol w:w="1187"/>
        <w:gridCol w:w="699"/>
        <w:gridCol w:w="760"/>
        <w:gridCol w:w="1755"/>
        <w:gridCol w:w="903"/>
        <w:gridCol w:w="983"/>
      </w:tblGrid>
      <w:tr w:rsidR="00D33058" w14:paraId="4DEBBA98" w14:textId="77777777" w:rsidTr="00C57CE9">
        <w:trPr>
          <w:tblHeader/>
          <w:jc w:val="center"/>
        </w:trPr>
        <w:tc>
          <w:tcPr>
            <w:tcW w:w="1150"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3BEFB5EB" w14:textId="77777777" w:rsidR="00D33058" w:rsidRPr="00894383" w:rsidRDefault="00D33058" w:rsidP="007762A2">
            <w:pPr>
              <w:rPr>
                <w:b/>
                <w:bCs/>
              </w:rPr>
            </w:pPr>
            <w:r w:rsidRPr="00894383">
              <w:rPr>
                <w:rFonts w:eastAsia="Times New Roman"/>
                <w:b/>
                <w:bCs/>
                <w:sz w:val="16"/>
                <w:szCs w:val="16"/>
              </w:rPr>
              <w:t>Study</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7622C1DF" w14:textId="77777777" w:rsidR="00D33058" w:rsidRPr="00894383" w:rsidRDefault="00D33058" w:rsidP="007762A2">
            <w:pPr>
              <w:rPr>
                <w:b/>
                <w:bCs/>
              </w:rPr>
            </w:pPr>
            <w:r w:rsidRPr="00894383">
              <w:rPr>
                <w:rFonts w:eastAsia="Times New Roman"/>
                <w:b/>
                <w:bCs/>
                <w:sz w:val="16"/>
                <w:szCs w:val="16"/>
              </w:rPr>
              <w:t>Country</w:t>
            </w:r>
          </w:p>
        </w:tc>
        <w:tc>
          <w:tcPr>
            <w:tcW w:w="941"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2E748F7C" w14:textId="77777777" w:rsidR="00D33058" w:rsidRPr="00894383" w:rsidRDefault="00D33058" w:rsidP="007762A2">
            <w:pPr>
              <w:rPr>
                <w:b/>
                <w:bCs/>
              </w:rPr>
            </w:pPr>
            <w:r w:rsidRPr="00894383">
              <w:rPr>
                <w:rFonts w:eastAsia="Times New Roman"/>
                <w:b/>
                <w:bCs/>
                <w:sz w:val="16"/>
                <w:szCs w:val="16"/>
              </w:rPr>
              <w:t>Program</w:t>
            </w:r>
          </w:p>
        </w:tc>
        <w:tc>
          <w:tcPr>
            <w:tcW w:w="627"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48B14B1C" w14:textId="77777777" w:rsidR="00D33058" w:rsidRPr="00894383" w:rsidRDefault="00D33058" w:rsidP="007762A2">
            <w:pPr>
              <w:rPr>
                <w:b/>
                <w:bCs/>
              </w:rPr>
            </w:pPr>
            <w:r w:rsidRPr="00894383">
              <w:rPr>
                <w:rFonts w:eastAsia="Times New Roman"/>
                <w:b/>
                <w:bCs/>
                <w:sz w:val="16"/>
                <w:szCs w:val="16"/>
              </w:rPr>
              <w:t>Age range</w:t>
            </w:r>
          </w:p>
        </w:tc>
        <w:tc>
          <w:tcPr>
            <w:tcW w:w="1150"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549B3A73" w14:textId="77777777" w:rsidR="00D33058" w:rsidRPr="00894383" w:rsidRDefault="00D33058" w:rsidP="007762A2">
            <w:pPr>
              <w:rPr>
                <w:b/>
                <w:bCs/>
              </w:rPr>
            </w:pPr>
            <w:r w:rsidRPr="00894383">
              <w:rPr>
                <w:rFonts w:eastAsia="Times New Roman"/>
                <w:b/>
                <w:bCs/>
                <w:sz w:val="16"/>
                <w:szCs w:val="16"/>
              </w:rPr>
              <w:t>Recruitment</w:t>
            </w:r>
          </w:p>
        </w:tc>
        <w:tc>
          <w:tcPr>
            <w:tcW w:w="2087"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621E4057" w14:textId="77777777" w:rsidR="00D33058" w:rsidRPr="00894383" w:rsidRDefault="00D33058" w:rsidP="007762A2">
            <w:pPr>
              <w:rPr>
                <w:b/>
                <w:bCs/>
              </w:rPr>
            </w:pPr>
            <w:r w:rsidRPr="00894383">
              <w:rPr>
                <w:rFonts w:eastAsia="Times New Roman"/>
                <w:b/>
                <w:bCs/>
                <w:sz w:val="16"/>
                <w:szCs w:val="16"/>
              </w:rPr>
              <w:t>Inclusion criteria</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3D973F65" w14:textId="77777777" w:rsidR="00D33058" w:rsidRPr="00894383" w:rsidRDefault="00D33058" w:rsidP="007762A2">
            <w:pPr>
              <w:rPr>
                <w:b/>
                <w:bCs/>
              </w:rPr>
            </w:pPr>
            <w:r w:rsidRPr="00894383">
              <w:rPr>
                <w:rFonts w:eastAsia="Times New Roman"/>
                <w:b/>
                <w:bCs/>
                <w:sz w:val="16"/>
                <w:szCs w:val="16"/>
              </w:rPr>
              <w:t>Baseline severity</w:t>
            </w:r>
          </w:p>
        </w:tc>
        <w:tc>
          <w:tcPr>
            <w:tcW w:w="1254"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6E67CDD8" w14:textId="77777777" w:rsidR="00D33058" w:rsidRPr="00894383" w:rsidRDefault="00D33058" w:rsidP="007762A2">
            <w:pPr>
              <w:rPr>
                <w:b/>
                <w:bCs/>
              </w:rPr>
            </w:pPr>
            <w:r w:rsidRPr="00894383">
              <w:rPr>
                <w:rFonts w:eastAsia="Times New Roman"/>
                <w:b/>
                <w:bCs/>
                <w:sz w:val="16"/>
                <w:szCs w:val="16"/>
              </w:rPr>
              <w:t>Dosage</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1F50D49A" w14:textId="77777777" w:rsidR="00D33058" w:rsidRPr="00894383" w:rsidRDefault="00D33058" w:rsidP="007762A2">
            <w:pPr>
              <w:rPr>
                <w:b/>
                <w:bCs/>
              </w:rPr>
            </w:pPr>
            <w:r w:rsidRPr="00894383">
              <w:rPr>
                <w:rFonts w:eastAsia="Times New Roman"/>
                <w:b/>
                <w:bCs/>
                <w:sz w:val="16"/>
                <w:szCs w:val="16"/>
              </w:rPr>
              <w:t>Support level</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7AF8D89B" w14:textId="77777777" w:rsidR="00D33058" w:rsidRPr="00894383" w:rsidRDefault="00D33058" w:rsidP="007762A2">
            <w:pPr>
              <w:rPr>
                <w:b/>
                <w:bCs/>
              </w:rPr>
            </w:pPr>
            <w:r w:rsidRPr="00894383">
              <w:rPr>
                <w:rFonts w:eastAsia="Times New Roman"/>
                <w:b/>
                <w:bCs/>
                <w:sz w:val="16"/>
                <w:szCs w:val="16"/>
              </w:rPr>
              <w:t>Delivery</w:t>
            </w:r>
          </w:p>
        </w:tc>
        <w:tc>
          <w:tcPr>
            <w:tcW w:w="1150"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379AA925" w14:textId="77777777" w:rsidR="00D33058" w:rsidRPr="00894383" w:rsidRDefault="00D33058" w:rsidP="007762A2">
            <w:pPr>
              <w:rPr>
                <w:b/>
                <w:bCs/>
              </w:rPr>
            </w:pPr>
            <w:r w:rsidRPr="00894383">
              <w:rPr>
                <w:rFonts w:eastAsia="Times New Roman"/>
                <w:b/>
                <w:bCs/>
                <w:sz w:val="16"/>
                <w:szCs w:val="16"/>
              </w:rPr>
              <w:t>CBT components</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4357CD94" w14:textId="77777777" w:rsidR="00D33058" w:rsidRPr="00894383" w:rsidRDefault="00D33058" w:rsidP="007762A2">
            <w:pPr>
              <w:rPr>
                <w:b/>
                <w:bCs/>
              </w:rPr>
            </w:pPr>
            <w:r w:rsidRPr="00894383">
              <w:rPr>
                <w:rFonts w:eastAsia="Times New Roman"/>
                <w:b/>
                <w:bCs/>
                <w:sz w:val="16"/>
                <w:szCs w:val="16"/>
              </w:rPr>
              <w:t>Publication type</w:t>
            </w:r>
          </w:p>
        </w:tc>
        <w:tc>
          <w:tcPr>
            <w:tcW w:w="941"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1A767824" w14:textId="77777777" w:rsidR="00D33058" w:rsidRPr="00894383" w:rsidRDefault="00D33058" w:rsidP="007762A2">
            <w:pPr>
              <w:rPr>
                <w:b/>
                <w:bCs/>
              </w:rPr>
            </w:pPr>
            <w:r w:rsidRPr="00894383">
              <w:rPr>
                <w:rFonts w:eastAsia="Times New Roman"/>
                <w:b/>
                <w:bCs/>
                <w:sz w:val="16"/>
                <w:szCs w:val="16"/>
              </w:rPr>
              <w:t>Funding</w:t>
            </w:r>
          </w:p>
        </w:tc>
      </w:tr>
      <w:tr w:rsidR="00D33058" w14:paraId="02B68607" w14:textId="77777777" w:rsidTr="00C57CE9">
        <w:trPr>
          <w:jc w:val="center"/>
        </w:trPr>
        <w:tc>
          <w:tcPr>
            <w:tcW w:w="1150" w:type="dxa"/>
            <w:tcBorders>
              <w:top w:val="single" w:sz="4" w:space="0" w:color="000000"/>
              <w:left w:val="nil"/>
              <w:bottom w:val="none" w:sz="0" w:space="0" w:color="FFFFFF"/>
              <w:right w:val="nil"/>
            </w:tcBorders>
            <w:tcMar>
              <w:top w:w="30" w:type="dxa"/>
              <w:left w:w="60" w:type="dxa"/>
              <w:bottom w:w="30" w:type="dxa"/>
              <w:right w:w="60" w:type="dxa"/>
            </w:tcMar>
          </w:tcPr>
          <w:p w14:paraId="676237ED" w14:textId="77777777" w:rsidR="00D33058" w:rsidRDefault="00D33058" w:rsidP="007762A2">
            <w:r>
              <w:rPr>
                <w:rFonts w:eastAsia="Times New Roman"/>
                <w:sz w:val="16"/>
                <w:szCs w:val="16"/>
              </w:rPr>
              <w:t>Ackerson et al. 1998</w:t>
            </w:r>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3E086FB7" w14:textId="77777777" w:rsidR="00D33058" w:rsidRDefault="00D33058" w:rsidP="007762A2">
            <w:r>
              <w:rPr>
                <w:rFonts w:eastAsia="Times New Roman"/>
                <w:sz w:val="16"/>
                <w:szCs w:val="16"/>
              </w:rPr>
              <w:t>US</w:t>
            </w:r>
          </w:p>
        </w:tc>
        <w:tc>
          <w:tcPr>
            <w:tcW w:w="941" w:type="dxa"/>
            <w:tcBorders>
              <w:top w:val="single" w:sz="4" w:space="0" w:color="000000"/>
              <w:left w:val="nil"/>
              <w:bottom w:val="none" w:sz="0" w:space="0" w:color="FFFFFF"/>
              <w:right w:val="nil"/>
            </w:tcBorders>
            <w:tcMar>
              <w:top w:w="30" w:type="dxa"/>
              <w:left w:w="60" w:type="dxa"/>
              <w:bottom w:w="30" w:type="dxa"/>
              <w:right w:w="60" w:type="dxa"/>
            </w:tcMar>
          </w:tcPr>
          <w:p w14:paraId="64B2998B" w14:textId="77777777" w:rsidR="00D33058" w:rsidRDefault="00D33058" w:rsidP="007762A2">
            <w:r>
              <w:rPr>
                <w:rFonts w:eastAsia="Times New Roman"/>
                <w:sz w:val="16"/>
                <w:szCs w:val="16"/>
              </w:rPr>
              <w:t>Feeling Good</w:t>
            </w:r>
          </w:p>
        </w:tc>
        <w:tc>
          <w:tcPr>
            <w:tcW w:w="627" w:type="dxa"/>
            <w:tcBorders>
              <w:top w:val="single" w:sz="4" w:space="0" w:color="000000"/>
              <w:left w:val="nil"/>
              <w:bottom w:val="none" w:sz="0" w:space="0" w:color="FFFFFF"/>
              <w:right w:val="nil"/>
            </w:tcBorders>
            <w:tcMar>
              <w:top w:w="30" w:type="dxa"/>
              <w:left w:w="60" w:type="dxa"/>
              <w:bottom w:w="30" w:type="dxa"/>
              <w:right w:w="60" w:type="dxa"/>
            </w:tcMar>
          </w:tcPr>
          <w:p w14:paraId="32B95013" w14:textId="77777777" w:rsidR="00D33058" w:rsidRDefault="00D33058" w:rsidP="007762A2">
            <w:r>
              <w:rPr>
                <w:rFonts w:eastAsia="Times New Roman"/>
                <w:sz w:val="16"/>
                <w:szCs w:val="16"/>
              </w:rPr>
              <w:t>14-18</w:t>
            </w:r>
          </w:p>
        </w:tc>
        <w:tc>
          <w:tcPr>
            <w:tcW w:w="1150" w:type="dxa"/>
            <w:tcBorders>
              <w:top w:val="single" w:sz="4" w:space="0" w:color="000000"/>
              <w:left w:val="nil"/>
              <w:bottom w:val="none" w:sz="0" w:space="0" w:color="FFFFFF"/>
              <w:right w:val="nil"/>
            </w:tcBorders>
            <w:tcMar>
              <w:top w:w="30" w:type="dxa"/>
              <w:left w:w="60" w:type="dxa"/>
              <w:bottom w:w="30" w:type="dxa"/>
              <w:right w:w="60" w:type="dxa"/>
            </w:tcMar>
          </w:tcPr>
          <w:p w14:paraId="0A41B5EF" w14:textId="77777777" w:rsidR="00D33058" w:rsidRDefault="00D33058" w:rsidP="007762A2">
            <w:r>
              <w:rPr>
                <w:rFonts w:eastAsia="Times New Roman"/>
                <w:sz w:val="16"/>
                <w:szCs w:val="16"/>
              </w:rPr>
              <w:t>School / hospital / advertisement</w:t>
            </w:r>
          </w:p>
        </w:tc>
        <w:tc>
          <w:tcPr>
            <w:tcW w:w="2087" w:type="dxa"/>
            <w:tcBorders>
              <w:top w:val="single" w:sz="4" w:space="0" w:color="000000"/>
              <w:left w:val="nil"/>
              <w:bottom w:val="none" w:sz="0" w:space="0" w:color="FFFFFF"/>
              <w:right w:val="nil"/>
            </w:tcBorders>
            <w:tcMar>
              <w:top w:w="30" w:type="dxa"/>
              <w:left w:w="60" w:type="dxa"/>
              <w:bottom w:w="30" w:type="dxa"/>
              <w:right w:w="60" w:type="dxa"/>
            </w:tcMar>
          </w:tcPr>
          <w:p w14:paraId="15ED3AD0" w14:textId="77777777" w:rsidR="00D33058" w:rsidRDefault="00D33058" w:rsidP="007762A2">
            <w:r>
              <w:rPr>
                <w:rFonts w:eastAsia="Times New Roman"/>
                <w:sz w:val="16"/>
                <w:szCs w:val="16"/>
              </w:rPr>
              <w:t>CDI ≥ 10 and HRSD ≥ 10; grades 7–12; no psychotic or suicidal symptoms; not in psychotherapy</w:t>
            </w:r>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48F5FEC0" w14:textId="77777777" w:rsidR="00D33058" w:rsidRDefault="00D33058" w:rsidP="007762A2">
            <w:r>
              <w:rPr>
                <w:rFonts w:eastAsia="Times New Roman"/>
                <w:sz w:val="16"/>
                <w:szCs w:val="16"/>
              </w:rPr>
              <w:t>Mild-Moderate</w:t>
            </w:r>
          </w:p>
        </w:tc>
        <w:tc>
          <w:tcPr>
            <w:tcW w:w="1254" w:type="dxa"/>
            <w:tcBorders>
              <w:top w:val="single" w:sz="4" w:space="0" w:color="000000"/>
              <w:left w:val="nil"/>
              <w:bottom w:val="none" w:sz="0" w:space="0" w:color="FFFFFF"/>
              <w:right w:val="nil"/>
            </w:tcBorders>
            <w:tcMar>
              <w:top w:w="30" w:type="dxa"/>
              <w:left w:w="60" w:type="dxa"/>
              <w:bottom w:w="30" w:type="dxa"/>
              <w:right w:w="60" w:type="dxa"/>
            </w:tcMar>
          </w:tcPr>
          <w:p w14:paraId="203AE6A4" w14:textId="77777777" w:rsidR="00D33058" w:rsidRDefault="00D33058" w:rsidP="007762A2">
            <w:r>
              <w:rPr>
                <w:rFonts w:eastAsia="Times New Roman"/>
                <w:sz w:val="16"/>
                <w:szCs w:val="16"/>
              </w:rPr>
              <w:t>4 weeks; self-paced; weekly monitoring calls</w:t>
            </w:r>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0EAEE1B8" w14:textId="77777777" w:rsidR="00D33058" w:rsidRDefault="00D33058" w:rsidP="007762A2">
            <w:r>
              <w:rPr>
                <w:rFonts w:eastAsia="Times New Roman"/>
                <w:sz w:val="16"/>
                <w:szCs w:val="16"/>
              </w:rPr>
              <w:t>Human</w:t>
            </w:r>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661615E6" w14:textId="77777777" w:rsidR="00D33058" w:rsidRDefault="00D33058" w:rsidP="007762A2">
            <w:proofErr w:type="spellStart"/>
            <w:r>
              <w:rPr>
                <w:rFonts w:eastAsia="Times New Roman"/>
                <w:sz w:val="16"/>
                <w:szCs w:val="16"/>
              </w:rPr>
              <w:t>Biblio</w:t>
            </w:r>
            <w:proofErr w:type="spellEnd"/>
          </w:p>
        </w:tc>
        <w:tc>
          <w:tcPr>
            <w:tcW w:w="1150" w:type="dxa"/>
            <w:tcBorders>
              <w:top w:val="single" w:sz="4" w:space="0" w:color="000000"/>
              <w:left w:val="nil"/>
              <w:bottom w:val="none" w:sz="0" w:space="0" w:color="FFFFFF"/>
              <w:right w:val="nil"/>
            </w:tcBorders>
            <w:tcMar>
              <w:top w:w="30" w:type="dxa"/>
              <w:left w:w="60" w:type="dxa"/>
              <w:bottom w:w="30" w:type="dxa"/>
              <w:right w:w="60" w:type="dxa"/>
            </w:tcMar>
          </w:tcPr>
          <w:p w14:paraId="78531263" w14:textId="77777777" w:rsidR="00D33058" w:rsidRDefault="00D33058" w:rsidP="007762A2">
            <w:proofErr w:type="spellStart"/>
            <w:r>
              <w:rPr>
                <w:rFonts w:eastAsia="Times New Roman"/>
                <w:sz w:val="16"/>
                <w:szCs w:val="16"/>
              </w:rPr>
              <w:t>cr+ba+pe+hw+rp+ist</w:t>
            </w:r>
            <w:proofErr w:type="spellEnd"/>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25F54725" w14:textId="77777777" w:rsidR="00D33058" w:rsidRDefault="00D33058" w:rsidP="007762A2">
            <w:r>
              <w:rPr>
                <w:rFonts w:eastAsia="Times New Roman"/>
                <w:sz w:val="16"/>
                <w:szCs w:val="16"/>
              </w:rPr>
              <w:t>Journal</w:t>
            </w:r>
          </w:p>
        </w:tc>
        <w:tc>
          <w:tcPr>
            <w:tcW w:w="941" w:type="dxa"/>
            <w:tcBorders>
              <w:top w:val="single" w:sz="4" w:space="0" w:color="000000"/>
              <w:left w:val="nil"/>
              <w:bottom w:val="none" w:sz="0" w:space="0" w:color="FFFFFF"/>
              <w:right w:val="nil"/>
            </w:tcBorders>
            <w:tcMar>
              <w:top w:w="30" w:type="dxa"/>
              <w:left w:w="60" w:type="dxa"/>
              <w:bottom w:w="30" w:type="dxa"/>
              <w:right w:w="60" w:type="dxa"/>
            </w:tcMar>
          </w:tcPr>
          <w:p w14:paraId="4DB70E90" w14:textId="77777777" w:rsidR="00D33058" w:rsidRDefault="00D33058" w:rsidP="007762A2">
            <w:r>
              <w:rPr>
                <w:rFonts w:eastAsia="Times New Roman"/>
                <w:sz w:val="16"/>
                <w:szCs w:val="16"/>
              </w:rPr>
              <w:t>NA</w:t>
            </w:r>
          </w:p>
        </w:tc>
      </w:tr>
      <w:tr w:rsidR="00D33058" w14:paraId="13484D65"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F407A9C" w14:textId="77777777" w:rsidR="00D33058" w:rsidRDefault="00D33058" w:rsidP="007762A2">
            <w:r>
              <w:rPr>
                <w:rFonts w:eastAsia="Times New Roman"/>
                <w:sz w:val="16"/>
                <w:szCs w:val="16"/>
              </w:rPr>
              <w:t>Bohr et al. 2023</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7AC71C3" w14:textId="77777777" w:rsidR="00D33058" w:rsidRDefault="00D33058" w:rsidP="007762A2">
            <w:r>
              <w:rPr>
                <w:rFonts w:eastAsia="Times New Roman"/>
                <w:sz w:val="16"/>
                <w:szCs w:val="16"/>
              </w:rPr>
              <w:t>Canada</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D953470" w14:textId="77777777" w:rsidR="00D33058" w:rsidRDefault="00D33058" w:rsidP="007762A2">
            <w:r>
              <w:rPr>
                <w:rFonts w:eastAsia="Times New Roman"/>
                <w:sz w:val="16"/>
                <w:szCs w:val="16"/>
              </w:rPr>
              <w:t>SPARX</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30096410" w14:textId="77777777" w:rsidR="00D33058" w:rsidRDefault="00D33058" w:rsidP="007762A2">
            <w:r>
              <w:rPr>
                <w:rFonts w:eastAsia="Times New Roman"/>
                <w:sz w:val="16"/>
                <w:szCs w:val="16"/>
              </w:rPr>
              <w:t>13-18</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73507634" w14:textId="77777777" w:rsidR="00D33058" w:rsidRDefault="00D33058" w:rsidP="007762A2">
            <w:r>
              <w:rPr>
                <w:rFonts w:eastAsia="Times New Roman"/>
                <w:sz w:val="16"/>
                <w:szCs w:val="16"/>
              </w:rPr>
              <w:t>Community</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70D3922A" w14:textId="77777777" w:rsidR="00D33058" w:rsidRDefault="00D33058" w:rsidP="007762A2">
            <w:r>
              <w:rPr>
                <w:rFonts w:eastAsia="Times New Roman"/>
                <w:sz w:val="16"/>
                <w:szCs w:val="16"/>
              </w:rPr>
              <w:t>Community-identified low mood, negative affect, depressive presentation, or significant stress; adequate English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F9B3709" w14:textId="77777777" w:rsidR="00D33058" w:rsidRDefault="00D33058" w:rsidP="007762A2">
            <w:r>
              <w:rPr>
                <w:rFonts w:eastAsia="Times New Roman"/>
                <w:sz w:val="16"/>
                <w:szCs w:val="16"/>
              </w:rPr>
              <w:t>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009B5620" w14:textId="77777777" w:rsidR="00D33058" w:rsidRDefault="00D33058" w:rsidP="007762A2">
            <w:r>
              <w:rPr>
                <w:rFonts w:eastAsia="Times New Roman"/>
                <w:sz w:val="16"/>
                <w:szCs w:val="16"/>
              </w:rPr>
              <w:t>7 weeks, 1×/week</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243B4DB" w14:textId="77777777" w:rsidR="00D33058" w:rsidRDefault="00D33058" w:rsidP="007762A2">
            <w:r>
              <w:rPr>
                <w:rFonts w:eastAsia="Times New Roman"/>
                <w:sz w:val="16"/>
                <w:szCs w:val="16"/>
              </w:rPr>
              <w:t>Human + 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A7E2E58"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5C4C3C8" w14:textId="77777777" w:rsidR="00D33058" w:rsidRDefault="00D33058" w:rsidP="007762A2">
            <w:r>
              <w:rPr>
                <w:rFonts w:eastAsia="Times New Roman"/>
                <w:sz w:val="16"/>
                <w:szCs w:val="16"/>
              </w:rPr>
              <w:t>cr+ba+ps+rx+pe+hw+3w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8979304"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49EFE59B" w14:textId="77777777" w:rsidR="00D33058" w:rsidRDefault="00D33058" w:rsidP="007762A2">
            <w:r>
              <w:rPr>
                <w:rFonts w:eastAsia="Times New Roman"/>
                <w:sz w:val="16"/>
                <w:szCs w:val="16"/>
              </w:rPr>
              <w:t>Nunavut Dept of Health</w:t>
            </w:r>
          </w:p>
        </w:tc>
      </w:tr>
      <w:tr w:rsidR="00D33058" w14:paraId="6E79DE54"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7CDC640" w14:textId="77777777" w:rsidR="00D33058" w:rsidRDefault="00D33058" w:rsidP="007762A2">
            <w:r>
              <w:rPr>
                <w:rFonts w:eastAsia="Times New Roman"/>
                <w:sz w:val="16"/>
                <w:szCs w:val="16"/>
              </w:rPr>
              <w:t>Fleming et al. 2012</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C3B65B0" w14:textId="77777777" w:rsidR="00D33058" w:rsidRDefault="00D33058" w:rsidP="007762A2">
            <w:r>
              <w:rPr>
                <w:rFonts w:eastAsia="Times New Roman"/>
                <w:sz w:val="16"/>
                <w:szCs w:val="16"/>
              </w:rPr>
              <w:t>New Zealand</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5DB8BBA5" w14:textId="77777777" w:rsidR="00D33058" w:rsidRDefault="00D33058" w:rsidP="007762A2">
            <w:r>
              <w:rPr>
                <w:rFonts w:eastAsia="Times New Roman"/>
                <w:sz w:val="16"/>
                <w:szCs w:val="16"/>
              </w:rPr>
              <w:t>SPARX</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13039750" w14:textId="77777777" w:rsidR="00D33058" w:rsidRDefault="00D33058" w:rsidP="007762A2">
            <w:r>
              <w:rPr>
                <w:rFonts w:eastAsia="Times New Roman"/>
                <w:sz w:val="16"/>
                <w:szCs w:val="16"/>
              </w:rPr>
              <w:t>13-16</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0BD0A0E5" w14:textId="77777777" w:rsidR="00D33058" w:rsidRDefault="00D33058" w:rsidP="007762A2">
            <w:r>
              <w:rPr>
                <w:rFonts w:eastAsia="Times New Roman"/>
                <w:sz w:val="16"/>
                <w:szCs w:val="16"/>
              </w:rPr>
              <w:t xml:space="preserve">Alternative education </w:t>
            </w:r>
            <w:proofErr w:type="spellStart"/>
            <w:r>
              <w:rPr>
                <w:rFonts w:eastAsia="Times New Roman"/>
                <w:sz w:val="16"/>
                <w:szCs w:val="16"/>
              </w:rPr>
              <w:t>programmes</w:t>
            </w:r>
            <w:proofErr w:type="spellEnd"/>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5DB939F2" w14:textId="77777777" w:rsidR="00D33058" w:rsidRDefault="00D33058" w:rsidP="007762A2">
            <w:r>
              <w:rPr>
                <w:rFonts w:eastAsia="Times New Roman"/>
                <w:sz w:val="16"/>
                <w:szCs w:val="16"/>
              </w:rPr>
              <w:t xml:space="preserve">CDRS-R ≥ 30; able to use the </w:t>
            </w:r>
            <w:proofErr w:type="spellStart"/>
            <w:r>
              <w:rPr>
                <w:rFonts w:eastAsia="Times New Roman"/>
                <w:sz w:val="16"/>
                <w:szCs w:val="16"/>
              </w:rPr>
              <w:t>programme</w:t>
            </w:r>
            <w:proofErr w:type="spellEnd"/>
            <w:r>
              <w:rPr>
                <w:rFonts w:eastAsia="Times New Roman"/>
                <w:sz w:val="16"/>
                <w:szCs w:val="16"/>
              </w:rPr>
              <w:t xml:space="preserve"> and complete measures; enrolled ≥ 10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5F0E111" w14:textId="77777777" w:rsidR="00D33058" w:rsidRDefault="00D33058" w:rsidP="007762A2">
            <w:r>
              <w:rPr>
                <w:rFonts w:eastAsia="Times New Roman"/>
                <w:sz w:val="16"/>
                <w:szCs w:val="16"/>
              </w:rPr>
              <w:t>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24F70F16" w14:textId="77777777" w:rsidR="00D33058" w:rsidRDefault="00D33058" w:rsidP="007762A2">
            <w:r>
              <w:rPr>
                <w:rFonts w:eastAsia="Times New Roman"/>
                <w:sz w:val="16"/>
                <w:szCs w:val="16"/>
              </w:rPr>
              <w:t>7 modules / 5 weeks, ~30 min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50A8487" w14:textId="77777777" w:rsidR="00D33058" w:rsidRDefault="00D33058" w:rsidP="007762A2">
            <w:r>
              <w:rPr>
                <w:rFonts w:eastAsia="Times New Roman"/>
                <w:sz w:val="16"/>
                <w:szCs w:val="16"/>
              </w:rPr>
              <w:t>Human + 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F8AF818"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15CB4BE" w14:textId="77777777" w:rsidR="00D33058" w:rsidRDefault="00D33058" w:rsidP="007762A2">
            <w:r>
              <w:rPr>
                <w:rFonts w:eastAsia="Times New Roman"/>
                <w:sz w:val="16"/>
                <w:szCs w:val="16"/>
              </w:rPr>
              <w:t>cr+ba+ps+rx+pe+hw+3w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C8EB8F7"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A5A8A56" w14:textId="77777777" w:rsidR="00D33058" w:rsidRDefault="00D33058" w:rsidP="007762A2">
            <w:r>
              <w:rPr>
                <w:rFonts w:eastAsia="Times New Roman"/>
                <w:sz w:val="16"/>
                <w:szCs w:val="16"/>
              </w:rPr>
              <w:t>NA</w:t>
            </w:r>
          </w:p>
        </w:tc>
      </w:tr>
      <w:tr w:rsidR="00D33058" w14:paraId="78D59B35"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4533B98" w14:textId="77777777" w:rsidR="00D33058" w:rsidRDefault="00D33058" w:rsidP="007762A2">
            <w:r>
              <w:rPr>
                <w:rFonts w:eastAsia="Times New Roman"/>
                <w:sz w:val="16"/>
                <w:szCs w:val="16"/>
              </w:rPr>
              <w:t>Ip et al. 2016</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8221275" w14:textId="77777777" w:rsidR="00D33058" w:rsidRDefault="00D33058" w:rsidP="007762A2">
            <w:r>
              <w:rPr>
                <w:rFonts w:eastAsia="Times New Roman"/>
                <w:sz w:val="16"/>
                <w:szCs w:val="16"/>
              </w:rPr>
              <w:t>China (HK)</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6E2ADCFB" w14:textId="77777777" w:rsidR="00D33058" w:rsidRDefault="00D33058" w:rsidP="007762A2">
            <w:r>
              <w:rPr>
                <w:rFonts w:eastAsia="Times New Roman"/>
                <w:sz w:val="16"/>
                <w:szCs w:val="16"/>
              </w:rPr>
              <w:t>Grasp The Opportunity</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7D6C7826" w14:textId="77777777" w:rsidR="00D33058" w:rsidRDefault="00D33058" w:rsidP="007762A2">
            <w:r>
              <w:rPr>
                <w:rFonts w:eastAsia="Times New Roman"/>
                <w:sz w:val="16"/>
                <w:szCs w:val="16"/>
              </w:rPr>
              <w:t>13-17</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54A4A75" w14:textId="77777777" w:rsidR="00D33058" w:rsidRDefault="00D33058" w:rsidP="007762A2">
            <w:r>
              <w:rPr>
                <w:rFonts w:eastAsia="Times New Roman"/>
                <w:sz w:val="16"/>
                <w:szCs w:val="16"/>
              </w:rPr>
              <w:t>School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4E173FB2" w14:textId="77777777" w:rsidR="00D33058" w:rsidRDefault="00D33058" w:rsidP="007762A2">
            <w:r>
              <w:rPr>
                <w:rFonts w:eastAsia="Times New Roman"/>
                <w:sz w:val="16"/>
                <w:szCs w:val="16"/>
              </w:rPr>
              <w:t>12 ≤ CESD-R ≤ 40; no MDD / schizophrenia / bipolar; no psychotropic medication; no substance abuse or major impairment</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CF37DA8"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542888BF" w14:textId="77777777" w:rsidR="00D33058" w:rsidRDefault="00D33058" w:rsidP="007762A2">
            <w:r>
              <w:rPr>
                <w:rFonts w:eastAsia="Times New Roman"/>
                <w:sz w:val="16"/>
                <w:szCs w:val="16"/>
              </w:rPr>
              <w:t>10 modules / 8 months, self-paced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212E4D3" w14:textId="77777777" w:rsidR="00D33058" w:rsidRDefault="00D33058" w:rsidP="007762A2">
            <w:r>
              <w:rPr>
                <w:rFonts w:eastAsia="Times New Roman"/>
                <w:sz w:val="16"/>
                <w:szCs w:val="16"/>
              </w:rPr>
              <w:t>Human + 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9E1398A" w14:textId="77777777" w:rsidR="00D33058" w:rsidRDefault="00D33058" w:rsidP="007762A2">
            <w:r>
              <w:rPr>
                <w:rFonts w:eastAsia="Times New Roman"/>
                <w:sz w:val="16"/>
                <w:szCs w:val="16"/>
              </w:rPr>
              <w:t>Web</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70691029" w14:textId="77777777" w:rsidR="00D33058" w:rsidRDefault="00D33058" w:rsidP="007762A2">
            <w:proofErr w:type="spellStart"/>
            <w:r>
              <w:rPr>
                <w:rFonts w:eastAsia="Times New Roman"/>
                <w:sz w:val="16"/>
                <w:szCs w:val="16"/>
              </w:rPr>
              <w:t>cr+ba+pe</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99DFB78"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CC4E6C4" w14:textId="77777777" w:rsidR="00D33058" w:rsidRDefault="00D33058" w:rsidP="007762A2">
            <w:r>
              <w:rPr>
                <w:rFonts w:eastAsia="Times New Roman"/>
                <w:sz w:val="16"/>
                <w:szCs w:val="16"/>
              </w:rPr>
              <w:t>Lotteries Fund HK</w:t>
            </w:r>
          </w:p>
        </w:tc>
      </w:tr>
      <w:tr w:rsidR="00D33058" w14:paraId="6DDF2C6C"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5B02E53" w14:textId="77777777" w:rsidR="00D33058" w:rsidRDefault="00D33058" w:rsidP="007762A2">
            <w:proofErr w:type="spellStart"/>
            <w:r>
              <w:rPr>
                <w:rFonts w:eastAsia="Times New Roman"/>
                <w:sz w:val="16"/>
                <w:szCs w:val="16"/>
              </w:rPr>
              <w:t>Makarushka</w:t>
            </w:r>
            <w:proofErr w:type="spellEnd"/>
            <w:r>
              <w:rPr>
                <w:rFonts w:eastAsia="Times New Roman"/>
                <w:sz w:val="16"/>
                <w:szCs w:val="16"/>
              </w:rPr>
              <w:t xml:space="preserve"> 2011</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2EDF98C" w14:textId="77777777" w:rsidR="00D33058" w:rsidRDefault="00D33058" w:rsidP="007762A2">
            <w:r>
              <w:rPr>
                <w:rFonts w:eastAsia="Times New Roman"/>
                <w:sz w:val="16"/>
                <w:szCs w:val="16"/>
              </w:rPr>
              <w:t>US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3E8B5011" w14:textId="77777777" w:rsidR="00D33058" w:rsidRDefault="00D33058" w:rsidP="007762A2">
            <w:r>
              <w:rPr>
                <w:rFonts w:eastAsia="Times New Roman"/>
                <w:sz w:val="16"/>
                <w:szCs w:val="16"/>
              </w:rPr>
              <w:t>Blues Blaster</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018B7EB6" w14:textId="77777777" w:rsidR="00D33058" w:rsidRDefault="00D33058" w:rsidP="007762A2">
            <w:r>
              <w:rPr>
                <w:rFonts w:eastAsia="Times New Roman"/>
                <w:sz w:val="16"/>
                <w:szCs w:val="16"/>
              </w:rPr>
              <w:t>11-15</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F88BA1F" w14:textId="77777777" w:rsidR="00D33058" w:rsidRDefault="00D33058" w:rsidP="007762A2">
            <w:r>
              <w:rPr>
                <w:rFonts w:eastAsia="Times New Roman"/>
                <w:sz w:val="16"/>
                <w:szCs w:val="16"/>
              </w:rPr>
              <w:t>School + community</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1B592556" w14:textId="77777777" w:rsidR="00D33058" w:rsidRDefault="00D33058" w:rsidP="007762A2">
            <w:r>
              <w:rPr>
                <w:rFonts w:eastAsia="Times New Roman"/>
                <w:sz w:val="16"/>
                <w:szCs w:val="16"/>
              </w:rPr>
              <w:t>CES-D &gt; 13 at screening and ≥ 16 at baseline; English-speaking; not meeting DSM-IV mood disorder criteria</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5FA0CAA"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24C4A6FB" w14:textId="77777777" w:rsidR="00D33058" w:rsidRDefault="00D33058" w:rsidP="007762A2">
            <w:r>
              <w:rPr>
                <w:rFonts w:eastAsia="Times New Roman"/>
                <w:sz w:val="16"/>
                <w:szCs w:val="16"/>
              </w:rPr>
              <w:t xml:space="preserve">30 sessions / 6 weeks; ~1 </w:t>
            </w:r>
            <w:proofErr w:type="gramStart"/>
            <w:r>
              <w:rPr>
                <w:rFonts w:eastAsia="Times New Roman"/>
                <w:sz w:val="16"/>
                <w:szCs w:val="16"/>
              </w:rPr>
              <w:t>mini-lesson</w:t>
            </w:r>
            <w:proofErr w:type="gramEnd"/>
            <w:r>
              <w:rPr>
                <w:rFonts w:eastAsia="Times New Roman"/>
                <w:sz w:val="16"/>
                <w:szCs w:val="16"/>
              </w:rPr>
              <w:t>/day</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746C121" w14:textId="77777777" w:rsidR="00D33058" w:rsidRDefault="00D33058" w:rsidP="007762A2">
            <w:r>
              <w:rPr>
                <w:rFonts w:eastAsia="Times New Roman"/>
                <w:sz w:val="16"/>
                <w:szCs w:val="16"/>
              </w:rPr>
              <w:t>Auto</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06BCF93" w14:textId="77777777" w:rsidR="00D33058" w:rsidRDefault="00D33058" w:rsidP="007762A2">
            <w:r>
              <w:rPr>
                <w:rFonts w:eastAsia="Times New Roman"/>
                <w:sz w:val="16"/>
                <w:szCs w:val="16"/>
              </w:rPr>
              <w:t>Web</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3072A46" w14:textId="77777777" w:rsidR="00D33058" w:rsidRDefault="00D33058" w:rsidP="007762A2">
            <w:proofErr w:type="spellStart"/>
            <w:r>
              <w:rPr>
                <w:rFonts w:eastAsia="Times New Roman"/>
                <w:sz w:val="16"/>
                <w:szCs w:val="16"/>
              </w:rPr>
              <w:t>cr+ba+pe+hw</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4ED7A2C" w14:textId="77777777" w:rsidR="00D33058" w:rsidRDefault="00D33058" w:rsidP="007762A2">
            <w:r>
              <w:rPr>
                <w:rFonts w:eastAsia="Times New Roman"/>
                <w:sz w:val="16"/>
                <w:szCs w:val="16"/>
              </w:rPr>
              <w:t>Dissertation</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574D36A" w14:textId="77777777" w:rsidR="00D33058" w:rsidRDefault="00D33058" w:rsidP="007762A2">
            <w:r>
              <w:rPr>
                <w:rFonts w:eastAsia="Times New Roman"/>
                <w:sz w:val="16"/>
                <w:szCs w:val="16"/>
              </w:rPr>
              <w:t>NIMH SBIR R44 MH068989</w:t>
            </w:r>
          </w:p>
        </w:tc>
      </w:tr>
      <w:tr w:rsidR="00D33058" w14:paraId="0C66CEC8"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5B81DCD" w14:textId="77777777" w:rsidR="00D33058" w:rsidRDefault="00D33058" w:rsidP="007762A2">
            <w:r>
              <w:rPr>
                <w:rFonts w:eastAsia="Times New Roman"/>
                <w:sz w:val="16"/>
                <w:szCs w:val="16"/>
              </w:rPr>
              <w:t>O'Dea et al. 2020</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35C10F9" w14:textId="77777777" w:rsidR="00D33058" w:rsidRDefault="00D33058" w:rsidP="007762A2">
            <w:r>
              <w:rPr>
                <w:rFonts w:eastAsia="Times New Roman"/>
                <w:sz w:val="16"/>
                <w:szCs w:val="16"/>
              </w:rPr>
              <w:t>Australia</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1E03EF95" w14:textId="77777777" w:rsidR="00D33058" w:rsidRDefault="00D33058" w:rsidP="007762A2">
            <w:proofErr w:type="spellStart"/>
            <w:r>
              <w:rPr>
                <w:rFonts w:eastAsia="Times New Roman"/>
                <w:sz w:val="16"/>
                <w:szCs w:val="16"/>
              </w:rPr>
              <w:t>WeClick</w:t>
            </w:r>
            <w:proofErr w:type="spellEnd"/>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180AF9C7" w14:textId="77777777" w:rsidR="00D33058" w:rsidRDefault="00D33058" w:rsidP="007762A2">
            <w:r>
              <w:rPr>
                <w:rFonts w:eastAsia="Times New Roman"/>
                <w:sz w:val="16"/>
                <w:szCs w:val="16"/>
              </w:rPr>
              <w:t>12-16</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781D082E" w14:textId="77777777" w:rsidR="00D33058" w:rsidRDefault="00D33058" w:rsidP="007762A2">
            <w:r>
              <w:rPr>
                <w:rFonts w:eastAsia="Times New Roman"/>
                <w:sz w:val="16"/>
                <w:szCs w:val="16"/>
              </w:rPr>
              <w:t>Social media (Facebook)</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0CCFB218" w14:textId="77777777" w:rsidR="00D33058" w:rsidRDefault="00D33058" w:rsidP="007762A2">
            <w:r>
              <w:rPr>
                <w:rFonts w:eastAsia="Times New Roman"/>
                <w:sz w:val="16"/>
                <w:szCs w:val="16"/>
              </w:rPr>
              <w:t>No severity threshold; English-fluent; guardian consent; smartphone access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6EFED0E" w14:textId="77777777" w:rsidR="00D33058" w:rsidRDefault="00D33058" w:rsidP="007762A2">
            <w:r>
              <w:rPr>
                <w:rFonts w:eastAsia="Times New Roman"/>
                <w:sz w:val="16"/>
                <w:szCs w:val="16"/>
              </w:rPr>
              <w:t>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0D65FD9E" w14:textId="77777777" w:rsidR="00D33058" w:rsidRDefault="00D33058" w:rsidP="007762A2">
            <w:r>
              <w:rPr>
                <w:rFonts w:eastAsia="Times New Roman"/>
                <w:sz w:val="16"/>
                <w:szCs w:val="16"/>
              </w:rPr>
              <w:t>Single session; ~1 hour / 4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CBF4D79" w14:textId="77777777" w:rsidR="00D33058" w:rsidRDefault="00D33058" w:rsidP="007762A2">
            <w:r>
              <w:rPr>
                <w:rFonts w:eastAsia="Times New Roman"/>
                <w:sz w:val="16"/>
                <w:szCs w:val="16"/>
              </w:rPr>
              <w:t>Auto</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20BE1D6" w14:textId="77777777" w:rsidR="00D33058" w:rsidRDefault="00D33058" w:rsidP="007762A2">
            <w:r>
              <w:rPr>
                <w:rFonts w:eastAsia="Times New Roman"/>
                <w:sz w:val="16"/>
                <w:szCs w:val="16"/>
              </w:rPr>
              <w:t>Mobile</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CE3C880" w14:textId="77777777" w:rsidR="00D33058" w:rsidRDefault="00D33058" w:rsidP="007762A2">
            <w:proofErr w:type="spellStart"/>
            <w:r>
              <w:rPr>
                <w:rFonts w:eastAsia="Times New Roman"/>
                <w:sz w:val="16"/>
                <w:szCs w:val="16"/>
              </w:rPr>
              <w:t>cr+ps+ist</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98FB6C8"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79640027" w14:textId="77777777" w:rsidR="00D33058" w:rsidRDefault="00D33058" w:rsidP="007762A2">
            <w:r>
              <w:rPr>
                <w:rFonts w:eastAsia="Times New Roman"/>
                <w:sz w:val="16"/>
                <w:szCs w:val="16"/>
              </w:rPr>
              <w:t>Philanthropic (Buxton Family Foundation); UNSW</w:t>
            </w:r>
          </w:p>
        </w:tc>
      </w:tr>
      <w:tr w:rsidR="00D33058" w14:paraId="41C48F6A"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F1796D0" w14:textId="77777777" w:rsidR="00D33058" w:rsidRDefault="00D33058" w:rsidP="007762A2">
            <w:r>
              <w:rPr>
                <w:rFonts w:eastAsia="Times New Roman"/>
                <w:sz w:val="16"/>
                <w:szCs w:val="16"/>
              </w:rPr>
              <w:t>O'Dea et al. 2025</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7018055" w14:textId="77777777" w:rsidR="00D33058" w:rsidRDefault="00D33058" w:rsidP="007762A2">
            <w:r>
              <w:rPr>
                <w:rFonts w:eastAsia="Times New Roman"/>
                <w:sz w:val="16"/>
                <w:szCs w:val="16"/>
              </w:rPr>
              <w:t>Australia</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7FA4FD63" w14:textId="77777777" w:rsidR="00D33058" w:rsidRDefault="00D33058" w:rsidP="007762A2">
            <w:proofErr w:type="spellStart"/>
            <w:r>
              <w:rPr>
                <w:rFonts w:eastAsia="Times New Roman"/>
                <w:sz w:val="16"/>
                <w:szCs w:val="16"/>
              </w:rPr>
              <w:t>ClearlyMe</w:t>
            </w:r>
            <w:proofErr w:type="spellEnd"/>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7799CE3A" w14:textId="77777777" w:rsidR="00D33058" w:rsidRDefault="00D33058" w:rsidP="007762A2">
            <w:r>
              <w:rPr>
                <w:rFonts w:eastAsia="Times New Roman"/>
                <w:sz w:val="16"/>
                <w:szCs w:val="16"/>
              </w:rPr>
              <w:t>12-17</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2896C4C" w14:textId="77777777" w:rsidR="00D33058" w:rsidRDefault="00D33058" w:rsidP="007762A2">
            <w:r>
              <w:rPr>
                <w:rFonts w:eastAsia="Times New Roman"/>
                <w:sz w:val="16"/>
                <w:szCs w:val="16"/>
              </w:rPr>
              <w:t>Social media + website + referral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4D0C88BC" w14:textId="77777777" w:rsidR="00D33058" w:rsidRDefault="00D33058" w:rsidP="007762A2">
            <w:r>
              <w:rPr>
                <w:rFonts w:eastAsia="Times New Roman"/>
                <w:sz w:val="16"/>
                <w:szCs w:val="16"/>
              </w:rPr>
              <w:t xml:space="preserve">5 ≤ PHQ-A ≤ 19; smartphone &amp; Internet; Grade 7–8 English; not in treatment; no </w:t>
            </w:r>
            <w:r>
              <w:rPr>
                <w:rFonts w:eastAsia="Times New Roman"/>
                <w:sz w:val="16"/>
                <w:szCs w:val="16"/>
              </w:rPr>
              <w:lastRenderedPageBreak/>
              <w:t>severe suicidal ideation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4E66810" w14:textId="77777777" w:rsidR="00D33058" w:rsidRDefault="00D33058" w:rsidP="007762A2">
            <w:r>
              <w:rPr>
                <w:rFonts w:eastAsia="Times New Roman"/>
                <w:sz w:val="16"/>
                <w:szCs w:val="16"/>
              </w:rPr>
              <w:lastRenderedPageBreak/>
              <w:t>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463330DD" w14:textId="77777777" w:rsidR="00D33058" w:rsidRDefault="00D33058" w:rsidP="007762A2">
            <w:r>
              <w:rPr>
                <w:rFonts w:eastAsia="Times New Roman"/>
                <w:sz w:val="16"/>
                <w:szCs w:val="16"/>
              </w:rPr>
              <w:t>9 collections; ~20 min × 9 / 6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4E65C49" w14:textId="77777777" w:rsidR="00D33058" w:rsidRDefault="00D33058" w:rsidP="007762A2">
            <w:r>
              <w:rPr>
                <w:rFonts w:eastAsia="Times New Roman"/>
                <w:sz w:val="16"/>
                <w:szCs w:val="16"/>
              </w:rPr>
              <w:t>Human + 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46F39BC" w14:textId="77777777" w:rsidR="00D33058" w:rsidRDefault="00D33058" w:rsidP="007762A2">
            <w:r>
              <w:rPr>
                <w:rFonts w:eastAsia="Times New Roman"/>
                <w:sz w:val="16"/>
                <w:szCs w:val="16"/>
              </w:rPr>
              <w:t>Mobile</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A069346" w14:textId="77777777" w:rsidR="00D33058" w:rsidRDefault="00D33058" w:rsidP="007762A2">
            <w:r>
              <w:rPr>
                <w:rFonts w:eastAsia="Times New Roman"/>
                <w:sz w:val="16"/>
                <w:szCs w:val="16"/>
              </w:rPr>
              <w:t>cr+ba+ps+ist+rx+pe+3w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94CC431" w14:textId="77777777" w:rsidR="00D33058" w:rsidRDefault="00D33058" w:rsidP="007762A2">
            <w:r>
              <w:rPr>
                <w:rFonts w:eastAsia="Times New Roman"/>
                <w:sz w:val="16"/>
                <w:szCs w:val="16"/>
              </w:rPr>
              <w:t>Preprint</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10F4487" w14:textId="77777777" w:rsidR="00D33058" w:rsidRDefault="00D33058" w:rsidP="007762A2">
            <w:r>
              <w:rPr>
                <w:rFonts w:eastAsia="Times New Roman"/>
                <w:sz w:val="16"/>
                <w:szCs w:val="16"/>
              </w:rPr>
              <w:t>Goodman Foundation; NHMRC</w:t>
            </w:r>
          </w:p>
        </w:tc>
      </w:tr>
      <w:tr w:rsidR="00D33058" w14:paraId="0D3111D9"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CBE9AF8" w14:textId="77777777" w:rsidR="00D33058" w:rsidRDefault="00D33058" w:rsidP="007762A2">
            <w:proofErr w:type="spellStart"/>
            <w:r>
              <w:rPr>
                <w:rFonts w:eastAsia="Times New Roman"/>
                <w:sz w:val="16"/>
                <w:szCs w:val="16"/>
              </w:rPr>
              <w:t>Poppelaars</w:t>
            </w:r>
            <w:proofErr w:type="spellEnd"/>
            <w:r>
              <w:rPr>
                <w:rFonts w:eastAsia="Times New Roman"/>
                <w:sz w:val="16"/>
                <w:szCs w:val="16"/>
              </w:rPr>
              <w:t xml:space="preserve"> et al. 2016</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74BE9A5" w14:textId="77777777" w:rsidR="00D33058" w:rsidRDefault="00D33058" w:rsidP="007762A2">
            <w:r>
              <w:rPr>
                <w:rFonts w:eastAsia="Times New Roman"/>
                <w:sz w:val="16"/>
                <w:szCs w:val="16"/>
              </w:rPr>
              <w:t>The Netherlands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64F38B5" w14:textId="77777777" w:rsidR="00D33058" w:rsidRDefault="00D33058" w:rsidP="007762A2">
            <w:r>
              <w:rPr>
                <w:rFonts w:eastAsia="Times New Roman"/>
                <w:sz w:val="16"/>
                <w:szCs w:val="16"/>
              </w:rPr>
              <w:t>SPARX</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483F4275" w14:textId="77777777" w:rsidR="00D33058" w:rsidRDefault="00D33058" w:rsidP="007762A2">
            <w:r>
              <w:rPr>
                <w:rFonts w:eastAsia="Times New Roman"/>
                <w:sz w:val="16"/>
                <w:szCs w:val="16"/>
              </w:rPr>
              <w:t>11-16</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DE56004" w14:textId="77777777" w:rsidR="00D33058" w:rsidRDefault="00D33058" w:rsidP="007762A2">
            <w:r>
              <w:rPr>
                <w:rFonts w:eastAsia="Times New Roman"/>
                <w:sz w:val="16"/>
                <w:szCs w:val="16"/>
              </w:rPr>
              <w:t>School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23A1474E" w14:textId="77777777" w:rsidR="00D33058" w:rsidRDefault="00D33058" w:rsidP="007762A2">
            <w:r>
              <w:rPr>
                <w:rFonts w:eastAsia="Times New Roman"/>
                <w:sz w:val="16"/>
                <w:szCs w:val="16"/>
              </w:rPr>
              <w:t>Girls ≥ 70th percentile depressive symptoms (RADS-2 ≥ 59); no suicidal ideation or ongoing psychotherapy</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D394A9B" w14:textId="77777777" w:rsidR="00D33058" w:rsidRDefault="00D33058" w:rsidP="007762A2">
            <w:r>
              <w:rPr>
                <w:rFonts w:eastAsia="Times New Roman"/>
                <w:sz w:val="16"/>
                <w:szCs w:val="16"/>
              </w:rPr>
              <w:t>Mild</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19F02342" w14:textId="77777777" w:rsidR="00D33058" w:rsidRDefault="00D33058" w:rsidP="007762A2">
            <w:r>
              <w:rPr>
                <w:rFonts w:eastAsia="Times New Roman"/>
                <w:sz w:val="16"/>
                <w:szCs w:val="16"/>
              </w:rPr>
              <w:t>7 levels, ~20–40 min / level, 7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C8553B3" w14:textId="77777777" w:rsidR="00D33058" w:rsidRDefault="00D33058" w:rsidP="007762A2">
            <w:r>
              <w:rPr>
                <w:rFonts w:eastAsia="Times New Roman"/>
                <w:sz w:val="16"/>
                <w:szCs w:val="16"/>
              </w:rPr>
              <w:t>Human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1E8C0C3"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937BE4D" w14:textId="77777777" w:rsidR="00D33058" w:rsidRDefault="00D33058" w:rsidP="007762A2">
            <w:r>
              <w:rPr>
                <w:rFonts w:eastAsia="Times New Roman"/>
                <w:sz w:val="16"/>
                <w:szCs w:val="16"/>
              </w:rPr>
              <w:t>cr+ba+ps+rx+pe+hw+3w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A8C520F"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5434EB3B" w14:textId="77777777" w:rsidR="00D33058" w:rsidRDefault="00D33058" w:rsidP="007762A2">
            <w:proofErr w:type="spellStart"/>
            <w:r>
              <w:rPr>
                <w:rFonts w:eastAsia="Times New Roman"/>
                <w:sz w:val="16"/>
                <w:szCs w:val="16"/>
              </w:rPr>
              <w:t>Behavioural</w:t>
            </w:r>
            <w:proofErr w:type="spellEnd"/>
            <w:r>
              <w:rPr>
                <w:rFonts w:eastAsia="Times New Roman"/>
                <w:sz w:val="16"/>
                <w:szCs w:val="16"/>
              </w:rPr>
              <w:t xml:space="preserve"> Science Institute, Radboud University</w:t>
            </w:r>
          </w:p>
        </w:tc>
      </w:tr>
      <w:tr w:rsidR="00D33058" w:rsidRPr="000D52E9" w14:paraId="2814CDB0"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E867C63" w14:textId="77777777" w:rsidR="00D33058" w:rsidRDefault="00D33058" w:rsidP="007762A2">
            <w:r>
              <w:rPr>
                <w:rFonts w:eastAsia="Times New Roman"/>
                <w:sz w:val="16"/>
                <w:szCs w:val="16"/>
              </w:rPr>
              <w:t>Ranney et al. 2018</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85EB189" w14:textId="77777777" w:rsidR="00D33058" w:rsidRDefault="00D33058" w:rsidP="007762A2">
            <w:r>
              <w:rPr>
                <w:rFonts w:eastAsia="Times New Roman"/>
                <w:sz w:val="16"/>
                <w:szCs w:val="16"/>
              </w:rPr>
              <w:t>US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63CDD139" w14:textId="77777777" w:rsidR="00D33058" w:rsidRDefault="00D33058" w:rsidP="007762A2">
            <w:proofErr w:type="spellStart"/>
            <w:r>
              <w:rPr>
                <w:rFonts w:eastAsia="Times New Roman"/>
                <w:sz w:val="16"/>
                <w:szCs w:val="16"/>
              </w:rPr>
              <w:t>iDove</w:t>
            </w:r>
            <w:proofErr w:type="spellEnd"/>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69E06CAB" w14:textId="77777777" w:rsidR="00D33058" w:rsidRDefault="00D33058" w:rsidP="007762A2">
            <w:r>
              <w:rPr>
                <w:rFonts w:eastAsia="Times New Roman"/>
                <w:sz w:val="16"/>
                <w:szCs w:val="16"/>
              </w:rPr>
              <w:t>13-17</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1B5CAB7" w14:textId="77777777" w:rsidR="00D33058" w:rsidRDefault="00D33058" w:rsidP="007762A2">
            <w:r>
              <w:rPr>
                <w:rFonts w:eastAsia="Times New Roman"/>
                <w:sz w:val="16"/>
                <w:szCs w:val="16"/>
              </w:rPr>
              <w:t>Clinical (Emergency Dept.)</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162EAC38" w14:textId="77777777" w:rsidR="00D33058" w:rsidRDefault="00D33058" w:rsidP="007762A2">
            <w:r>
              <w:rPr>
                <w:rFonts w:eastAsia="Times New Roman"/>
                <w:sz w:val="16"/>
                <w:szCs w:val="16"/>
              </w:rPr>
              <w:t>English-speaking; past-year peer violence; PHQ-9 5–19; text-capable phone; guardian consent</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7919CBD"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4836C192" w14:textId="77777777" w:rsidR="00D33058" w:rsidRDefault="00D33058" w:rsidP="007762A2">
            <w:r>
              <w:rPr>
                <w:rFonts w:eastAsia="Times New Roman"/>
                <w:sz w:val="16"/>
                <w:szCs w:val="16"/>
              </w:rPr>
              <w:t>1 in-ED session + 8 weeks automated texts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7ACDFBE" w14:textId="77777777" w:rsidR="00D33058" w:rsidRDefault="00D33058" w:rsidP="007762A2">
            <w:r>
              <w:rPr>
                <w:rFonts w:eastAsia="Times New Roman"/>
                <w:sz w:val="16"/>
                <w:szCs w:val="16"/>
              </w:rPr>
              <w:t>Auto</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E1076D5" w14:textId="77777777" w:rsidR="00D33058" w:rsidRDefault="00D33058" w:rsidP="007762A2">
            <w:r>
              <w:rPr>
                <w:rFonts w:eastAsia="Times New Roman"/>
                <w:sz w:val="16"/>
                <w:szCs w:val="16"/>
              </w:rPr>
              <w:t>Text</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18AB9822" w14:textId="77777777" w:rsidR="00D33058" w:rsidRDefault="00D33058" w:rsidP="007762A2">
            <w:proofErr w:type="spellStart"/>
            <w:r>
              <w:rPr>
                <w:rFonts w:eastAsia="Times New Roman"/>
                <w:sz w:val="16"/>
                <w:szCs w:val="16"/>
              </w:rPr>
              <w:t>cr+ba+pe</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9F80029"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A2AD407" w14:textId="77777777" w:rsidR="00D33058" w:rsidRPr="00371550" w:rsidRDefault="00D33058" w:rsidP="007762A2">
            <w:pPr>
              <w:rPr>
                <w:lang w:val="de-DE"/>
              </w:rPr>
            </w:pPr>
            <w:r w:rsidRPr="00371550">
              <w:rPr>
                <w:rFonts w:eastAsia="Times New Roman"/>
                <w:sz w:val="16"/>
                <w:szCs w:val="16"/>
                <w:lang w:val="de-DE"/>
              </w:rPr>
              <w:t>NIMH K23 MH095866; K24 HD062645; K24 DA027109</w:t>
            </w:r>
          </w:p>
        </w:tc>
      </w:tr>
      <w:tr w:rsidR="00D33058" w14:paraId="2B573B04"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12394CE" w14:textId="77777777" w:rsidR="00D33058" w:rsidRDefault="00D33058" w:rsidP="007762A2">
            <w:r>
              <w:rPr>
                <w:rFonts w:eastAsia="Times New Roman"/>
                <w:sz w:val="16"/>
                <w:szCs w:val="16"/>
              </w:rPr>
              <w:t>Rohde et al. 2015</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D1081B3" w14:textId="77777777" w:rsidR="00D33058" w:rsidRDefault="00D33058" w:rsidP="007762A2">
            <w:r>
              <w:rPr>
                <w:rFonts w:eastAsia="Times New Roman"/>
                <w:sz w:val="16"/>
                <w:szCs w:val="16"/>
              </w:rPr>
              <w:t>US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4D4C61DB" w14:textId="77777777" w:rsidR="00D33058" w:rsidRDefault="00D33058" w:rsidP="007762A2">
            <w:r>
              <w:rPr>
                <w:rFonts w:eastAsia="Times New Roman"/>
                <w:sz w:val="16"/>
                <w:szCs w:val="16"/>
              </w:rPr>
              <w:t>Feeling Good (bibliotherapy arm)</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0652E062" w14:textId="77777777" w:rsidR="00D33058" w:rsidRDefault="00D33058" w:rsidP="007762A2">
            <w:r>
              <w:rPr>
                <w:rFonts w:eastAsia="Times New Roman"/>
                <w:sz w:val="16"/>
                <w:szCs w:val="16"/>
              </w:rPr>
              <w:t>13-19</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476D091" w14:textId="77777777" w:rsidR="00D33058" w:rsidRDefault="00D33058" w:rsidP="007762A2">
            <w:r>
              <w:rPr>
                <w:rFonts w:eastAsia="Times New Roman"/>
                <w:sz w:val="16"/>
                <w:szCs w:val="16"/>
              </w:rPr>
              <w:t>School (5 high schools)</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4D2C10A9" w14:textId="77777777" w:rsidR="00D33058" w:rsidRDefault="00D33058" w:rsidP="007762A2">
            <w:r>
              <w:rPr>
                <w:rFonts w:eastAsia="Times New Roman"/>
                <w:sz w:val="16"/>
                <w:szCs w:val="16"/>
              </w:rPr>
              <w:t>CES-D 1-page screener (≥ 2 items); current MDD &amp; acute SI excluded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E87EFE6" w14:textId="77777777" w:rsidR="00D33058" w:rsidRDefault="00D33058" w:rsidP="007762A2">
            <w:r>
              <w:rPr>
                <w:rFonts w:eastAsia="Times New Roman"/>
                <w:sz w:val="16"/>
                <w:szCs w:val="16"/>
              </w:rPr>
              <w:t>Mild</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300B0F7D" w14:textId="77777777" w:rsidR="00D33058" w:rsidRDefault="00D33058" w:rsidP="007762A2">
            <w:r>
              <w:rPr>
                <w:rFonts w:eastAsia="Times New Roman"/>
                <w:sz w:val="16"/>
                <w:szCs w:val="16"/>
              </w:rPr>
              <w:t>6 weeks, self-paced; 2 reminder calls (encouragement only)</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35E0C72" w14:textId="77777777" w:rsidR="00D33058" w:rsidRDefault="00D33058" w:rsidP="007762A2">
            <w:r>
              <w:rPr>
                <w:rFonts w:eastAsia="Times New Roman"/>
                <w:sz w:val="16"/>
                <w:szCs w:val="16"/>
              </w:rPr>
              <w:t>Human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A1049AE" w14:textId="77777777" w:rsidR="00D33058" w:rsidRDefault="00D33058" w:rsidP="007762A2">
            <w:proofErr w:type="spellStart"/>
            <w:r>
              <w:rPr>
                <w:rFonts w:eastAsia="Times New Roman"/>
                <w:sz w:val="16"/>
                <w:szCs w:val="16"/>
              </w:rPr>
              <w:t>Biblio</w:t>
            </w:r>
            <w:proofErr w:type="spellEnd"/>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1DE77101" w14:textId="77777777" w:rsidR="00D33058" w:rsidRDefault="00D33058" w:rsidP="007762A2">
            <w:proofErr w:type="spellStart"/>
            <w:r>
              <w:rPr>
                <w:rFonts w:eastAsia="Times New Roman"/>
                <w:sz w:val="16"/>
                <w:szCs w:val="16"/>
              </w:rPr>
              <w:t>cr+ba+pe+hw+rp+ist</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2E6F034"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099E79E" w14:textId="77777777" w:rsidR="00D33058" w:rsidRDefault="00D33058" w:rsidP="007762A2">
            <w:r>
              <w:rPr>
                <w:rFonts w:eastAsia="Times New Roman"/>
                <w:sz w:val="16"/>
                <w:szCs w:val="16"/>
              </w:rPr>
              <w:t>NIMH R01 MH079164</w:t>
            </w:r>
          </w:p>
        </w:tc>
      </w:tr>
      <w:tr w:rsidR="00D33058" w14:paraId="69D2081D"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C7FDF25" w14:textId="77777777" w:rsidR="00D33058" w:rsidRDefault="00D33058" w:rsidP="007762A2">
            <w:r>
              <w:rPr>
                <w:rFonts w:eastAsia="Times New Roman"/>
                <w:sz w:val="16"/>
                <w:szCs w:val="16"/>
              </w:rPr>
              <w:t>Smith et al. 2015</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0A079D9" w14:textId="77777777" w:rsidR="00D33058" w:rsidRDefault="00D33058" w:rsidP="007762A2">
            <w:r>
              <w:rPr>
                <w:rFonts w:eastAsia="Times New Roman"/>
                <w:sz w:val="16"/>
                <w:szCs w:val="16"/>
              </w:rPr>
              <w:t>UK</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76F7578" w14:textId="77777777" w:rsidR="00D33058" w:rsidRDefault="00D33058" w:rsidP="007762A2">
            <w:r>
              <w:rPr>
                <w:rFonts w:eastAsia="Times New Roman"/>
                <w:sz w:val="16"/>
                <w:szCs w:val="16"/>
              </w:rPr>
              <w:t>Stressbusters</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59FA24D4" w14:textId="77777777" w:rsidR="00D33058" w:rsidRDefault="00D33058" w:rsidP="007762A2">
            <w:r>
              <w:rPr>
                <w:rFonts w:eastAsia="Times New Roman"/>
                <w:sz w:val="16"/>
                <w:szCs w:val="16"/>
              </w:rPr>
              <w:t>12-16</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C63C79B" w14:textId="77777777" w:rsidR="00D33058" w:rsidRDefault="00D33058" w:rsidP="007762A2">
            <w:r>
              <w:rPr>
                <w:rFonts w:eastAsia="Times New Roman"/>
                <w:sz w:val="16"/>
                <w:szCs w:val="16"/>
              </w:rPr>
              <w:t>School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4AED8968" w14:textId="77777777" w:rsidR="00D33058" w:rsidRDefault="00D33058" w:rsidP="007762A2">
            <w:r>
              <w:rPr>
                <w:rFonts w:eastAsia="Times New Roman"/>
                <w:sz w:val="16"/>
                <w:szCs w:val="16"/>
              </w:rPr>
              <w:t>MFQ-C ≥ 20; severe symptoms / acute risk / learning disability excluded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5BD3D9D"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17F179EB" w14:textId="77777777" w:rsidR="00D33058" w:rsidRDefault="00D33058" w:rsidP="007762A2">
            <w:r>
              <w:rPr>
                <w:rFonts w:eastAsia="Times New Roman"/>
                <w:sz w:val="16"/>
                <w:szCs w:val="16"/>
              </w:rPr>
              <w:t>8 sessions, 8 weeks (× 30–45 min)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5DEE398" w14:textId="77777777" w:rsidR="00D33058" w:rsidRDefault="00D33058" w:rsidP="007762A2">
            <w:r>
              <w:rPr>
                <w:rFonts w:eastAsia="Times New Roman"/>
                <w:sz w:val="16"/>
                <w:szCs w:val="16"/>
              </w:rPr>
              <w:t>None</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2CE1309"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6BD31C9" w14:textId="77777777" w:rsidR="00D33058" w:rsidRDefault="00D33058" w:rsidP="007762A2">
            <w:proofErr w:type="spellStart"/>
            <w:r>
              <w:rPr>
                <w:rFonts w:eastAsia="Times New Roman"/>
                <w:sz w:val="16"/>
                <w:szCs w:val="16"/>
              </w:rPr>
              <w:t>cr+ba+ps+ist+pe+hw+rp</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32BCD0E"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42664E2E" w14:textId="77777777" w:rsidR="00D33058" w:rsidRDefault="00D33058" w:rsidP="007762A2">
            <w:r>
              <w:rPr>
                <w:rFonts w:eastAsia="Times New Roman"/>
                <w:sz w:val="16"/>
                <w:szCs w:val="16"/>
              </w:rPr>
              <w:t>Guy's &amp; St Thomas' Charity (G100111)</w:t>
            </w:r>
          </w:p>
        </w:tc>
      </w:tr>
      <w:tr w:rsidR="00D33058" w14:paraId="62EA4E60"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98E235E" w14:textId="77777777" w:rsidR="00D33058" w:rsidRDefault="00D33058" w:rsidP="007762A2">
            <w:r>
              <w:rPr>
                <w:rFonts w:eastAsia="Times New Roman"/>
                <w:sz w:val="16"/>
                <w:szCs w:val="16"/>
              </w:rPr>
              <w:t>Stallard et al. 2024</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CEF9708" w14:textId="77777777" w:rsidR="00D33058" w:rsidRDefault="00D33058" w:rsidP="007762A2">
            <w:r>
              <w:rPr>
                <w:rFonts w:eastAsia="Times New Roman"/>
                <w:sz w:val="16"/>
                <w:szCs w:val="16"/>
              </w:rPr>
              <w:t>UK</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E81C521" w14:textId="77777777" w:rsidR="00D33058" w:rsidRDefault="00D33058" w:rsidP="007762A2">
            <w:proofErr w:type="spellStart"/>
            <w:r>
              <w:rPr>
                <w:rFonts w:eastAsia="Times New Roman"/>
                <w:sz w:val="16"/>
                <w:szCs w:val="16"/>
              </w:rPr>
              <w:t>BlueIce</w:t>
            </w:r>
            <w:proofErr w:type="spellEnd"/>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437457CF" w14:textId="77777777" w:rsidR="00D33058" w:rsidRDefault="00D33058" w:rsidP="007762A2">
            <w:r>
              <w:rPr>
                <w:rFonts w:eastAsia="Times New Roman"/>
                <w:sz w:val="16"/>
                <w:szCs w:val="16"/>
              </w:rPr>
              <w:t>12-17</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1596B5A" w14:textId="77777777" w:rsidR="00D33058" w:rsidRDefault="00D33058" w:rsidP="007762A2">
            <w:r>
              <w:rPr>
                <w:rFonts w:eastAsia="Times New Roman"/>
                <w:sz w:val="16"/>
                <w:szCs w:val="16"/>
              </w:rPr>
              <w:t>Clinical (CAMHS)</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3E783CA7" w14:textId="77777777" w:rsidR="00D33058" w:rsidRDefault="00D33058" w:rsidP="007762A2">
            <w:r>
              <w:rPr>
                <w:rFonts w:eastAsia="Times New Roman"/>
                <w:sz w:val="16"/>
                <w:szCs w:val="16"/>
              </w:rPr>
              <w:t>Repeated self-harm (≥ 2/year)</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5BBAE28" w14:textId="77777777" w:rsidR="00D33058" w:rsidRDefault="00D33058" w:rsidP="007762A2">
            <w:r>
              <w:rPr>
                <w:rFonts w:eastAsia="Times New Roman"/>
                <w:sz w:val="16"/>
                <w:szCs w:val="16"/>
              </w:rPr>
              <w:t>Severe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2C15060E" w14:textId="77777777" w:rsidR="00D33058" w:rsidRDefault="00D33058" w:rsidP="007762A2">
            <w:r>
              <w:rPr>
                <w:rFonts w:eastAsia="Times New Roman"/>
                <w:sz w:val="16"/>
                <w:szCs w:val="16"/>
              </w:rPr>
              <w:t>24/7 access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D96128A" w14:textId="77777777" w:rsidR="00D33058" w:rsidRDefault="00D33058" w:rsidP="007762A2">
            <w:r>
              <w:rPr>
                <w:rFonts w:eastAsia="Times New Roman"/>
                <w:sz w:val="16"/>
                <w:szCs w:val="16"/>
              </w:rPr>
              <w:t>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1520E9A" w14:textId="77777777" w:rsidR="00D33058" w:rsidRDefault="00D33058" w:rsidP="007762A2">
            <w:r>
              <w:rPr>
                <w:rFonts w:eastAsia="Times New Roman"/>
                <w:sz w:val="16"/>
                <w:szCs w:val="16"/>
              </w:rPr>
              <w:t>Mobile</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0406F4F4" w14:textId="77777777" w:rsidR="00D33058" w:rsidRDefault="00D33058" w:rsidP="007762A2">
            <w:r>
              <w:rPr>
                <w:rFonts w:eastAsia="Times New Roman"/>
                <w:sz w:val="16"/>
                <w:szCs w:val="16"/>
              </w:rPr>
              <w:t>cr+ba+rx+3w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9EFE14D"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2A30457" w14:textId="77777777" w:rsidR="00D33058" w:rsidRDefault="00D33058" w:rsidP="007762A2">
            <w:r>
              <w:rPr>
                <w:rFonts w:eastAsia="Times New Roman"/>
                <w:sz w:val="16"/>
                <w:szCs w:val="16"/>
              </w:rPr>
              <w:t>NIHR</w:t>
            </w:r>
          </w:p>
        </w:tc>
      </w:tr>
      <w:tr w:rsidR="00D33058" w14:paraId="22AADF0C"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1CDB1BC" w14:textId="77777777" w:rsidR="00D33058" w:rsidRDefault="00D33058" w:rsidP="007762A2">
            <w:r>
              <w:rPr>
                <w:rFonts w:eastAsia="Times New Roman"/>
                <w:sz w:val="16"/>
                <w:szCs w:val="16"/>
              </w:rPr>
              <w:t>Stasiak et al. 2014</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B28529C" w14:textId="77777777" w:rsidR="00D33058" w:rsidRDefault="00D33058" w:rsidP="007762A2">
            <w:r>
              <w:rPr>
                <w:rFonts w:eastAsia="Times New Roman"/>
                <w:sz w:val="16"/>
                <w:szCs w:val="16"/>
              </w:rPr>
              <w:t>New Zealand</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34F6184B" w14:textId="77777777" w:rsidR="00D33058" w:rsidRDefault="00D33058" w:rsidP="007762A2">
            <w:r>
              <w:rPr>
                <w:rFonts w:eastAsia="Times New Roman"/>
                <w:sz w:val="16"/>
                <w:szCs w:val="16"/>
              </w:rPr>
              <w:t>The Journey</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600EC51E" w14:textId="77777777" w:rsidR="00D33058" w:rsidRDefault="00D33058" w:rsidP="007762A2">
            <w:r>
              <w:rPr>
                <w:rFonts w:eastAsia="Times New Roman"/>
                <w:sz w:val="16"/>
                <w:szCs w:val="16"/>
              </w:rPr>
              <w:t>13-18</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1AD01DE" w14:textId="77777777" w:rsidR="00D33058" w:rsidRDefault="00D33058" w:rsidP="007762A2">
            <w:r>
              <w:rPr>
                <w:rFonts w:eastAsia="Times New Roman"/>
                <w:sz w:val="16"/>
                <w:szCs w:val="16"/>
              </w:rPr>
              <w:t>School (counsellor referral)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552D5FB0" w14:textId="77777777" w:rsidR="00D33058" w:rsidRDefault="00D33058" w:rsidP="007762A2">
            <w:r>
              <w:rPr>
                <w:rFonts w:eastAsia="Times New Roman"/>
                <w:sz w:val="16"/>
                <w:szCs w:val="16"/>
              </w:rPr>
              <w:t>CDRS-R ≥ 30 or RADS-2 ≥ 76; self-referred low mood; high suicidality / severe learning disorder excluded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8BCCC10"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0DED5596" w14:textId="77777777" w:rsidR="00D33058" w:rsidRDefault="00D33058" w:rsidP="007762A2">
            <w:r>
              <w:rPr>
                <w:rFonts w:eastAsia="Times New Roman"/>
                <w:sz w:val="16"/>
                <w:szCs w:val="16"/>
              </w:rPr>
              <w:t>7 modules, ~25–30 min, 4–10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4F911D0" w14:textId="77777777" w:rsidR="00D33058" w:rsidRDefault="00D33058" w:rsidP="007762A2">
            <w:r>
              <w:rPr>
                <w:rFonts w:eastAsia="Times New Roman"/>
                <w:sz w:val="16"/>
                <w:szCs w:val="16"/>
              </w:rPr>
              <w:t>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22D4CDA"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EEA1D70" w14:textId="77777777" w:rsidR="00D33058" w:rsidRDefault="00D33058" w:rsidP="007762A2">
            <w:proofErr w:type="spellStart"/>
            <w:r>
              <w:rPr>
                <w:rFonts w:eastAsia="Times New Roman"/>
                <w:sz w:val="16"/>
                <w:szCs w:val="16"/>
              </w:rPr>
              <w:t>cr+ba+ps+rx+rp+hw</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6782E26"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5B8F4730" w14:textId="77777777" w:rsidR="00D33058" w:rsidRDefault="00D33058" w:rsidP="007762A2">
            <w:r>
              <w:rPr>
                <w:rFonts w:eastAsia="Times New Roman"/>
                <w:sz w:val="16"/>
                <w:szCs w:val="16"/>
              </w:rPr>
              <w:t>NA</w:t>
            </w:r>
          </w:p>
        </w:tc>
      </w:tr>
      <w:tr w:rsidR="00D33058" w14:paraId="791FC7FC"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103B8456" w14:textId="77777777" w:rsidR="00D33058" w:rsidRDefault="00D33058" w:rsidP="007762A2">
            <w:r>
              <w:rPr>
                <w:rFonts w:eastAsia="Times New Roman"/>
                <w:sz w:val="16"/>
                <w:szCs w:val="16"/>
              </w:rPr>
              <w:t>Stice et al. 2008 &amp; 2010</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6509AD4" w14:textId="77777777" w:rsidR="00D33058" w:rsidRDefault="00D33058" w:rsidP="007762A2">
            <w:r>
              <w:rPr>
                <w:rFonts w:eastAsia="Times New Roman"/>
                <w:sz w:val="16"/>
                <w:szCs w:val="16"/>
              </w:rPr>
              <w:t>US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6D508AB5" w14:textId="77777777" w:rsidR="00D33058" w:rsidRDefault="00D33058" w:rsidP="007762A2">
            <w:r>
              <w:rPr>
                <w:rFonts w:eastAsia="Times New Roman"/>
                <w:sz w:val="16"/>
                <w:szCs w:val="16"/>
              </w:rPr>
              <w:t>Feeling Good</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45E63DD6" w14:textId="77777777" w:rsidR="00D33058" w:rsidRDefault="00D33058" w:rsidP="007762A2">
            <w:r>
              <w:rPr>
                <w:rFonts w:eastAsia="Times New Roman"/>
                <w:sz w:val="16"/>
                <w:szCs w:val="16"/>
              </w:rPr>
              <w:t>14-19</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CDF0CCA" w14:textId="77777777" w:rsidR="00D33058" w:rsidRDefault="00D33058" w:rsidP="007762A2">
            <w:r>
              <w:rPr>
                <w:rFonts w:eastAsia="Times New Roman"/>
                <w:sz w:val="16"/>
                <w:szCs w:val="16"/>
              </w:rPr>
              <w:t>School (mailings, handbills, posters)</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03FA7741" w14:textId="77777777" w:rsidR="00D33058" w:rsidRDefault="00D33058" w:rsidP="007762A2">
            <w:r>
              <w:rPr>
                <w:rFonts w:eastAsia="Times New Roman"/>
                <w:sz w:val="16"/>
                <w:szCs w:val="16"/>
              </w:rPr>
              <w:t>CES-D ≥ 20; consent; current major depression excluded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ABDB23C"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1A6B756D" w14:textId="77777777" w:rsidR="00D33058" w:rsidRDefault="00D33058" w:rsidP="007762A2">
            <w:r>
              <w:rPr>
                <w:rFonts w:eastAsia="Times New Roman"/>
                <w:sz w:val="16"/>
                <w:szCs w:val="16"/>
              </w:rPr>
              <w:t>Self-paced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78490F8" w14:textId="77777777" w:rsidR="00D33058" w:rsidRDefault="00D33058" w:rsidP="007762A2">
            <w:r>
              <w:rPr>
                <w:rFonts w:eastAsia="Times New Roman"/>
                <w:sz w:val="16"/>
                <w:szCs w:val="16"/>
              </w:rPr>
              <w:t>NA</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3BA40AE" w14:textId="77777777" w:rsidR="00D33058" w:rsidRDefault="00D33058" w:rsidP="007762A2">
            <w:proofErr w:type="spellStart"/>
            <w:r>
              <w:rPr>
                <w:rFonts w:eastAsia="Times New Roman"/>
                <w:sz w:val="16"/>
                <w:szCs w:val="16"/>
              </w:rPr>
              <w:t>Biblio</w:t>
            </w:r>
            <w:proofErr w:type="spellEnd"/>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B500ABC" w14:textId="77777777" w:rsidR="00D33058" w:rsidRDefault="00D33058" w:rsidP="007762A2">
            <w:proofErr w:type="spellStart"/>
            <w:r>
              <w:rPr>
                <w:rFonts w:eastAsia="Times New Roman"/>
                <w:sz w:val="16"/>
                <w:szCs w:val="16"/>
              </w:rPr>
              <w:t>cr+ba+pe+hw+rp+ist</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8B898A1"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CC41329" w14:textId="77777777" w:rsidR="00D33058" w:rsidRDefault="00D33058" w:rsidP="007762A2">
            <w:r>
              <w:rPr>
                <w:rFonts w:eastAsia="Times New Roman"/>
                <w:sz w:val="16"/>
                <w:szCs w:val="16"/>
              </w:rPr>
              <w:t>NIH MH67183</w:t>
            </w:r>
          </w:p>
        </w:tc>
      </w:tr>
      <w:tr w:rsidR="00D33058" w14:paraId="33A9CFF9" w14:textId="77777777" w:rsidTr="00C57CE9">
        <w:trPr>
          <w:jc w:val="center"/>
        </w:trPr>
        <w:tc>
          <w:tcPr>
            <w:tcW w:w="1150" w:type="dxa"/>
            <w:tcBorders>
              <w:top w:val="none" w:sz="0" w:space="0" w:color="FFFFFF"/>
              <w:left w:val="nil"/>
              <w:bottom w:val="single" w:sz="8" w:space="0" w:color="000000"/>
              <w:right w:val="nil"/>
            </w:tcBorders>
            <w:tcMar>
              <w:top w:w="30" w:type="dxa"/>
              <w:left w:w="60" w:type="dxa"/>
              <w:bottom w:w="30" w:type="dxa"/>
              <w:right w:w="60" w:type="dxa"/>
            </w:tcMar>
          </w:tcPr>
          <w:p w14:paraId="5348024F" w14:textId="77777777" w:rsidR="00D33058" w:rsidRDefault="00D33058" w:rsidP="007762A2">
            <w:r>
              <w:rPr>
                <w:rFonts w:eastAsia="Times New Roman"/>
                <w:sz w:val="16"/>
                <w:szCs w:val="16"/>
              </w:rPr>
              <w:t>Wright et al. 2020</w:t>
            </w:r>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0C8D82F8" w14:textId="77777777" w:rsidR="00D33058" w:rsidRDefault="00D33058" w:rsidP="007762A2">
            <w:r>
              <w:rPr>
                <w:rFonts w:eastAsia="Times New Roman"/>
                <w:sz w:val="16"/>
                <w:szCs w:val="16"/>
              </w:rPr>
              <w:t>UK</w:t>
            </w:r>
          </w:p>
        </w:tc>
        <w:tc>
          <w:tcPr>
            <w:tcW w:w="941" w:type="dxa"/>
            <w:tcBorders>
              <w:top w:val="none" w:sz="0" w:space="0" w:color="FFFFFF"/>
              <w:left w:val="nil"/>
              <w:bottom w:val="single" w:sz="8" w:space="0" w:color="000000"/>
              <w:right w:val="nil"/>
            </w:tcBorders>
            <w:tcMar>
              <w:top w:w="30" w:type="dxa"/>
              <w:left w:w="60" w:type="dxa"/>
              <w:bottom w:w="30" w:type="dxa"/>
              <w:right w:w="60" w:type="dxa"/>
            </w:tcMar>
          </w:tcPr>
          <w:p w14:paraId="2BE617A5" w14:textId="77777777" w:rsidR="00D33058" w:rsidRDefault="00D33058" w:rsidP="007762A2">
            <w:r>
              <w:rPr>
                <w:rFonts w:eastAsia="Times New Roman"/>
                <w:sz w:val="16"/>
                <w:szCs w:val="16"/>
              </w:rPr>
              <w:t>Stressbusters</w:t>
            </w:r>
          </w:p>
        </w:tc>
        <w:tc>
          <w:tcPr>
            <w:tcW w:w="627" w:type="dxa"/>
            <w:tcBorders>
              <w:top w:val="none" w:sz="0" w:space="0" w:color="FFFFFF"/>
              <w:left w:val="nil"/>
              <w:bottom w:val="single" w:sz="8" w:space="0" w:color="000000"/>
              <w:right w:val="nil"/>
            </w:tcBorders>
            <w:tcMar>
              <w:top w:w="30" w:type="dxa"/>
              <w:left w:w="60" w:type="dxa"/>
              <w:bottom w:w="30" w:type="dxa"/>
              <w:right w:w="60" w:type="dxa"/>
            </w:tcMar>
          </w:tcPr>
          <w:p w14:paraId="3525ED95" w14:textId="77777777" w:rsidR="00D33058" w:rsidRDefault="00D33058" w:rsidP="007762A2">
            <w:r>
              <w:rPr>
                <w:rFonts w:eastAsia="Times New Roman"/>
                <w:sz w:val="16"/>
                <w:szCs w:val="16"/>
              </w:rPr>
              <w:t>12-18</w:t>
            </w:r>
          </w:p>
        </w:tc>
        <w:tc>
          <w:tcPr>
            <w:tcW w:w="1150" w:type="dxa"/>
            <w:tcBorders>
              <w:top w:val="none" w:sz="0" w:space="0" w:color="FFFFFF"/>
              <w:left w:val="nil"/>
              <w:bottom w:val="single" w:sz="8" w:space="0" w:color="000000"/>
              <w:right w:val="nil"/>
            </w:tcBorders>
            <w:tcMar>
              <w:top w:w="30" w:type="dxa"/>
              <w:left w:w="60" w:type="dxa"/>
              <w:bottom w:w="30" w:type="dxa"/>
              <w:right w:w="60" w:type="dxa"/>
            </w:tcMar>
          </w:tcPr>
          <w:p w14:paraId="0B184267" w14:textId="77777777" w:rsidR="00D33058" w:rsidRDefault="00D33058" w:rsidP="007762A2">
            <w:r>
              <w:rPr>
                <w:rFonts w:eastAsia="Times New Roman"/>
                <w:sz w:val="16"/>
                <w:szCs w:val="16"/>
              </w:rPr>
              <w:t>Clinical (CAMHS)</w:t>
            </w:r>
          </w:p>
        </w:tc>
        <w:tc>
          <w:tcPr>
            <w:tcW w:w="2087" w:type="dxa"/>
            <w:tcBorders>
              <w:top w:val="none" w:sz="0" w:space="0" w:color="FFFFFF"/>
              <w:left w:val="nil"/>
              <w:bottom w:val="single" w:sz="8" w:space="0" w:color="000000"/>
              <w:right w:val="nil"/>
            </w:tcBorders>
            <w:tcMar>
              <w:top w:w="30" w:type="dxa"/>
              <w:left w:w="60" w:type="dxa"/>
              <w:bottom w:w="30" w:type="dxa"/>
              <w:right w:w="60" w:type="dxa"/>
            </w:tcMar>
          </w:tcPr>
          <w:p w14:paraId="3CB811A8" w14:textId="77777777" w:rsidR="00D33058" w:rsidRDefault="00D33058" w:rsidP="007762A2">
            <w:r>
              <w:rPr>
                <w:rFonts w:eastAsia="Times New Roman"/>
                <w:sz w:val="16"/>
                <w:szCs w:val="16"/>
              </w:rPr>
              <w:t>MFQ ≥ 20; referred for low mood / depression; psychosis &amp; active suicidality excluded</w:t>
            </w:r>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7C8A2242" w14:textId="77777777" w:rsidR="00D33058" w:rsidRDefault="00D33058" w:rsidP="007762A2">
            <w:r>
              <w:rPr>
                <w:rFonts w:eastAsia="Times New Roman"/>
                <w:sz w:val="16"/>
                <w:szCs w:val="16"/>
              </w:rPr>
              <w:t>Severe</w:t>
            </w:r>
          </w:p>
        </w:tc>
        <w:tc>
          <w:tcPr>
            <w:tcW w:w="1254" w:type="dxa"/>
            <w:tcBorders>
              <w:top w:val="none" w:sz="0" w:space="0" w:color="FFFFFF"/>
              <w:left w:val="nil"/>
              <w:bottom w:val="single" w:sz="8" w:space="0" w:color="000000"/>
              <w:right w:val="nil"/>
            </w:tcBorders>
            <w:tcMar>
              <w:top w:w="30" w:type="dxa"/>
              <w:left w:w="60" w:type="dxa"/>
              <w:bottom w:w="30" w:type="dxa"/>
              <w:right w:w="60" w:type="dxa"/>
            </w:tcMar>
          </w:tcPr>
          <w:p w14:paraId="5A514213" w14:textId="77777777" w:rsidR="00D33058" w:rsidRDefault="00D33058" w:rsidP="007762A2">
            <w:r>
              <w:rPr>
                <w:rFonts w:eastAsia="Times New Roman"/>
                <w:sz w:val="16"/>
                <w:szCs w:val="16"/>
              </w:rPr>
              <w:t>8 sessions × 30–45 min</w:t>
            </w:r>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7A60B5BB" w14:textId="77777777" w:rsidR="00D33058" w:rsidRDefault="00D33058" w:rsidP="007762A2">
            <w:r>
              <w:rPr>
                <w:rFonts w:eastAsia="Times New Roman"/>
                <w:sz w:val="16"/>
                <w:szCs w:val="16"/>
              </w:rPr>
              <w:t>Tech</w:t>
            </w:r>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6B28B72D" w14:textId="77777777" w:rsidR="00D33058" w:rsidRDefault="00D33058" w:rsidP="007762A2">
            <w:r>
              <w:rPr>
                <w:rFonts w:eastAsia="Times New Roman"/>
                <w:sz w:val="16"/>
                <w:szCs w:val="16"/>
              </w:rPr>
              <w:t>Computer</w:t>
            </w:r>
          </w:p>
        </w:tc>
        <w:tc>
          <w:tcPr>
            <w:tcW w:w="1150" w:type="dxa"/>
            <w:tcBorders>
              <w:top w:val="none" w:sz="0" w:space="0" w:color="FFFFFF"/>
              <w:left w:val="nil"/>
              <w:bottom w:val="single" w:sz="8" w:space="0" w:color="000000"/>
              <w:right w:val="nil"/>
            </w:tcBorders>
            <w:tcMar>
              <w:top w:w="30" w:type="dxa"/>
              <w:left w:w="60" w:type="dxa"/>
              <w:bottom w:w="30" w:type="dxa"/>
              <w:right w:w="60" w:type="dxa"/>
            </w:tcMar>
          </w:tcPr>
          <w:p w14:paraId="14081716" w14:textId="77777777" w:rsidR="00D33058" w:rsidRDefault="00D33058" w:rsidP="007762A2">
            <w:proofErr w:type="spellStart"/>
            <w:r>
              <w:rPr>
                <w:rFonts w:eastAsia="Times New Roman"/>
                <w:sz w:val="16"/>
                <w:szCs w:val="16"/>
              </w:rPr>
              <w:t>cr+ba+ps+ist+pe+hw+rp</w:t>
            </w:r>
            <w:proofErr w:type="spellEnd"/>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156A6376" w14:textId="77777777" w:rsidR="00D33058" w:rsidRDefault="00D33058" w:rsidP="007762A2">
            <w:r>
              <w:rPr>
                <w:rFonts w:eastAsia="Times New Roman"/>
                <w:sz w:val="16"/>
                <w:szCs w:val="16"/>
              </w:rPr>
              <w:t>Journal</w:t>
            </w:r>
          </w:p>
        </w:tc>
        <w:tc>
          <w:tcPr>
            <w:tcW w:w="941" w:type="dxa"/>
            <w:tcBorders>
              <w:top w:val="none" w:sz="0" w:space="0" w:color="FFFFFF"/>
              <w:left w:val="nil"/>
              <w:bottom w:val="single" w:sz="8" w:space="0" w:color="000000"/>
              <w:right w:val="nil"/>
            </w:tcBorders>
            <w:tcMar>
              <w:top w:w="30" w:type="dxa"/>
              <w:left w:w="60" w:type="dxa"/>
              <w:bottom w:w="30" w:type="dxa"/>
              <w:right w:w="60" w:type="dxa"/>
            </w:tcMar>
          </w:tcPr>
          <w:p w14:paraId="2D766FBF" w14:textId="77777777" w:rsidR="00D33058" w:rsidRDefault="00D33058" w:rsidP="007762A2">
            <w:r>
              <w:rPr>
                <w:rFonts w:eastAsia="Times New Roman"/>
                <w:sz w:val="16"/>
                <w:szCs w:val="16"/>
              </w:rPr>
              <w:t xml:space="preserve">NIHR </w:t>
            </w:r>
            <w:proofErr w:type="spellStart"/>
            <w:r>
              <w:rPr>
                <w:rFonts w:eastAsia="Times New Roman"/>
                <w:sz w:val="16"/>
                <w:szCs w:val="16"/>
              </w:rPr>
              <w:t>RfPB</w:t>
            </w:r>
            <w:proofErr w:type="spellEnd"/>
            <w:r>
              <w:rPr>
                <w:rFonts w:eastAsia="Times New Roman"/>
                <w:sz w:val="16"/>
                <w:szCs w:val="16"/>
              </w:rPr>
              <w:t xml:space="preserve"> (PB-PG-0609-19295)</w:t>
            </w:r>
          </w:p>
        </w:tc>
      </w:tr>
    </w:tbl>
    <w:p w14:paraId="149C5847" w14:textId="21901ACF" w:rsidR="00D33058" w:rsidRDefault="00D33058" w:rsidP="00D33058">
      <w:pPr>
        <w:spacing w:before="120"/>
      </w:pPr>
      <w:r>
        <w:rPr>
          <w:rFonts w:eastAsia="Times New Roman"/>
          <w:i/>
          <w:iCs/>
          <w:sz w:val="16"/>
          <w:szCs w:val="16"/>
        </w:rPr>
        <w:t xml:space="preserve">Note. </w:t>
      </w:r>
      <w:proofErr w:type="spellStart"/>
      <w:r>
        <w:rPr>
          <w:rFonts w:eastAsia="Times New Roman"/>
          <w:sz w:val="16"/>
          <w:szCs w:val="16"/>
        </w:rPr>
        <w:t>cr</w:t>
      </w:r>
      <w:proofErr w:type="spellEnd"/>
      <w:r>
        <w:rPr>
          <w:rFonts w:eastAsia="Times New Roman"/>
          <w:sz w:val="16"/>
          <w:szCs w:val="16"/>
        </w:rPr>
        <w:t xml:space="preserve"> = cognitive restructuring; </w:t>
      </w:r>
      <w:proofErr w:type="spellStart"/>
      <w:r>
        <w:rPr>
          <w:rFonts w:eastAsia="Times New Roman"/>
          <w:sz w:val="16"/>
          <w:szCs w:val="16"/>
        </w:rPr>
        <w:t>ba</w:t>
      </w:r>
      <w:proofErr w:type="spellEnd"/>
      <w:r>
        <w:rPr>
          <w:rFonts w:eastAsia="Times New Roman"/>
          <w:sz w:val="16"/>
          <w:szCs w:val="16"/>
        </w:rPr>
        <w:t xml:space="preserve"> = behavioral activation; </w:t>
      </w:r>
      <w:proofErr w:type="spellStart"/>
      <w:r>
        <w:rPr>
          <w:rFonts w:eastAsia="Times New Roman"/>
          <w:sz w:val="16"/>
          <w:szCs w:val="16"/>
        </w:rPr>
        <w:t>ps</w:t>
      </w:r>
      <w:proofErr w:type="spellEnd"/>
      <w:r>
        <w:rPr>
          <w:rFonts w:eastAsia="Times New Roman"/>
          <w:sz w:val="16"/>
          <w:szCs w:val="16"/>
        </w:rPr>
        <w:t xml:space="preserve"> = problem solving; </w:t>
      </w:r>
      <w:proofErr w:type="spellStart"/>
      <w:r>
        <w:rPr>
          <w:rFonts w:eastAsia="Times New Roman"/>
          <w:sz w:val="16"/>
          <w:szCs w:val="16"/>
        </w:rPr>
        <w:t>rx</w:t>
      </w:r>
      <w:proofErr w:type="spellEnd"/>
      <w:r>
        <w:rPr>
          <w:rFonts w:eastAsia="Times New Roman"/>
          <w:sz w:val="16"/>
          <w:szCs w:val="16"/>
        </w:rPr>
        <w:t xml:space="preserve"> = relaxation; pe = psychoeducation; </w:t>
      </w:r>
      <w:proofErr w:type="spellStart"/>
      <w:r>
        <w:rPr>
          <w:rFonts w:eastAsia="Times New Roman"/>
          <w:sz w:val="16"/>
          <w:szCs w:val="16"/>
        </w:rPr>
        <w:t>hw</w:t>
      </w:r>
      <w:proofErr w:type="spellEnd"/>
      <w:r>
        <w:rPr>
          <w:rFonts w:eastAsia="Times New Roman"/>
          <w:sz w:val="16"/>
          <w:szCs w:val="16"/>
        </w:rPr>
        <w:t xml:space="preserve"> = homework; </w:t>
      </w:r>
      <w:proofErr w:type="spellStart"/>
      <w:r>
        <w:rPr>
          <w:rFonts w:eastAsia="Times New Roman"/>
          <w:sz w:val="16"/>
          <w:szCs w:val="16"/>
        </w:rPr>
        <w:t>rp</w:t>
      </w:r>
      <w:proofErr w:type="spellEnd"/>
      <w:r>
        <w:rPr>
          <w:rFonts w:eastAsia="Times New Roman"/>
          <w:sz w:val="16"/>
          <w:szCs w:val="16"/>
        </w:rPr>
        <w:t xml:space="preserve"> = relapse prevention; </w:t>
      </w:r>
      <w:proofErr w:type="spellStart"/>
      <w:r>
        <w:rPr>
          <w:rFonts w:eastAsia="Times New Roman"/>
          <w:sz w:val="16"/>
          <w:szCs w:val="16"/>
        </w:rPr>
        <w:t>ist</w:t>
      </w:r>
      <w:proofErr w:type="spellEnd"/>
      <w:r>
        <w:rPr>
          <w:rFonts w:eastAsia="Times New Roman"/>
          <w:sz w:val="16"/>
          <w:szCs w:val="16"/>
        </w:rPr>
        <w:t xml:space="preserve"> = interpersonal skills</w:t>
      </w:r>
      <w:r w:rsidR="008739E3">
        <w:rPr>
          <w:rFonts w:hint="eastAsia"/>
          <w:sz w:val="16"/>
          <w:szCs w:val="16"/>
        </w:rPr>
        <w:t xml:space="preserve"> </w:t>
      </w:r>
      <w:proofErr w:type="spellStart"/>
      <w:r w:rsidR="008739E3">
        <w:rPr>
          <w:rFonts w:hint="eastAsia"/>
          <w:sz w:val="16"/>
          <w:szCs w:val="16"/>
        </w:rPr>
        <w:t>traing</w:t>
      </w:r>
      <w:proofErr w:type="spellEnd"/>
      <w:r>
        <w:rPr>
          <w:rFonts w:eastAsia="Times New Roman"/>
          <w:sz w:val="16"/>
          <w:szCs w:val="16"/>
        </w:rPr>
        <w:t>; 3w = three-column thought record. Age range in years. NA = not available.</w:t>
      </w:r>
    </w:p>
    <w:p w14:paraId="7309A096" w14:textId="4CF366F2" w:rsidR="00D33058" w:rsidRDefault="00D33058">
      <w:pPr>
        <w:widowControl/>
        <w:sectPr w:rsidR="00D33058" w:rsidSect="00D33058">
          <w:pgSz w:w="15840" w:h="12240" w:orient="landscape"/>
          <w:pgMar w:top="1440" w:right="1440" w:bottom="1440" w:left="1440" w:header="708" w:footer="708" w:gutter="0"/>
          <w:pgNumType w:start="1"/>
          <w:cols w:space="720"/>
          <w:docGrid w:linePitch="360"/>
        </w:sectPr>
      </w:pPr>
    </w:p>
    <w:p w14:paraId="212ED172" w14:textId="1C25D92F" w:rsidR="00D33058" w:rsidRDefault="00D33058">
      <w:pPr>
        <w:widowControl/>
      </w:pPr>
    </w:p>
    <w:p w14:paraId="27E439E3" w14:textId="77777777" w:rsidR="00DB0C1E" w:rsidRPr="00DB0C1E" w:rsidRDefault="00DB0C1E" w:rsidP="00DB0C1E">
      <w:pPr>
        <w:spacing w:after="120" w:line="360" w:lineRule="auto"/>
        <w:ind w:firstLine="360"/>
        <w:jc w:val="both"/>
      </w:pPr>
    </w:p>
    <w:p w14:paraId="1B1051FB" w14:textId="1578372E" w:rsidR="000C3784" w:rsidRPr="00C3148A" w:rsidRDefault="00D450DC">
      <w:pPr>
        <w:pStyle w:val="2"/>
        <w:rPr>
          <w:rFonts w:eastAsiaTheme="minorEastAsia"/>
        </w:rPr>
      </w:pPr>
      <w:bookmarkStart w:id="41" w:name="_Hlk229404376"/>
      <w:r>
        <w:t xml:space="preserve">4.3. </w:t>
      </w:r>
      <w:r w:rsidR="009A6668" w:rsidRPr="009A6668">
        <w:t>Risk of Bias of Included Studies</w:t>
      </w:r>
    </w:p>
    <w:p w14:paraId="575F9255" w14:textId="692F6656" w:rsidR="007B5730" w:rsidRPr="007B5730" w:rsidRDefault="007B5730" w:rsidP="007B5730">
      <w:pPr>
        <w:spacing w:after="120" w:line="360" w:lineRule="auto"/>
        <w:ind w:firstLine="360"/>
        <w:jc w:val="both"/>
      </w:pPr>
      <w:bookmarkStart w:id="42" w:name="OLE_LINK47"/>
      <w:bookmarkStart w:id="43" w:name="OLE_LINK8"/>
      <w:bookmarkStart w:id="44" w:name="OLE_LINK4"/>
      <w:bookmarkEnd w:id="41"/>
      <w:r w:rsidRPr="007B5730">
        <w:t xml:space="preserve">Risk-of-bias judgements for all included studies are presented in Figure 2. Overall, most studies were judged as having some concerns. Specifically, </w:t>
      </w:r>
      <w:r w:rsidR="00EA32E7">
        <w:rPr>
          <w:rFonts w:hint="eastAsia"/>
        </w:rPr>
        <w:t>eight</w:t>
      </w:r>
      <w:r w:rsidRPr="007B5730">
        <w:t xml:space="preserve"> studies were rated as raising some concerns, </w:t>
      </w:r>
      <w:r w:rsidR="00EA32E7">
        <w:rPr>
          <w:rFonts w:hint="eastAsia"/>
        </w:rPr>
        <w:t>five</w:t>
      </w:r>
      <w:r w:rsidRPr="007B5730">
        <w:t xml:space="preserve"> were judged to be at high overall risk of bias, and two were judged to have low overall risk of bias.</w:t>
      </w:r>
    </w:p>
    <w:p w14:paraId="5084670F" w14:textId="77777777" w:rsidR="00EA32E7" w:rsidRDefault="00EA32E7" w:rsidP="007B5730">
      <w:pPr>
        <w:spacing w:after="120" w:line="360" w:lineRule="auto"/>
        <w:ind w:firstLine="360"/>
        <w:jc w:val="both"/>
      </w:pPr>
      <w:r w:rsidRPr="00EA32E7">
        <w:t>The domain most frequently judged as "some concerns" was Domain 2 (deviations from intended interventions). This pattern largely reflected the difficulty of blinding participants in unguided self-help interventions, particularly when these were compared against non-active conditions where participants could easily infer their group allocation. The same difficulty systematically affected Domain 4 (measurement of the outcome), since the bias of self-report measures may be amplified when participants are unblinded. Concerns regarding selection of the reported result also appeared in several studies, whereas concerns arising from the randomization process were less frequent.</w:t>
      </w:r>
    </w:p>
    <w:p w14:paraId="0C07644B" w14:textId="0B10D608" w:rsidR="00EA32E7" w:rsidRDefault="00EA32E7" w:rsidP="007B5730">
      <w:pPr>
        <w:spacing w:after="120" w:line="360" w:lineRule="auto"/>
        <w:ind w:firstLine="360"/>
        <w:jc w:val="both"/>
      </w:pPr>
      <w:r w:rsidRPr="00EA32E7">
        <w:t xml:space="preserve">Among the five studies at high overall risk of bias, the principal drivers were Domain 4 (unblinded self-report or clinician-rated outcomes) and Domain 3 (missing outcome data, typically high or differential attrition with completer-only or modified-ITT analysis). </w:t>
      </w:r>
      <w:r>
        <w:rPr>
          <w:rFonts w:hint="eastAsia"/>
        </w:rPr>
        <w:t>Notably, several of these high-risk rating stem</w:t>
      </w:r>
      <w:r w:rsidR="000F6555">
        <w:rPr>
          <w:rFonts w:hint="eastAsia"/>
        </w:rPr>
        <w:t>med</w:t>
      </w:r>
      <w:r>
        <w:rPr>
          <w:rFonts w:hint="eastAsia"/>
        </w:rPr>
        <w:t xml:space="preserve"> from </w:t>
      </w:r>
      <w:r>
        <w:t>structural</w:t>
      </w:r>
      <w:r>
        <w:rPr>
          <w:rFonts w:hint="eastAsia"/>
        </w:rPr>
        <w:t xml:space="preserve"> limitations inherent to unguided self-help trials, rather than from poor trial conduct. </w:t>
      </w:r>
    </w:p>
    <w:p w14:paraId="421A5AB9" w14:textId="7ADB9E20" w:rsidR="00BA57B8" w:rsidRDefault="00EA32E7" w:rsidP="007B5730">
      <w:pPr>
        <w:spacing w:after="120" w:line="360" w:lineRule="auto"/>
        <w:ind w:firstLine="360"/>
        <w:jc w:val="both"/>
      </w:pPr>
      <w:r>
        <w:rPr>
          <w:rFonts w:hint="eastAsia"/>
        </w:rPr>
        <w:t xml:space="preserve">Two studies (Smith et al., 2015; Stasiak et al., 2014) were judged at low overall risk, with adequately concealed randomization, low and </w:t>
      </w:r>
      <w:r>
        <w:t>balanced</w:t>
      </w:r>
      <w:r>
        <w:rPr>
          <w:rFonts w:hint="eastAsia"/>
        </w:rPr>
        <w:t xml:space="preserve"> attrition, appropriate handling of </w:t>
      </w:r>
      <w:proofErr w:type="spellStart"/>
      <w:r w:rsidR="000F6555">
        <w:rPr>
          <w:rFonts w:hint="eastAsia"/>
        </w:rPr>
        <w:t>med</w:t>
      </w:r>
      <w:r>
        <w:rPr>
          <w:rFonts w:hint="eastAsia"/>
        </w:rPr>
        <w:t>missing</w:t>
      </w:r>
      <w:proofErr w:type="spellEnd"/>
      <w:r>
        <w:rPr>
          <w:rFonts w:hint="eastAsia"/>
        </w:rPr>
        <w:t xml:space="preserve"> data, validated outcome </w:t>
      </w:r>
      <w:r>
        <w:t>measures</w:t>
      </w:r>
      <w:r>
        <w:rPr>
          <w:rFonts w:hint="eastAsia"/>
        </w:rPr>
        <w:t xml:space="preserve">, and pre-registered outcomes consistent with reporting. </w:t>
      </w:r>
      <w:r w:rsidR="007B5730" w:rsidRPr="007B5730">
        <w:t xml:space="preserve"> </w:t>
      </w:r>
    </w:p>
    <w:p w14:paraId="5AA1D571" w14:textId="243B4222" w:rsidR="007B5730" w:rsidRPr="007B5730" w:rsidRDefault="007B5730" w:rsidP="007B5730">
      <w:pPr>
        <w:spacing w:after="120" w:line="360" w:lineRule="auto"/>
        <w:ind w:firstLine="360"/>
        <w:jc w:val="both"/>
      </w:pPr>
      <w:r w:rsidRPr="007B5730">
        <w:t xml:space="preserve">Thus, while deviations from intended interventions were the most common source of </w:t>
      </w:r>
      <w:r w:rsidR="00BA57B8">
        <w:rPr>
          <w:rFonts w:hint="eastAsia"/>
        </w:rPr>
        <w:t>concerns</w:t>
      </w:r>
      <w:r w:rsidR="00EA32E7">
        <w:rPr>
          <w:rFonts w:hint="eastAsia"/>
        </w:rPr>
        <w:t xml:space="preserve"> overall</w:t>
      </w:r>
      <w:r w:rsidRPr="007B5730">
        <w:t xml:space="preserve">, </w:t>
      </w:r>
      <w:r w:rsidR="00EA32E7">
        <w:t>measurement</w:t>
      </w:r>
      <w:r w:rsidR="00EA32E7">
        <w:rPr>
          <w:rFonts w:hint="eastAsia"/>
        </w:rPr>
        <w:t xml:space="preserve"> of the outcome and missing outcome data were the principal source </w:t>
      </w:r>
      <w:r w:rsidRPr="007B5730">
        <w:t>of serious bias.</w:t>
      </w:r>
    </w:p>
    <w:bookmarkEnd w:id="42"/>
    <w:p w14:paraId="5478BF9B" w14:textId="77777777" w:rsidR="007B5730" w:rsidRPr="00EA32E7" w:rsidRDefault="007B5730" w:rsidP="00130DC3">
      <w:pPr>
        <w:spacing w:after="120" w:line="360" w:lineRule="auto"/>
        <w:ind w:firstLine="360"/>
        <w:jc w:val="both"/>
      </w:pPr>
    </w:p>
    <w:bookmarkEnd w:id="43"/>
    <w:p w14:paraId="26973DE4" w14:textId="30F71C81" w:rsidR="00CF54A4" w:rsidRPr="00130DC3" w:rsidRDefault="00CF54A4" w:rsidP="00CF54A4">
      <w:pPr>
        <w:rPr>
          <w:b/>
          <w:bCs/>
        </w:rPr>
      </w:pPr>
      <w:r>
        <w:rPr>
          <w:rFonts w:hint="eastAsia"/>
          <w:b/>
          <w:bCs/>
        </w:rPr>
        <w:t>Figure</w:t>
      </w:r>
      <w:r w:rsidRPr="007D6CC9">
        <w:rPr>
          <w:rFonts w:eastAsia="Times New Roman"/>
          <w:b/>
          <w:bCs/>
        </w:rPr>
        <w:t xml:space="preserve"> </w:t>
      </w:r>
      <w:r>
        <w:rPr>
          <w:rFonts w:hint="eastAsia"/>
          <w:b/>
          <w:bCs/>
        </w:rPr>
        <w:t>2</w:t>
      </w:r>
      <w:r w:rsidRPr="007D6CC9">
        <w:rPr>
          <w:rFonts w:eastAsia="Times New Roman"/>
          <w:b/>
          <w:bCs/>
        </w:rPr>
        <w:t>.</w:t>
      </w:r>
      <w:r w:rsidRPr="007D6CC9">
        <w:rPr>
          <w:rFonts w:hint="eastAsia"/>
          <w:b/>
          <w:bCs/>
        </w:rPr>
        <w:t xml:space="preserve"> </w:t>
      </w:r>
      <w:r w:rsidRPr="00CF54A4">
        <w:rPr>
          <w:b/>
          <w:bCs/>
        </w:rPr>
        <w:t>Risk of Bias Appraisal for Individual Studies</w:t>
      </w:r>
    </w:p>
    <w:bookmarkEnd w:id="44"/>
    <w:p w14:paraId="6010276A" w14:textId="3DEC4E89" w:rsidR="00D50755" w:rsidRPr="00D50755" w:rsidRDefault="00D50755">
      <w:pPr>
        <w:spacing w:after="120" w:line="360" w:lineRule="auto"/>
        <w:ind w:firstLine="360"/>
        <w:jc w:val="both"/>
      </w:pPr>
    </w:p>
    <w:p w14:paraId="3B5F04E7" w14:textId="3E412785" w:rsidR="007B2BEC" w:rsidRPr="00C3148A" w:rsidRDefault="008D5616" w:rsidP="00523784">
      <w:pPr>
        <w:spacing w:after="120" w:line="360" w:lineRule="auto"/>
        <w:ind w:firstLine="360"/>
        <w:jc w:val="center"/>
      </w:pPr>
      <w:r>
        <w:rPr>
          <w:noProof/>
        </w:rPr>
        <w:lastRenderedPageBreak/>
        <w:drawing>
          <wp:inline distT="0" distB="0" distL="0" distR="0" wp14:anchorId="1A1D7E42" wp14:editId="43C33CEB">
            <wp:extent cx="5943600" cy="2797175"/>
            <wp:effectExtent l="0" t="0" r="0" b="3175"/>
            <wp:docPr id="709228144" name="图片 9" descr="图表, 条形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228144" name="图片 9" descr="图表, 条形图&#10;&#10;描述已自动生成"/>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797175"/>
                    </a:xfrm>
                    <a:prstGeom prst="rect">
                      <a:avLst/>
                    </a:prstGeom>
                  </pic:spPr>
                </pic:pic>
              </a:graphicData>
            </a:graphic>
          </wp:inline>
        </w:drawing>
      </w:r>
      <w:r>
        <w:rPr>
          <w:noProof/>
        </w:rPr>
        <w:lastRenderedPageBreak/>
        <w:drawing>
          <wp:inline distT="0" distB="0" distL="0" distR="0" wp14:anchorId="6495FB65" wp14:editId="74DFAB80">
            <wp:extent cx="5943600" cy="7726680"/>
            <wp:effectExtent l="0" t="0" r="0" b="7620"/>
            <wp:docPr id="1329913804" name="图片 10" descr="图片包含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913804" name="图片 10" descr="图片包含 箱线图&#10;&#10;描述已自动生成"/>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7726680"/>
                    </a:xfrm>
                    <a:prstGeom prst="rect">
                      <a:avLst/>
                    </a:prstGeom>
                  </pic:spPr>
                </pic:pic>
              </a:graphicData>
            </a:graphic>
          </wp:inline>
        </w:drawing>
      </w:r>
    </w:p>
    <w:p w14:paraId="326D8597" w14:textId="77777777" w:rsidR="000C3784" w:rsidRDefault="00D450DC">
      <w:pPr>
        <w:pStyle w:val="2"/>
      </w:pPr>
      <w:bookmarkStart w:id="45" w:name="OLE_LINK36"/>
      <w:r>
        <w:lastRenderedPageBreak/>
        <w:t>4.4. Overall Effects at Post-Intervention and Follow-up</w:t>
      </w:r>
    </w:p>
    <w:p w14:paraId="4188138C" w14:textId="60C166FA" w:rsidR="002A153B" w:rsidRPr="00305721" w:rsidRDefault="00950BF3" w:rsidP="00305721">
      <w:pPr>
        <w:spacing w:after="120" w:line="360" w:lineRule="auto"/>
        <w:jc w:val="both"/>
        <w:rPr>
          <w:b/>
          <w:bCs/>
          <w:sz w:val="24"/>
          <w:szCs w:val="24"/>
        </w:rPr>
      </w:pPr>
      <w:bookmarkStart w:id="46" w:name="OLE_LINK19"/>
      <w:bookmarkStart w:id="47" w:name="OLE_LINK11"/>
      <w:r w:rsidRPr="00950BF3">
        <w:rPr>
          <w:rFonts w:hint="eastAsia"/>
          <w:b/>
          <w:bCs/>
          <w:sz w:val="24"/>
          <w:szCs w:val="24"/>
        </w:rPr>
        <w:t xml:space="preserve">4.4.1 </w:t>
      </w:r>
      <w:r w:rsidR="002A153B">
        <w:rPr>
          <w:rFonts w:hint="eastAsia"/>
          <w:b/>
          <w:bCs/>
          <w:sz w:val="24"/>
          <w:szCs w:val="24"/>
        </w:rPr>
        <w:t xml:space="preserve">Overall </w:t>
      </w:r>
      <w:r w:rsidRPr="00950BF3">
        <w:rPr>
          <w:rFonts w:hint="eastAsia"/>
          <w:b/>
          <w:bCs/>
          <w:sz w:val="24"/>
          <w:szCs w:val="24"/>
        </w:rPr>
        <w:t>Effects at post-intervention</w:t>
      </w:r>
    </w:p>
    <w:p w14:paraId="285EB87D" w14:textId="77777777" w:rsidR="0015256E" w:rsidRDefault="0015256E" w:rsidP="000332BE">
      <w:pPr>
        <w:spacing w:after="120" w:line="360" w:lineRule="auto"/>
        <w:ind w:firstLine="360"/>
        <w:jc w:val="both"/>
      </w:pPr>
      <w:bookmarkStart w:id="48" w:name="OLE_LINK34"/>
      <w:bookmarkStart w:id="49" w:name="OLE_LINK26"/>
      <w:bookmarkEnd w:id="46"/>
      <w:r w:rsidRPr="0015256E">
        <w:t xml:space="preserve">Fourteen studies contributed effect sizes at post-intervention, including 1,913 participants in total, with 944 participants in the intervention conditions and 969 in the control conditions. Under a random-effects model using the REML estimator and Hartung-Knapp adjustment, the pooled Hedges' </w:t>
      </w:r>
      <w:r w:rsidRPr="0015256E">
        <w:rPr>
          <w:i/>
          <w:iCs/>
        </w:rPr>
        <w:t>g</w:t>
      </w:r>
      <w:r w:rsidRPr="0015256E">
        <w:t xml:space="preserve"> was 0.27, 95% CI [0.06, 0.47], </w:t>
      </w:r>
      <w:proofErr w:type="gramStart"/>
      <w:r w:rsidRPr="00AD21B0">
        <w:rPr>
          <w:i/>
          <w:iCs/>
        </w:rPr>
        <w:t>t</w:t>
      </w:r>
      <w:r w:rsidRPr="0015256E">
        <w:t>(</w:t>
      </w:r>
      <w:proofErr w:type="gramEnd"/>
      <w:r w:rsidRPr="0015256E">
        <w:t xml:space="preserve">13) = 2.82, </w:t>
      </w:r>
      <w:r w:rsidRPr="0015256E">
        <w:rPr>
          <w:i/>
          <w:iCs/>
        </w:rPr>
        <w:t>p</w:t>
      </w:r>
      <w:r w:rsidRPr="0015256E">
        <w:t xml:space="preserve"> = .015, indicating a small but statistically significant benefit of unguided self-help CBT interventions over control conditions (Figure 3). Although small in magnitude, the pooled effect fell within the upper portion of the small range and approached the medium threshold according to empirically derived effect-size benchmarks for psychotherapy RCTs in children and adolescents (small = 0.21, medium = 0.34; Nordahl-Hansen et al., 2024).</w:t>
      </w:r>
    </w:p>
    <w:p w14:paraId="3D18E282" w14:textId="49C1BC39" w:rsidR="000C4420" w:rsidRDefault="000332BE" w:rsidP="000332BE">
      <w:pPr>
        <w:spacing w:after="120" w:line="360" w:lineRule="auto"/>
        <w:ind w:firstLine="360"/>
        <w:jc w:val="both"/>
      </w:pPr>
      <w:r w:rsidRPr="000332BE">
        <w:t xml:space="preserve">Inspection of the forest plot revealed substantial dispersion in individual study estimates, ranging from </w:t>
      </w:r>
      <w:r w:rsidRPr="007031B3">
        <w:rPr>
          <w:i/>
          <w:iCs/>
        </w:rPr>
        <w:t>g</w:t>
      </w:r>
      <w:r w:rsidRPr="000332BE">
        <w:t xml:space="preserve"> = −0.17 (O'Dea et al., 2020) to </w:t>
      </w:r>
      <w:r w:rsidRPr="007031B3">
        <w:rPr>
          <w:i/>
          <w:iCs/>
        </w:rPr>
        <w:t>g</w:t>
      </w:r>
      <w:r w:rsidRPr="000332BE">
        <w:t xml:space="preserve"> = 1.51 (Fleming et al., 2012). Of the 14 trials, 12 yielded point estimates favoring the intervention condition, </w:t>
      </w:r>
      <w:r w:rsidR="00F435D5" w:rsidRPr="00F435D5">
        <w:t xml:space="preserve">whereas two produced estimates that did not favor the intervention (O'Dea et al., 2020, </w:t>
      </w:r>
      <w:r w:rsidR="00F435D5" w:rsidRPr="00F435D5">
        <w:rPr>
          <w:i/>
          <w:iCs/>
        </w:rPr>
        <w:t>g</w:t>
      </w:r>
      <w:r w:rsidR="00F435D5" w:rsidRPr="00F435D5">
        <w:t xml:space="preserve"> = −0.17; </w:t>
      </w:r>
      <w:proofErr w:type="spellStart"/>
      <w:r w:rsidR="00F435D5" w:rsidRPr="00F435D5">
        <w:t>Poppelaars</w:t>
      </w:r>
      <w:proofErr w:type="spellEnd"/>
      <w:r w:rsidR="00F435D5" w:rsidRPr="00F435D5">
        <w:t xml:space="preserve"> et al., 2016, </w:t>
      </w:r>
      <w:r w:rsidR="00F435D5" w:rsidRPr="00F435D5">
        <w:rPr>
          <w:i/>
          <w:iCs/>
        </w:rPr>
        <w:t>g</w:t>
      </w:r>
      <w:r w:rsidR="00F435D5" w:rsidRPr="00F435D5">
        <w:t xml:space="preserve"> = −0.01)</w:t>
      </w:r>
      <w:r w:rsidRPr="000332BE">
        <w:t xml:space="preserve">. Five trials had confidence intervals that excluded zero (Ackerson et al., 1998; Fleming et al., 2012; </w:t>
      </w:r>
      <w:proofErr w:type="spellStart"/>
      <w:r w:rsidRPr="000332BE">
        <w:t>Makarushka</w:t>
      </w:r>
      <w:proofErr w:type="spellEnd"/>
      <w:r w:rsidRPr="000332BE">
        <w:t>, 201</w:t>
      </w:r>
      <w:r w:rsidR="00B0153C">
        <w:rPr>
          <w:rFonts w:hint="eastAsia"/>
        </w:rPr>
        <w:t>1</w:t>
      </w:r>
      <w:r w:rsidRPr="000332BE">
        <w:t>; Smith et al., 2015; O'Dea et al., 2025), whereas the remaining nine trials did not reach statistical significance at the individual-study level. Two trials, Ackerson et al. (1998) and Fleming et al. (2012), produced effect estimates substantially larger than most other studies, together with relatively wide confidence intervals, suggesting that they may have influenced the pooled estimate. Their influence is examined in the leave-one-out sensitivity analysis.</w:t>
      </w:r>
    </w:p>
    <w:p w14:paraId="4392EEF7" w14:textId="77777777" w:rsidR="00C61F6E" w:rsidRDefault="00C61F6E" w:rsidP="005B656D">
      <w:pPr>
        <w:spacing w:after="120" w:line="360" w:lineRule="auto"/>
        <w:jc w:val="both"/>
        <w:rPr>
          <w:b/>
          <w:bCs/>
          <w:noProof/>
        </w:rPr>
      </w:pPr>
    </w:p>
    <w:bookmarkEnd w:id="48"/>
    <w:p w14:paraId="7A1E7C5E" w14:textId="77777777" w:rsidR="00C61F6E" w:rsidRDefault="00C61F6E" w:rsidP="005B656D">
      <w:pPr>
        <w:spacing w:after="120" w:line="360" w:lineRule="auto"/>
        <w:jc w:val="both"/>
        <w:rPr>
          <w:b/>
          <w:bCs/>
          <w:noProof/>
        </w:rPr>
      </w:pPr>
    </w:p>
    <w:p w14:paraId="5F6EB6ED" w14:textId="77777777" w:rsidR="00C61F6E" w:rsidRDefault="00C61F6E" w:rsidP="005B656D">
      <w:pPr>
        <w:spacing w:after="120" w:line="360" w:lineRule="auto"/>
        <w:jc w:val="both"/>
        <w:rPr>
          <w:b/>
          <w:bCs/>
          <w:noProof/>
        </w:rPr>
      </w:pPr>
    </w:p>
    <w:p w14:paraId="1F066A69" w14:textId="77777777" w:rsidR="00C61F6E" w:rsidRDefault="00C61F6E" w:rsidP="005B656D">
      <w:pPr>
        <w:spacing w:after="120" w:line="360" w:lineRule="auto"/>
        <w:jc w:val="both"/>
        <w:rPr>
          <w:b/>
          <w:bCs/>
          <w:noProof/>
        </w:rPr>
      </w:pPr>
    </w:p>
    <w:p w14:paraId="5FEFBC60" w14:textId="77777777" w:rsidR="00C61F6E" w:rsidRDefault="00C61F6E" w:rsidP="005B656D">
      <w:pPr>
        <w:spacing w:after="120" w:line="360" w:lineRule="auto"/>
        <w:jc w:val="both"/>
        <w:rPr>
          <w:b/>
          <w:bCs/>
          <w:noProof/>
        </w:rPr>
      </w:pPr>
    </w:p>
    <w:p w14:paraId="147A2077" w14:textId="77777777" w:rsidR="00C61F6E" w:rsidRDefault="00C61F6E" w:rsidP="005B656D">
      <w:pPr>
        <w:spacing w:after="120" w:line="360" w:lineRule="auto"/>
        <w:jc w:val="both"/>
        <w:rPr>
          <w:b/>
          <w:bCs/>
          <w:noProof/>
        </w:rPr>
      </w:pPr>
    </w:p>
    <w:p w14:paraId="1C73A819" w14:textId="77777777" w:rsidR="00C61F6E" w:rsidRDefault="00C61F6E" w:rsidP="005B656D">
      <w:pPr>
        <w:spacing w:after="120" w:line="360" w:lineRule="auto"/>
        <w:jc w:val="both"/>
        <w:rPr>
          <w:b/>
          <w:bCs/>
          <w:noProof/>
        </w:rPr>
      </w:pPr>
    </w:p>
    <w:p w14:paraId="76486A4E" w14:textId="631A9618" w:rsidR="00C61F6E" w:rsidRDefault="00C61F6E" w:rsidP="005B656D">
      <w:pPr>
        <w:spacing w:after="120" w:line="360" w:lineRule="auto"/>
        <w:jc w:val="both"/>
        <w:rPr>
          <w:b/>
          <w:bCs/>
          <w:noProof/>
        </w:rPr>
      </w:pPr>
    </w:p>
    <w:p w14:paraId="047F961D" w14:textId="77777777" w:rsidR="00C61F6E" w:rsidRDefault="00C61F6E" w:rsidP="005B656D">
      <w:pPr>
        <w:spacing w:after="120" w:line="360" w:lineRule="auto"/>
        <w:jc w:val="both"/>
        <w:rPr>
          <w:b/>
          <w:bCs/>
          <w:noProof/>
        </w:rPr>
      </w:pPr>
    </w:p>
    <w:p w14:paraId="1B6A4CD8" w14:textId="77777777" w:rsidR="00C61F6E" w:rsidRDefault="00C61F6E" w:rsidP="005B656D">
      <w:pPr>
        <w:spacing w:after="120" w:line="360" w:lineRule="auto"/>
        <w:jc w:val="both"/>
        <w:rPr>
          <w:b/>
          <w:bCs/>
          <w:noProof/>
        </w:rPr>
      </w:pPr>
    </w:p>
    <w:p w14:paraId="5FDE8C21" w14:textId="77777777" w:rsidR="00C61F6E" w:rsidRDefault="00C61F6E" w:rsidP="005B656D">
      <w:pPr>
        <w:spacing w:after="120" w:line="360" w:lineRule="auto"/>
        <w:jc w:val="both"/>
        <w:rPr>
          <w:b/>
          <w:bCs/>
          <w:noProof/>
        </w:rPr>
      </w:pPr>
    </w:p>
    <w:p w14:paraId="1B8FA52F" w14:textId="77777777" w:rsidR="00C61F6E" w:rsidRDefault="00C61F6E" w:rsidP="005B656D">
      <w:pPr>
        <w:spacing w:after="120" w:line="360" w:lineRule="auto"/>
        <w:jc w:val="both"/>
        <w:rPr>
          <w:b/>
          <w:bCs/>
          <w:noProof/>
        </w:rPr>
      </w:pPr>
    </w:p>
    <w:p w14:paraId="2A7A8D23" w14:textId="77777777" w:rsidR="00C61F6E" w:rsidRDefault="00C61F6E" w:rsidP="005B656D">
      <w:pPr>
        <w:spacing w:after="120" w:line="360" w:lineRule="auto"/>
        <w:jc w:val="both"/>
        <w:rPr>
          <w:b/>
          <w:bCs/>
          <w:noProof/>
        </w:rPr>
      </w:pPr>
    </w:p>
    <w:p w14:paraId="534272D2" w14:textId="70C0AB5A" w:rsidR="005B656D" w:rsidRPr="00843F05" w:rsidRDefault="005B656D" w:rsidP="005B656D">
      <w:pPr>
        <w:spacing w:after="120" w:line="360" w:lineRule="auto"/>
        <w:jc w:val="both"/>
        <w:rPr>
          <w:b/>
          <w:bCs/>
          <w:noProof/>
        </w:rPr>
      </w:pPr>
      <w:r w:rsidRPr="00843F05">
        <w:rPr>
          <w:rFonts w:hint="eastAsia"/>
          <w:b/>
          <w:bCs/>
          <w:noProof/>
        </w:rPr>
        <w:t xml:space="preserve">Figure </w:t>
      </w:r>
      <w:r>
        <w:rPr>
          <w:rFonts w:hint="eastAsia"/>
          <w:b/>
          <w:bCs/>
          <w:noProof/>
        </w:rPr>
        <w:t>3</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sidRPr="008F4577">
        <w:rPr>
          <w:b/>
          <w:bCs/>
        </w:rPr>
        <w:t>Post-Intervention</w:t>
      </w:r>
    </w:p>
    <w:p w14:paraId="3BA8BC09" w14:textId="64615AD7" w:rsidR="005B656D" w:rsidRPr="005B656D" w:rsidRDefault="003A19D3" w:rsidP="005B656D">
      <w:pPr>
        <w:spacing w:after="120" w:line="360" w:lineRule="auto"/>
        <w:jc w:val="center"/>
      </w:pPr>
      <w:r>
        <w:rPr>
          <w:noProof/>
        </w:rPr>
        <w:drawing>
          <wp:inline distT="0" distB="0" distL="0" distR="0" wp14:anchorId="05E6D3D5" wp14:editId="7056E1B2">
            <wp:extent cx="5943600" cy="4517390"/>
            <wp:effectExtent l="0" t="0" r="0" b="0"/>
            <wp:docPr id="972825068" name="图片 6" descr="图片包含 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825068" name="图片 6" descr="图片包含 图表&#10;&#10;描述已自动生成"/>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4517390"/>
                    </a:xfrm>
                    <a:prstGeom prst="rect">
                      <a:avLst/>
                    </a:prstGeom>
                  </pic:spPr>
                </pic:pic>
              </a:graphicData>
            </a:graphic>
          </wp:inline>
        </w:drawing>
      </w:r>
    </w:p>
    <w:p w14:paraId="55B35D59" w14:textId="652A5368" w:rsidR="005B656D" w:rsidRDefault="005B656D" w:rsidP="005B656D">
      <w:pPr>
        <w:spacing w:after="120" w:line="276" w:lineRule="auto"/>
        <w:jc w:val="both"/>
      </w:pPr>
      <w:bookmarkStart w:id="50" w:name="OLE_LINK24"/>
      <w:r>
        <w:rPr>
          <w:rFonts w:hint="eastAsia"/>
          <w:i/>
          <w:iCs/>
        </w:rPr>
        <w:t xml:space="preserve">Note. </w:t>
      </w:r>
      <w:r w:rsidR="00E445B7" w:rsidRPr="00E445B7">
        <w:t>Forest plot of unguided self-help CBT interventions versus control at post-intervention. Squares = individual effect sizes (Hedges' g), sized by study weight; horizontal lines = 95% CIs; diamond = pooled estimate (random-effects model, REML estimator, Hartung-Knapp adjustment); bar below diamond = 95% prediction interval. I² = heterogeneity; τ² = between-study variance.</w:t>
      </w:r>
    </w:p>
    <w:bookmarkEnd w:id="50"/>
    <w:p w14:paraId="3ADDB349" w14:textId="77777777" w:rsidR="005B656D" w:rsidRDefault="005B656D" w:rsidP="005B656D">
      <w:pPr>
        <w:spacing w:after="120" w:line="276" w:lineRule="auto"/>
        <w:jc w:val="both"/>
      </w:pPr>
    </w:p>
    <w:p w14:paraId="0DF7DDB0" w14:textId="2DEBF41C" w:rsidR="000332BE" w:rsidRPr="000332BE" w:rsidRDefault="000332BE" w:rsidP="000332BE">
      <w:pPr>
        <w:spacing w:after="120" w:line="360" w:lineRule="auto"/>
        <w:ind w:firstLine="360"/>
        <w:jc w:val="both"/>
      </w:pPr>
      <w:bookmarkStart w:id="51" w:name="OLE_LINK13"/>
      <w:r w:rsidRPr="000332BE">
        <w:t xml:space="preserve">Between-study heterogeneity was moderate to high, </w:t>
      </w:r>
      <w:proofErr w:type="gramStart"/>
      <w:r w:rsidRPr="007031B3">
        <w:rPr>
          <w:i/>
          <w:iCs/>
        </w:rPr>
        <w:t>Q</w:t>
      </w:r>
      <w:r w:rsidRPr="000332BE">
        <w:t>(</w:t>
      </w:r>
      <w:proofErr w:type="gramEnd"/>
      <w:r w:rsidRPr="000332BE">
        <w:t>13) = 35.</w:t>
      </w:r>
      <w:r w:rsidR="00657D11">
        <w:rPr>
          <w:rFonts w:hint="eastAsia"/>
        </w:rPr>
        <w:t>39</w:t>
      </w:r>
      <w:r w:rsidRPr="000332BE">
        <w:t xml:space="preserve">, </w:t>
      </w:r>
      <w:r w:rsidRPr="007031B3">
        <w:rPr>
          <w:i/>
          <w:iCs/>
        </w:rPr>
        <w:t>p</w:t>
      </w:r>
      <w:r w:rsidRPr="000332BE">
        <w:t xml:space="preserve"> &lt; .001, </w:t>
      </w:r>
      <w:r w:rsidRPr="007031B3">
        <w:rPr>
          <w:i/>
          <w:iCs/>
        </w:rPr>
        <w:t>I</w:t>
      </w:r>
      <w:r w:rsidRPr="000332BE">
        <w:t>² = 63.</w:t>
      </w:r>
      <w:r w:rsidR="00657D11">
        <w:rPr>
          <w:rFonts w:hint="eastAsia"/>
        </w:rPr>
        <w:t>3</w:t>
      </w:r>
      <w:r w:rsidRPr="000332BE">
        <w:t>%, 95% CI [34.</w:t>
      </w:r>
      <w:r w:rsidR="00657D11">
        <w:rPr>
          <w:rFonts w:hint="eastAsia"/>
        </w:rPr>
        <w:t>7</w:t>
      </w:r>
      <w:r w:rsidRPr="000332BE">
        <w:t>%, 79.</w:t>
      </w:r>
      <w:r w:rsidR="00657D11">
        <w:rPr>
          <w:rFonts w:hint="eastAsia"/>
        </w:rPr>
        <w:t>3</w:t>
      </w:r>
      <w:r w:rsidRPr="000332BE">
        <w:t>%], τ² = 0.055, 95% CI [0.020, 0.42</w:t>
      </w:r>
      <w:r w:rsidR="00657D11">
        <w:rPr>
          <w:rFonts w:hint="eastAsia"/>
        </w:rPr>
        <w:t>4</w:t>
      </w:r>
      <w:r w:rsidRPr="000332BE">
        <w:t>]. The corresponding τ value was 0.23, indicating that the dispersion of true effects across studies was nearly as large as the pooled effect itself (</w:t>
      </w:r>
      <w:r w:rsidRPr="007031B3">
        <w:rPr>
          <w:i/>
          <w:iCs/>
        </w:rPr>
        <w:t>g</w:t>
      </w:r>
      <w:r w:rsidRPr="000332BE">
        <w:t xml:space="preserve"> = 0.27). This implies that even after accounting for sampling error, substantial between-study variability in true effects remained. The 95% prediction interval ranged from −0.27 to 0.80, suggesting that the true effect in a comparable </w:t>
      </w:r>
      <w:r w:rsidRPr="000332BE">
        <w:lastRenderedPageBreak/>
        <w:t>future trial could plausibly range from a small negative effect to a moderate</w:t>
      </w:r>
      <w:r w:rsidR="00094F1D">
        <w:rPr>
          <w:rFonts w:hint="eastAsia"/>
        </w:rPr>
        <w:t>-to-large</w:t>
      </w:r>
      <w:r w:rsidRPr="000332BE">
        <w:t xml:space="preserve"> positive effect. This variability supports the need for the subgroup analyses, exploratory meta-regression, and sensitivity analyses.</w:t>
      </w:r>
    </w:p>
    <w:p w14:paraId="79007343" w14:textId="0B35C0EC" w:rsidR="000332BE" w:rsidRPr="000332BE" w:rsidRDefault="000332BE" w:rsidP="000332BE">
      <w:pPr>
        <w:spacing w:after="120" w:line="360" w:lineRule="auto"/>
        <w:ind w:firstLine="360"/>
        <w:jc w:val="both"/>
      </w:pPr>
      <w:r w:rsidRPr="000332BE">
        <w:t>Whether this post-intervention effect was sustained across follow-up timepoints is examined in the subsequent sections</w:t>
      </w:r>
      <w:r w:rsidR="00FF376F">
        <w:rPr>
          <w:rFonts w:hint="eastAsia"/>
        </w:rPr>
        <w:t>.</w:t>
      </w:r>
    </w:p>
    <w:bookmarkEnd w:id="51"/>
    <w:p w14:paraId="7105641E" w14:textId="77777777" w:rsidR="00DB320F" w:rsidRPr="000332BE" w:rsidRDefault="00DB320F" w:rsidP="00305721">
      <w:pPr>
        <w:spacing w:after="120" w:line="360" w:lineRule="auto"/>
        <w:jc w:val="both"/>
        <w:rPr>
          <w:b/>
          <w:bCs/>
        </w:rPr>
      </w:pPr>
    </w:p>
    <w:p w14:paraId="06B31B37" w14:textId="13241876" w:rsidR="008F4577" w:rsidRPr="00305721" w:rsidRDefault="008F4577" w:rsidP="00305721">
      <w:pPr>
        <w:spacing w:after="120" w:line="360" w:lineRule="auto"/>
        <w:jc w:val="both"/>
      </w:pPr>
      <w:bookmarkStart w:id="52" w:name="OLE_LINK37"/>
      <w:bookmarkStart w:id="53" w:name="OLE_LINK20"/>
      <w:bookmarkStart w:id="54" w:name="OLE_LINK16"/>
      <w:r w:rsidRPr="008F4577">
        <w:rPr>
          <w:rFonts w:hint="eastAsia"/>
          <w:b/>
          <w:bCs/>
        </w:rPr>
        <w:t xml:space="preserve">Table 2. </w:t>
      </w:r>
      <w:r w:rsidR="00FC372A" w:rsidRPr="00FC372A">
        <w:rPr>
          <w:b/>
          <w:bCs/>
        </w:rPr>
        <w:t xml:space="preserve">Pooled Effects and Heterogeneity at </w:t>
      </w:r>
      <w:r w:rsidR="00FC372A">
        <w:rPr>
          <w:rFonts w:hint="eastAsia"/>
          <w:b/>
          <w:bCs/>
        </w:rPr>
        <w:t>Post-Intervention</w:t>
      </w:r>
    </w:p>
    <w:tbl>
      <w:tblPr>
        <w:tblStyle w:val="af1"/>
        <w:tblW w:w="0" w:type="auto"/>
        <w:tblBorders>
          <w:top w:val="single" w:sz="8" w:space="0" w:color="auto"/>
          <w:left w:val="none" w:sz="0" w:space="0" w:color="auto"/>
          <w:bottom w:val="single" w:sz="8" w:space="0" w:color="auto"/>
          <w:right w:val="none" w:sz="0" w:space="0" w:color="auto"/>
          <w:insideV w:val="none" w:sz="0" w:space="0" w:color="auto"/>
        </w:tblBorders>
        <w:tblLayout w:type="fixed"/>
        <w:tblLook w:val="04A0" w:firstRow="1" w:lastRow="0" w:firstColumn="1" w:lastColumn="0" w:noHBand="0" w:noVBand="1"/>
      </w:tblPr>
      <w:tblGrid>
        <w:gridCol w:w="425"/>
        <w:gridCol w:w="1560"/>
        <w:gridCol w:w="992"/>
        <w:gridCol w:w="567"/>
        <w:gridCol w:w="1418"/>
        <w:gridCol w:w="992"/>
        <w:gridCol w:w="1276"/>
        <w:gridCol w:w="708"/>
        <w:gridCol w:w="1422"/>
      </w:tblGrid>
      <w:tr w:rsidR="007D1E2E" w:rsidRPr="007D1E2E" w14:paraId="6104253E" w14:textId="7D0F36A7" w:rsidTr="007D1E2E">
        <w:tc>
          <w:tcPr>
            <w:tcW w:w="425" w:type="dxa"/>
          </w:tcPr>
          <w:p w14:paraId="53536D7C" w14:textId="1C4E8CE5" w:rsidR="00573723" w:rsidRPr="007D1E2E" w:rsidRDefault="00573723" w:rsidP="00060371">
            <w:pPr>
              <w:spacing w:after="120" w:line="360" w:lineRule="auto"/>
              <w:jc w:val="center"/>
              <w:rPr>
                <w:b/>
                <w:bCs/>
                <w:i/>
                <w:iCs/>
                <w:sz w:val="20"/>
                <w:szCs w:val="20"/>
              </w:rPr>
            </w:pPr>
            <w:r w:rsidRPr="007D1E2E">
              <w:rPr>
                <w:rFonts w:hint="eastAsia"/>
                <w:b/>
                <w:bCs/>
                <w:i/>
                <w:iCs/>
                <w:sz w:val="20"/>
                <w:szCs w:val="20"/>
              </w:rPr>
              <w:t>k</w:t>
            </w:r>
          </w:p>
        </w:tc>
        <w:tc>
          <w:tcPr>
            <w:tcW w:w="1560" w:type="dxa"/>
          </w:tcPr>
          <w:p w14:paraId="4ED9F110" w14:textId="77777777" w:rsidR="007D1E2E" w:rsidRDefault="00573723" w:rsidP="00060371">
            <w:pPr>
              <w:spacing w:after="120" w:line="360" w:lineRule="auto"/>
              <w:jc w:val="center"/>
              <w:rPr>
                <w:b/>
                <w:bCs/>
                <w:sz w:val="20"/>
                <w:szCs w:val="20"/>
              </w:rPr>
            </w:pPr>
            <w:r w:rsidRPr="007D1E2E">
              <w:rPr>
                <w:b/>
                <w:bCs/>
                <w:sz w:val="20"/>
                <w:szCs w:val="20"/>
              </w:rPr>
              <w:t xml:space="preserve">Hedges’ </w:t>
            </w:r>
            <w:r w:rsidRPr="007D1E2E">
              <w:rPr>
                <w:b/>
                <w:bCs/>
                <w:i/>
                <w:iCs/>
                <w:sz w:val="20"/>
                <w:szCs w:val="20"/>
              </w:rPr>
              <w:t>g</w:t>
            </w:r>
            <w:r w:rsidRPr="007D1E2E">
              <w:rPr>
                <w:b/>
                <w:bCs/>
                <w:sz w:val="20"/>
                <w:szCs w:val="20"/>
              </w:rPr>
              <w:t xml:space="preserve"> </w:t>
            </w:r>
          </w:p>
          <w:p w14:paraId="429C1320" w14:textId="1DBBF605" w:rsidR="00573723" w:rsidRPr="007D1E2E" w:rsidRDefault="00573723" w:rsidP="00060371">
            <w:pPr>
              <w:spacing w:after="120" w:line="360" w:lineRule="auto"/>
              <w:jc w:val="center"/>
              <w:rPr>
                <w:b/>
                <w:bCs/>
                <w:i/>
                <w:iCs/>
                <w:sz w:val="20"/>
                <w:szCs w:val="20"/>
              </w:rPr>
            </w:pPr>
            <w:r w:rsidRPr="007D1E2E">
              <w:rPr>
                <w:rFonts w:hint="eastAsia"/>
                <w:b/>
                <w:bCs/>
                <w:sz w:val="20"/>
                <w:szCs w:val="20"/>
              </w:rPr>
              <w:t>[</w:t>
            </w:r>
            <w:r w:rsidRPr="007D1E2E">
              <w:rPr>
                <w:b/>
                <w:bCs/>
                <w:sz w:val="20"/>
                <w:szCs w:val="20"/>
              </w:rPr>
              <w:t>95% CI</w:t>
            </w:r>
            <w:r w:rsidRPr="007D1E2E">
              <w:rPr>
                <w:rFonts w:hint="eastAsia"/>
                <w:b/>
                <w:bCs/>
                <w:sz w:val="20"/>
                <w:szCs w:val="20"/>
              </w:rPr>
              <w:t>]</w:t>
            </w:r>
          </w:p>
        </w:tc>
        <w:tc>
          <w:tcPr>
            <w:tcW w:w="992" w:type="dxa"/>
          </w:tcPr>
          <w:p w14:paraId="78968DBC" w14:textId="08ECFBDB" w:rsidR="00573723" w:rsidRPr="007D1E2E" w:rsidRDefault="00573723" w:rsidP="00060371">
            <w:pPr>
              <w:spacing w:after="120" w:line="360" w:lineRule="auto"/>
              <w:jc w:val="center"/>
              <w:rPr>
                <w:b/>
                <w:bCs/>
                <w:i/>
                <w:iCs/>
                <w:sz w:val="20"/>
                <w:szCs w:val="20"/>
              </w:rPr>
            </w:pPr>
            <w:r w:rsidRPr="007D1E2E">
              <w:rPr>
                <w:rFonts w:hint="eastAsia"/>
                <w:b/>
                <w:bCs/>
                <w:i/>
                <w:iCs/>
                <w:sz w:val="20"/>
                <w:szCs w:val="20"/>
              </w:rPr>
              <w:t>t (</w:t>
            </w:r>
            <w:proofErr w:type="spellStart"/>
            <w:r w:rsidRPr="007D1E2E">
              <w:rPr>
                <w:rFonts w:hint="eastAsia"/>
                <w:b/>
                <w:bCs/>
                <w:sz w:val="20"/>
                <w:szCs w:val="20"/>
              </w:rPr>
              <w:t>df</w:t>
            </w:r>
            <w:proofErr w:type="spellEnd"/>
            <w:r w:rsidRPr="007D1E2E">
              <w:rPr>
                <w:rFonts w:hint="eastAsia"/>
                <w:b/>
                <w:bCs/>
                <w:i/>
                <w:iCs/>
                <w:sz w:val="20"/>
                <w:szCs w:val="20"/>
              </w:rPr>
              <w:t>)</w:t>
            </w:r>
          </w:p>
        </w:tc>
        <w:tc>
          <w:tcPr>
            <w:tcW w:w="567" w:type="dxa"/>
          </w:tcPr>
          <w:p w14:paraId="70EDE863" w14:textId="72097CF6" w:rsidR="00573723" w:rsidRPr="007D1E2E" w:rsidRDefault="00573723" w:rsidP="00060371">
            <w:pPr>
              <w:spacing w:after="120" w:line="360" w:lineRule="auto"/>
              <w:jc w:val="center"/>
              <w:rPr>
                <w:b/>
                <w:bCs/>
                <w:i/>
                <w:iCs/>
                <w:sz w:val="20"/>
                <w:szCs w:val="20"/>
              </w:rPr>
            </w:pPr>
            <w:r w:rsidRPr="007D1E2E">
              <w:rPr>
                <w:rFonts w:hint="eastAsia"/>
                <w:b/>
                <w:bCs/>
                <w:i/>
                <w:iCs/>
                <w:sz w:val="20"/>
                <w:szCs w:val="20"/>
              </w:rPr>
              <w:t>p</w:t>
            </w:r>
          </w:p>
        </w:tc>
        <w:tc>
          <w:tcPr>
            <w:tcW w:w="1418" w:type="dxa"/>
          </w:tcPr>
          <w:p w14:paraId="0E7935AB" w14:textId="48BD9179" w:rsidR="00573723" w:rsidRPr="007D1E2E" w:rsidRDefault="00573723" w:rsidP="00060371">
            <w:pPr>
              <w:spacing w:after="120" w:line="360" w:lineRule="auto"/>
              <w:jc w:val="center"/>
              <w:rPr>
                <w:b/>
                <w:bCs/>
                <w:sz w:val="20"/>
                <w:szCs w:val="20"/>
              </w:rPr>
            </w:pPr>
            <w:r w:rsidRPr="007D1E2E">
              <w:rPr>
                <w:rFonts w:hint="eastAsia"/>
                <w:b/>
                <w:bCs/>
                <w:i/>
                <w:iCs/>
                <w:sz w:val="20"/>
                <w:szCs w:val="20"/>
              </w:rPr>
              <w:t>Q</w:t>
            </w:r>
            <w:r w:rsidRPr="007D1E2E">
              <w:rPr>
                <w:rFonts w:hint="eastAsia"/>
                <w:b/>
                <w:bCs/>
                <w:sz w:val="20"/>
                <w:szCs w:val="20"/>
              </w:rPr>
              <w:t xml:space="preserve"> (</w:t>
            </w:r>
            <w:proofErr w:type="spellStart"/>
            <w:r w:rsidRPr="007D1E2E">
              <w:rPr>
                <w:rFonts w:hint="eastAsia"/>
                <w:b/>
                <w:bCs/>
                <w:sz w:val="20"/>
                <w:szCs w:val="20"/>
              </w:rPr>
              <w:t>df</w:t>
            </w:r>
            <w:proofErr w:type="spellEnd"/>
            <w:r w:rsidRPr="007D1E2E">
              <w:rPr>
                <w:rFonts w:hint="eastAsia"/>
                <w:b/>
                <w:bCs/>
                <w:sz w:val="20"/>
                <w:szCs w:val="20"/>
              </w:rPr>
              <w:t>)</w:t>
            </w:r>
          </w:p>
        </w:tc>
        <w:tc>
          <w:tcPr>
            <w:tcW w:w="992" w:type="dxa"/>
          </w:tcPr>
          <w:p w14:paraId="73DAD6DE" w14:textId="5D670DE5" w:rsidR="00573723" w:rsidRPr="007D1E2E" w:rsidRDefault="00573723" w:rsidP="009E6CC9">
            <w:pPr>
              <w:spacing w:after="120" w:line="360" w:lineRule="auto"/>
              <w:jc w:val="center"/>
              <w:rPr>
                <w:b/>
                <w:bCs/>
                <w:i/>
                <w:iCs/>
                <w:sz w:val="20"/>
                <w:szCs w:val="20"/>
              </w:rPr>
            </w:pPr>
            <w:r w:rsidRPr="007D1E2E">
              <w:rPr>
                <w:rFonts w:hint="eastAsia"/>
                <w:b/>
                <w:bCs/>
                <w:i/>
                <w:iCs/>
                <w:sz w:val="20"/>
                <w:szCs w:val="20"/>
              </w:rPr>
              <w:t xml:space="preserve">p </w:t>
            </w:r>
            <w:r w:rsidRPr="007D1E2E">
              <w:rPr>
                <w:rFonts w:hint="eastAsia"/>
                <w:b/>
                <w:bCs/>
                <w:sz w:val="20"/>
                <w:szCs w:val="20"/>
              </w:rPr>
              <w:t>(</w:t>
            </w:r>
            <w:r w:rsidRPr="007D1E2E">
              <w:rPr>
                <w:rFonts w:hint="eastAsia"/>
                <w:b/>
                <w:bCs/>
                <w:i/>
                <w:iCs/>
                <w:sz w:val="20"/>
                <w:szCs w:val="20"/>
              </w:rPr>
              <w:t>Q)</w:t>
            </w:r>
          </w:p>
        </w:tc>
        <w:tc>
          <w:tcPr>
            <w:tcW w:w="1276" w:type="dxa"/>
          </w:tcPr>
          <w:p w14:paraId="55DE6804" w14:textId="77777777" w:rsidR="007D1E2E" w:rsidRPr="007D1E2E" w:rsidRDefault="00573723" w:rsidP="00060371">
            <w:pPr>
              <w:spacing w:after="120" w:line="360" w:lineRule="auto"/>
              <w:jc w:val="center"/>
              <w:rPr>
                <w:b/>
                <w:bCs/>
                <w:i/>
                <w:iCs/>
                <w:sz w:val="20"/>
                <w:szCs w:val="20"/>
              </w:rPr>
            </w:pPr>
            <w:r w:rsidRPr="007D1E2E">
              <w:rPr>
                <w:b/>
                <w:bCs/>
                <w:i/>
                <w:iCs/>
                <w:sz w:val="20"/>
                <w:szCs w:val="20"/>
              </w:rPr>
              <w:t>I</w:t>
            </w:r>
            <w:r w:rsidRPr="007D1E2E">
              <w:rPr>
                <w:b/>
                <w:bCs/>
                <w:sz w:val="20"/>
                <w:szCs w:val="20"/>
              </w:rPr>
              <w:t>²</w:t>
            </w:r>
            <w:r w:rsidRPr="007D1E2E">
              <w:rPr>
                <w:b/>
                <w:bCs/>
                <w:i/>
                <w:iCs/>
                <w:sz w:val="20"/>
                <w:szCs w:val="20"/>
              </w:rPr>
              <w:t xml:space="preserve"> </w:t>
            </w:r>
          </w:p>
          <w:p w14:paraId="42C860B4" w14:textId="2B221723" w:rsidR="00573723" w:rsidRPr="007D1E2E" w:rsidRDefault="00573723" w:rsidP="00060371">
            <w:pPr>
              <w:spacing w:after="120" w:line="360" w:lineRule="auto"/>
              <w:jc w:val="center"/>
              <w:rPr>
                <w:b/>
                <w:bCs/>
                <w:sz w:val="20"/>
                <w:szCs w:val="20"/>
              </w:rPr>
            </w:pPr>
            <w:r w:rsidRPr="007D1E2E">
              <w:rPr>
                <w:b/>
                <w:bCs/>
                <w:sz w:val="20"/>
                <w:szCs w:val="20"/>
              </w:rPr>
              <w:t>[95% CI]</w:t>
            </w:r>
          </w:p>
        </w:tc>
        <w:tc>
          <w:tcPr>
            <w:tcW w:w="708" w:type="dxa"/>
          </w:tcPr>
          <w:p w14:paraId="1C32B987" w14:textId="62A6525B" w:rsidR="00573723" w:rsidRPr="007D1E2E" w:rsidRDefault="00573723" w:rsidP="00060371">
            <w:pPr>
              <w:spacing w:after="120" w:line="360" w:lineRule="auto"/>
              <w:jc w:val="center"/>
              <w:rPr>
                <w:b/>
                <w:bCs/>
                <w:i/>
                <w:iCs/>
                <w:sz w:val="20"/>
                <w:szCs w:val="20"/>
              </w:rPr>
            </w:pPr>
            <w:bookmarkStart w:id="55" w:name="OLE_LINK12"/>
            <w:r w:rsidRPr="007D1E2E">
              <w:rPr>
                <w:b/>
                <w:bCs/>
                <w:sz w:val="20"/>
                <w:szCs w:val="20"/>
              </w:rPr>
              <w:t>τ</w:t>
            </w:r>
            <w:r w:rsidRPr="007D1E2E">
              <w:rPr>
                <w:rFonts w:hint="eastAsia"/>
                <w:b/>
                <w:bCs/>
                <w:sz w:val="20"/>
                <w:szCs w:val="20"/>
                <w:vertAlign w:val="superscript"/>
              </w:rPr>
              <w:t>2</w:t>
            </w:r>
            <w:bookmarkEnd w:id="55"/>
          </w:p>
        </w:tc>
        <w:tc>
          <w:tcPr>
            <w:tcW w:w="1422" w:type="dxa"/>
          </w:tcPr>
          <w:p w14:paraId="4BB0A146" w14:textId="2BFB03A3" w:rsidR="00573723" w:rsidRPr="007D1E2E" w:rsidRDefault="00573723" w:rsidP="00060371">
            <w:pPr>
              <w:spacing w:after="120" w:line="360" w:lineRule="auto"/>
              <w:jc w:val="center"/>
              <w:rPr>
                <w:b/>
                <w:bCs/>
                <w:sz w:val="20"/>
                <w:szCs w:val="20"/>
              </w:rPr>
            </w:pPr>
            <w:r w:rsidRPr="007D1E2E">
              <w:rPr>
                <w:b/>
                <w:bCs/>
                <w:sz w:val="20"/>
                <w:szCs w:val="20"/>
              </w:rPr>
              <w:t>95% PI</w:t>
            </w:r>
          </w:p>
        </w:tc>
      </w:tr>
      <w:tr w:rsidR="007D1E2E" w:rsidRPr="007D1E2E" w14:paraId="010CD3CA" w14:textId="5227D6F7" w:rsidTr="007D1E2E">
        <w:tc>
          <w:tcPr>
            <w:tcW w:w="425" w:type="dxa"/>
          </w:tcPr>
          <w:p w14:paraId="77159403" w14:textId="0264952B" w:rsidR="00573723" w:rsidRPr="007D1E2E" w:rsidRDefault="00573723" w:rsidP="00573723">
            <w:pPr>
              <w:spacing w:after="120" w:line="360" w:lineRule="auto"/>
              <w:jc w:val="center"/>
              <w:rPr>
                <w:sz w:val="20"/>
                <w:szCs w:val="20"/>
              </w:rPr>
            </w:pPr>
            <w:r w:rsidRPr="007D1E2E">
              <w:rPr>
                <w:rFonts w:hint="eastAsia"/>
                <w:sz w:val="20"/>
                <w:szCs w:val="20"/>
              </w:rPr>
              <w:t>14</w:t>
            </w:r>
          </w:p>
        </w:tc>
        <w:tc>
          <w:tcPr>
            <w:tcW w:w="1560" w:type="dxa"/>
          </w:tcPr>
          <w:p w14:paraId="2289C2EB" w14:textId="77777777" w:rsidR="007D1E2E" w:rsidRDefault="00573723" w:rsidP="00573723">
            <w:pPr>
              <w:spacing w:after="120" w:line="360" w:lineRule="auto"/>
              <w:jc w:val="center"/>
              <w:rPr>
                <w:sz w:val="20"/>
                <w:szCs w:val="20"/>
              </w:rPr>
            </w:pPr>
            <w:bookmarkStart w:id="56" w:name="OLE_LINK48"/>
            <w:r w:rsidRPr="007D1E2E">
              <w:rPr>
                <w:rFonts w:hint="eastAsia"/>
                <w:sz w:val="20"/>
                <w:szCs w:val="20"/>
              </w:rPr>
              <w:t>0.2</w:t>
            </w:r>
            <w:r w:rsidR="00B2388E" w:rsidRPr="007D1E2E">
              <w:rPr>
                <w:rFonts w:hint="eastAsia"/>
                <w:sz w:val="20"/>
                <w:szCs w:val="20"/>
              </w:rPr>
              <w:t>68</w:t>
            </w:r>
            <w:r w:rsidRPr="007D1E2E">
              <w:rPr>
                <w:rFonts w:hint="eastAsia"/>
                <w:sz w:val="20"/>
                <w:szCs w:val="20"/>
              </w:rPr>
              <w:t xml:space="preserve"> </w:t>
            </w:r>
          </w:p>
          <w:p w14:paraId="11DC24CA" w14:textId="5DBFCF8A" w:rsidR="00573723" w:rsidRPr="007D1E2E" w:rsidRDefault="00573723" w:rsidP="00573723">
            <w:pPr>
              <w:spacing w:after="120" w:line="360" w:lineRule="auto"/>
              <w:jc w:val="center"/>
              <w:rPr>
                <w:sz w:val="20"/>
                <w:szCs w:val="20"/>
              </w:rPr>
            </w:pPr>
            <w:r w:rsidRPr="007D1E2E">
              <w:rPr>
                <w:rFonts w:hint="eastAsia"/>
                <w:sz w:val="20"/>
                <w:szCs w:val="20"/>
              </w:rPr>
              <w:t>[</w:t>
            </w:r>
            <w:r w:rsidRPr="007D1E2E">
              <w:rPr>
                <w:sz w:val="20"/>
                <w:szCs w:val="20"/>
              </w:rPr>
              <w:t>0.06</w:t>
            </w:r>
            <w:r w:rsidRPr="007D1E2E">
              <w:rPr>
                <w:rFonts w:hint="eastAsia"/>
                <w:sz w:val="20"/>
                <w:szCs w:val="20"/>
              </w:rPr>
              <w:t xml:space="preserve">, </w:t>
            </w:r>
            <w:r w:rsidRPr="007D1E2E">
              <w:rPr>
                <w:sz w:val="20"/>
                <w:szCs w:val="20"/>
              </w:rPr>
              <w:t>0.47</w:t>
            </w:r>
            <w:r w:rsidRPr="007D1E2E">
              <w:rPr>
                <w:rFonts w:hint="eastAsia"/>
                <w:sz w:val="20"/>
                <w:szCs w:val="20"/>
              </w:rPr>
              <w:t>]</w:t>
            </w:r>
            <w:bookmarkEnd w:id="56"/>
          </w:p>
        </w:tc>
        <w:tc>
          <w:tcPr>
            <w:tcW w:w="992" w:type="dxa"/>
          </w:tcPr>
          <w:p w14:paraId="457C09DD" w14:textId="45C9F30D" w:rsidR="00573723" w:rsidRPr="007D1E2E" w:rsidRDefault="00573723" w:rsidP="00573723">
            <w:pPr>
              <w:spacing w:after="120" w:line="360" w:lineRule="auto"/>
              <w:jc w:val="center"/>
              <w:rPr>
                <w:sz w:val="20"/>
                <w:szCs w:val="20"/>
              </w:rPr>
            </w:pPr>
            <w:r w:rsidRPr="007D1E2E">
              <w:rPr>
                <w:rFonts w:hint="eastAsia"/>
                <w:sz w:val="20"/>
                <w:szCs w:val="20"/>
              </w:rPr>
              <w:t>2.8</w:t>
            </w:r>
            <w:r w:rsidR="00F435D5" w:rsidRPr="007D1E2E">
              <w:rPr>
                <w:rFonts w:hint="eastAsia"/>
                <w:sz w:val="20"/>
                <w:szCs w:val="20"/>
              </w:rPr>
              <w:t>2</w:t>
            </w:r>
            <w:r w:rsidRPr="007D1E2E">
              <w:rPr>
                <w:rFonts w:hint="eastAsia"/>
                <w:sz w:val="20"/>
                <w:szCs w:val="20"/>
              </w:rPr>
              <w:t>(13)</w:t>
            </w:r>
          </w:p>
        </w:tc>
        <w:tc>
          <w:tcPr>
            <w:tcW w:w="567" w:type="dxa"/>
          </w:tcPr>
          <w:p w14:paraId="78FF37B8" w14:textId="2754AB19" w:rsidR="00573723" w:rsidRPr="007D1E2E" w:rsidRDefault="00573723" w:rsidP="00573723">
            <w:pPr>
              <w:spacing w:after="120" w:line="360" w:lineRule="auto"/>
              <w:jc w:val="center"/>
              <w:rPr>
                <w:sz w:val="20"/>
                <w:szCs w:val="20"/>
              </w:rPr>
            </w:pPr>
            <w:r w:rsidRPr="007D1E2E">
              <w:rPr>
                <w:rFonts w:hint="eastAsia"/>
                <w:sz w:val="20"/>
                <w:szCs w:val="20"/>
              </w:rPr>
              <w:t>.015</w:t>
            </w:r>
          </w:p>
        </w:tc>
        <w:tc>
          <w:tcPr>
            <w:tcW w:w="1418" w:type="dxa"/>
          </w:tcPr>
          <w:p w14:paraId="06B54D9E" w14:textId="04FF895C" w:rsidR="00573723" w:rsidRPr="007D1E2E" w:rsidRDefault="00573723" w:rsidP="00573723">
            <w:pPr>
              <w:spacing w:after="120" w:line="360" w:lineRule="auto"/>
              <w:jc w:val="center"/>
              <w:rPr>
                <w:sz w:val="20"/>
                <w:szCs w:val="20"/>
              </w:rPr>
            </w:pPr>
            <w:r w:rsidRPr="007D1E2E">
              <w:rPr>
                <w:sz w:val="20"/>
                <w:szCs w:val="20"/>
              </w:rPr>
              <w:t>35.</w:t>
            </w:r>
            <w:r w:rsidR="00657D11" w:rsidRPr="007D1E2E">
              <w:rPr>
                <w:rFonts w:hint="eastAsia"/>
                <w:sz w:val="20"/>
                <w:szCs w:val="20"/>
              </w:rPr>
              <w:t>39</w:t>
            </w:r>
            <w:r w:rsidRPr="007D1E2E">
              <w:rPr>
                <w:rFonts w:hint="eastAsia"/>
                <w:sz w:val="20"/>
                <w:szCs w:val="20"/>
              </w:rPr>
              <w:t xml:space="preserve"> (13)</w:t>
            </w:r>
          </w:p>
          <w:p w14:paraId="0F14A795" w14:textId="7953EB24" w:rsidR="00573723" w:rsidRPr="007D1E2E" w:rsidRDefault="00573723" w:rsidP="00573723">
            <w:pPr>
              <w:spacing w:after="120" w:line="360" w:lineRule="auto"/>
              <w:jc w:val="center"/>
              <w:rPr>
                <w:sz w:val="20"/>
                <w:szCs w:val="20"/>
              </w:rPr>
            </w:pPr>
          </w:p>
        </w:tc>
        <w:tc>
          <w:tcPr>
            <w:tcW w:w="992" w:type="dxa"/>
          </w:tcPr>
          <w:p w14:paraId="0B14E93D" w14:textId="1CF147E2" w:rsidR="00573723" w:rsidRPr="007D1E2E" w:rsidRDefault="00573723" w:rsidP="005B467D">
            <w:pPr>
              <w:spacing w:after="120" w:line="360" w:lineRule="auto"/>
              <w:jc w:val="center"/>
              <w:rPr>
                <w:sz w:val="20"/>
                <w:szCs w:val="20"/>
              </w:rPr>
            </w:pPr>
            <w:r w:rsidRPr="007D1E2E">
              <w:rPr>
                <w:sz w:val="20"/>
                <w:szCs w:val="20"/>
              </w:rPr>
              <w:t>&lt; .001</w:t>
            </w:r>
          </w:p>
        </w:tc>
        <w:tc>
          <w:tcPr>
            <w:tcW w:w="1276" w:type="dxa"/>
          </w:tcPr>
          <w:p w14:paraId="17B98E7E" w14:textId="7B5E35B0" w:rsidR="00573723" w:rsidRPr="007D1E2E" w:rsidRDefault="00573723" w:rsidP="00573723">
            <w:pPr>
              <w:spacing w:after="120" w:line="360" w:lineRule="auto"/>
              <w:jc w:val="center"/>
              <w:rPr>
                <w:sz w:val="20"/>
                <w:szCs w:val="20"/>
              </w:rPr>
            </w:pPr>
            <w:r w:rsidRPr="007D1E2E">
              <w:rPr>
                <w:sz w:val="20"/>
                <w:szCs w:val="20"/>
              </w:rPr>
              <w:t>63.</w:t>
            </w:r>
            <w:r w:rsidR="00F435D5" w:rsidRPr="007D1E2E">
              <w:rPr>
                <w:rFonts w:hint="eastAsia"/>
                <w:sz w:val="20"/>
                <w:szCs w:val="20"/>
              </w:rPr>
              <w:t>3</w:t>
            </w:r>
            <w:r w:rsidRPr="007D1E2E">
              <w:rPr>
                <w:sz w:val="20"/>
                <w:szCs w:val="20"/>
              </w:rPr>
              <w:t>%</w:t>
            </w:r>
          </w:p>
          <w:p w14:paraId="42932AC4" w14:textId="701F73C0" w:rsidR="00573723" w:rsidRPr="007D1E2E" w:rsidRDefault="00573723" w:rsidP="00573723">
            <w:pPr>
              <w:spacing w:after="120" w:line="360" w:lineRule="auto"/>
              <w:jc w:val="center"/>
              <w:rPr>
                <w:sz w:val="20"/>
                <w:szCs w:val="20"/>
              </w:rPr>
            </w:pPr>
            <w:r w:rsidRPr="007D1E2E">
              <w:rPr>
                <w:sz w:val="20"/>
                <w:szCs w:val="20"/>
              </w:rPr>
              <w:t>[34.</w:t>
            </w:r>
            <w:r w:rsidR="00657D11" w:rsidRPr="007D1E2E">
              <w:rPr>
                <w:rFonts w:hint="eastAsia"/>
                <w:sz w:val="20"/>
                <w:szCs w:val="20"/>
              </w:rPr>
              <w:t>7</w:t>
            </w:r>
            <w:r w:rsidRPr="007D1E2E">
              <w:rPr>
                <w:sz w:val="20"/>
                <w:szCs w:val="20"/>
              </w:rPr>
              <w:t>, 79.</w:t>
            </w:r>
            <w:r w:rsidR="00657D11" w:rsidRPr="007D1E2E">
              <w:rPr>
                <w:rFonts w:hint="eastAsia"/>
                <w:sz w:val="20"/>
                <w:szCs w:val="20"/>
              </w:rPr>
              <w:t>3</w:t>
            </w:r>
            <w:r w:rsidRPr="007D1E2E">
              <w:rPr>
                <w:sz w:val="20"/>
                <w:szCs w:val="20"/>
              </w:rPr>
              <w:t>]</w:t>
            </w:r>
          </w:p>
        </w:tc>
        <w:tc>
          <w:tcPr>
            <w:tcW w:w="708" w:type="dxa"/>
          </w:tcPr>
          <w:p w14:paraId="22DC85FC" w14:textId="4DFAB690" w:rsidR="00573723" w:rsidRPr="007D1E2E" w:rsidRDefault="00573723" w:rsidP="00573723">
            <w:pPr>
              <w:spacing w:after="120" w:line="360" w:lineRule="auto"/>
              <w:jc w:val="center"/>
              <w:rPr>
                <w:sz w:val="20"/>
                <w:szCs w:val="20"/>
              </w:rPr>
            </w:pPr>
            <w:r w:rsidRPr="007D1E2E">
              <w:rPr>
                <w:sz w:val="20"/>
                <w:szCs w:val="20"/>
              </w:rPr>
              <w:t>0.055</w:t>
            </w:r>
          </w:p>
        </w:tc>
        <w:tc>
          <w:tcPr>
            <w:tcW w:w="1422" w:type="dxa"/>
          </w:tcPr>
          <w:p w14:paraId="5D6EA815" w14:textId="5016FDA5" w:rsidR="00573723" w:rsidRPr="007D1E2E" w:rsidRDefault="00573723" w:rsidP="00573723">
            <w:pPr>
              <w:spacing w:after="120" w:line="360" w:lineRule="auto"/>
              <w:jc w:val="center"/>
              <w:rPr>
                <w:sz w:val="20"/>
                <w:szCs w:val="20"/>
              </w:rPr>
            </w:pPr>
            <w:bookmarkStart w:id="57" w:name="OLE_LINK49"/>
            <w:r w:rsidRPr="007D1E2E">
              <w:rPr>
                <w:sz w:val="20"/>
                <w:szCs w:val="20"/>
              </w:rPr>
              <w:t>[−0.27, 0.80]</w:t>
            </w:r>
            <w:bookmarkEnd w:id="57"/>
          </w:p>
        </w:tc>
      </w:tr>
    </w:tbl>
    <w:bookmarkEnd w:id="52"/>
    <w:p w14:paraId="08805127" w14:textId="76838959" w:rsidR="002A153B" w:rsidRPr="00843F05" w:rsidRDefault="00C16B32" w:rsidP="004357BA">
      <w:pPr>
        <w:spacing w:after="120" w:line="276" w:lineRule="auto"/>
        <w:jc w:val="both"/>
      </w:pPr>
      <w:r w:rsidRPr="00C16B32">
        <w:rPr>
          <w:i/>
          <w:iCs/>
        </w:rPr>
        <w:t>Note.</w:t>
      </w:r>
      <w:r w:rsidRPr="00C16B32">
        <w:t xml:space="preserve"> k = number of studies; CI = confidence interval; PI = prediction interval. Pooled estimates were computed using a random-effects model with REML estimator and Hartung-Knapp adjustment.</w:t>
      </w:r>
      <w:bookmarkEnd w:id="53"/>
    </w:p>
    <w:bookmarkEnd w:id="47"/>
    <w:bookmarkEnd w:id="49"/>
    <w:bookmarkEnd w:id="54"/>
    <w:p w14:paraId="58CC1B65" w14:textId="396BACF2" w:rsidR="00950BF3" w:rsidRDefault="00DE4D8D" w:rsidP="00950BF3">
      <w:pPr>
        <w:spacing w:after="120" w:line="360" w:lineRule="auto"/>
        <w:jc w:val="both"/>
        <w:rPr>
          <w:b/>
          <w:bCs/>
          <w:sz w:val="24"/>
          <w:szCs w:val="24"/>
        </w:rPr>
      </w:pPr>
      <w:r>
        <w:rPr>
          <w:b/>
          <w:bCs/>
          <w:sz w:val="24"/>
          <w:szCs w:val="24"/>
        </w:rPr>
        <w:tab/>
      </w:r>
    </w:p>
    <w:p w14:paraId="2D70B750" w14:textId="77777777" w:rsidR="000332BE" w:rsidRPr="00950BF3" w:rsidRDefault="000332BE" w:rsidP="00950BF3">
      <w:pPr>
        <w:spacing w:after="120" w:line="360" w:lineRule="auto"/>
        <w:jc w:val="both"/>
        <w:rPr>
          <w:b/>
          <w:bCs/>
          <w:sz w:val="24"/>
          <w:szCs w:val="24"/>
        </w:rPr>
      </w:pPr>
    </w:p>
    <w:p w14:paraId="1910DC66" w14:textId="5FB56B97" w:rsidR="00950BF3" w:rsidRDefault="00950BF3" w:rsidP="00950BF3">
      <w:pPr>
        <w:spacing w:after="120" w:line="360" w:lineRule="auto"/>
        <w:jc w:val="both"/>
        <w:rPr>
          <w:b/>
          <w:bCs/>
          <w:sz w:val="24"/>
          <w:szCs w:val="24"/>
        </w:rPr>
      </w:pPr>
      <w:r w:rsidRPr="00950BF3">
        <w:rPr>
          <w:rFonts w:hint="eastAsia"/>
          <w:b/>
          <w:bCs/>
          <w:sz w:val="24"/>
          <w:szCs w:val="24"/>
        </w:rPr>
        <w:t>4.4.2 Overall Effects for different Lengths of follow-up</w:t>
      </w:r>
    </w:p>
    <w:p w14:paraId="272623ED" w14:textId="77777777" w:rsidR="00307741" w:rsidRPr="00307741" w:rsidRDefault="00307741" w:rsidP="00DB6FE5">
      <w:pPr>
        <w:spacing w:after="120" w:line="360" w:lineRule="auto"/>
        <w:ind w:firstLine="360"/>
        <w:jc w:val="both"/>
        <w:rPr>
          <w:b/>
          <w:bCs/>
        </w:rPr>
      </w:pPr>
      <w:bookmarkStart w:id="58" w:name="OLE_LINK27"/>
      <w:r w:rsidRPr="00307741">
        <w:rPr>
          <w:rFonts w:hint="eastAsia"/>
          <w:b/>
          <w:bCs/>
        </w:rPr>
        <w:t>Short-term follow-up</w:t>
      </w:r>
    </w:p>
    <w:bookmarkEnd w:id="58"/>
    <w:p w14:paraId="4F496608" w14:textId="482BD33B" w:rsidR="00057441" w:rsidRDefault="00DB6FE5" w:rsidP="00057441">
      <w:pPr>
        <w:spacing w:after="120" w:line="360" w:lineRule="auto"/>
        <w:ind w:firstLine="360"/>
        <w:jc w:val="both"/>
      </w:pPr>
      <w:r>
        <w:rPr>
          <w:rFonts w:hint="eastAsia"/>
        </w:rPr>
        <w:t xml:space="preserve"> </w:t>
      </w:r>
      <w:bookmarkStart w:id="59" w:name="OLE_LINK29"/>
      <w:r w:rsidR="00E5102A">
        <w:rPr>
          <w:rFonts w:hint="eastAsia"/>
        </w:rPr>
        <w:t>Four</w:t>
      </w:r>
      <w:r w:rsidR="00307741">
        <w:rPr>
          <w:rFonts w:hint="eastAsia"/>
        </w:rPr>
        <w:t xml:space="preserve"> studies (</w:t>
      </w:r>
      <w:r w:rsidR="00254017">
        <w:rPr>
          <w:rFonts w:hint="eastAsia"/>
        </w:rPr>
        <w:t>Ranney et al., 2018</w:t>
      </w:r>
      <w:r w:rsidR="00307741" w:rsidRPr="00307741">
        <w:t xml:space="preserve">; </w:t>
      </w:r>
      <w:proofErr w:type="spellStart"/>
      <w:r w:rsidR="00307741" w:rsidRPr="00307741">
        <w:t>Poppelaars</w:t>
      </w:r>
      <w:proofErr w:type="spellEnd"/>
      <w:r w:rsidR="00307741" w:rsidRPr="00307741">
        <w:t xml:space="preserve"> et al., 2016; Stasiak et al., 2014</w:t>
      </w:r>
      <w:r w:rsidR="00254017">
        <w:rPr>
          <w:rFonts w:hint="eastAsia"/>
        </w:rPr>
        <w:t>; O</w:t>
      </w:r>
      <w:r w:rsidR="00254017">
        <w:t>’</w:t>
      </w:r>
      <w:r w:rsidR="00254017">
        <w:rPr>
          <w:rFonts w:hint="eastAsia"/>
        </w:rPr>
        <w:t>Dea et al., 2025</w:t>
      </w:r>
      <w:r w:rsidR="00307741">
        <w:rPr>
          <w:rFonts w:hint="eastAsia"/>
        </w:rPr>
        <w:t>) contributed effect sizes at short-term follow-up (</w:t>
      </w:r>
      <w:r w:rsidR="00254017">
        <w:rPr>
          <w:rFonts w:hint="eastAsia"/>
        </w:rPr>
        <w:t>&lt;6</w:t>
      </w:r>
      <w:r w:rsidR="00057441" w:rsidRPr="00057441">
        <w:t xml:space="preserve"> months post-intervention)</w:t>
      </w:r>
      <w:r w:rsidR="00057441">
        <w:rPr>
          <w:rFonts w:hint="eastAsia"/>
        </w:rPr>
        <w:t xml:space="preserve">. </w:t>
      </w:r>
      <w:r w:rsidR="00057441" w:rsidRPr="00057441">
        <w:t xml:space="preserve">Under a random-effects model with REML estimator and Hartung-Knapp adjustment, </w:t>
      </w:r>
      <w:r w:rsidR="00C95639" w:rsidRPr="00C95639">
        <w:t xml:space="preserve">the pooled effect was small and positive but did not reach statistical significance </w:t>
      </w:r>
      <w:r w:rsidR="00C95639" w:rsidRPr="00057441">
        <w:t xml:space="preserve">(Hedges' </w:t>
      </w:r>
      <w:r w:rsidR="00C95639" w:rsidRPr="00C95639">
        <w:rPr>
          <w:i/>
          <w:iCs/>
        </w:rPr>
        <w:t>g</w:t>
      </w:r>
      <w:r w:rsidR="00C95639" w:rsidRPr="00057441">
        <w:t xml:space="preserve"> </w:t>
      </w:r>
      <w:r w:rsidR="00C95639">
        <w:rPr>
          <w:rFonts w:hint="eastAsia"/>
        </w:rPr>
        <w:t>=</w:t>
      </w:r>
      <w:r w:rsidR="00C95639" w:rsidRPr="00057441">
        <w:t xml:space="preserve"> 0.</w:t>
      </w:r>
      <w:r w:rsidR="00C95639">
        <w:rPr>
          <w:rFonts w:hint="eastAsia"/>
        </w:rPr>
        <w:t xml:space="preserve">12, </w:t>
      </w:r>
      <w:r w:rsidR="00C95639" w:rsidRPr="00057441">
        <w:t>95% CI [−0.</w:t>
      </w:r>
      <w:r w:rsidR="00C95639">
        <w:rPr>
          <w:rFonts w:hint="eastAsia"/>
        </w:rPr>
        <w:t>07</w:t>
      </w:r>
      <w:r w:rsidR="00C95639" w:rsidRPr="00057441">
        <w:t>, 0.3</w:t>
      </w:r>
      <w:r w:rsidR="00C95639">
        <w:rPr>
          <w:rFonts w:hint="eastAsia"/>
        </w:rPr>
        <w:t>1</w:t>
      </w:r>
      <w:r w:rsidR="00C95639" w:rsidRPr="00057441">
        <w:t xml:space="preserve">], </w:t>
      </w:r>
      <w:proofErr w:type="gramStart"/>
      <w:r w:rsidR="00C95639" w:rsidRPr="00057441">
        <w:t>t(</w:t>
      </w:r>
      <w:proofErr w:type="gramEnd"/>
      <w:r w:rsidR="00C95639">
        <w:rPr>
          <w:rFonts w:hint="eastAsia"/>
        </w:rPr>
        <w:t>3</w:t>
      </w:r>
      <w:r w:rsidR="00C95639" w:rsidRPr="00057441">
        <w:t xml:space="preserve">) = </w:t>
      </w:r>
      <w:r w:rsidR="00C95639">
        <w:rPr>
          <w:rFonts w:hint="eastAsia"/>
        </w:rPr>
        <w:t>2.00</w:t>
      </w:r>
      <w:r w:rsidR="00C95639" w:rsidRPr="00057441">
        <w:t xml:space="preserve">, </w:t>
      </w:r>
      <w:r w:rsidR="00C95639" w:rsidRPr="00B77DB5">
        <w:rPr>
          <w:i/>
          <w:iCs/>
        </w:rPr>
        <w:t>p</w:t>
      </w:r>
      <w:r w:rsidR="00C95639" w:rsidRPr="00057441">
        <w:t xml:space="preserve"> = .</w:t>
      </w:r>
      <w:r w:rsidR="00C95639">
        <w:rPr>
          <w:rFonts w:hint="eastAsia"/>
        </w:rPr>
        <w:t>139</w:t>
      </w:r>
      <w:r w:rsidR="009D291F">
        <w:rPr>
          <w:rFonts w:hint="eastAsia"/>
        </w:rPr>
        <w:t>; Figure 4</w:t>
      </w:r>
      <w:r w:rsidR="00C95639" w:rsidRPr="00057441">
        <w:t>)</w:t>
      </w:r>
      <w:r w:rsidR="00057441" w:rsidRPr="00057441">
        <w:t>.</w:t>
      </w:r>
      <w:r w:rsidR="00216DB4">
        <w:rPr>
          <w:rFonts w:hint="eastAsia"/>
        </w:rPr>
        <w:t xml:space="preserve"> </w:t>
      </w:r>
      <w:bookmarkStart w:id="60" w:name="OLE_LINK30"/>
      <w:r w:rsidR="00216DB4" w:rsidRPr="00216DB4">
        <w:t>At short-term follow-up, the pooled effect (g = 0.12) fell below the empirically derived small-effect threshold for child and adolescent psychotherapy (0.21; Nordahl-Hansen et al., 2024).</w:t>
      </w:r>
    </w:p>
    <w:bookmarkEnd w:id="60"/>
    <w:p w14:paraId="5030C2EC" w14:textId="607C5261" w:rsidR="00057441" w:rsidRPr="00057441" w:rsidRDefault="00057441" w:rsidP="00057441">
      <w:pPr>
        <w:spacing w:after="120" w:line="360" w:lineRule="auto"/>
        <w:ind w:firstLine="360"/>
        <w:jc w:val="both"/>
      </w:pPr>
      <w:r w:rsidRPr="00057441">
        <w:t>Between-study heterogeneity was negligible (</w:t>
      </w:r>
      <w:proofErr w:type="gramStart"/>
      <w:r w:rsidRPr="008C05FC">
        <w:rPr>
          <w:i/>
          <w:iCs/>
        </w:rPr>
        <w:t>Q</w:t>
      </w:r>
      <w:r w:rsidRPr="00057441">
        <w:t>(</w:t>
      </w:r>
      <w:proofErr w:type="gramEnd"/>
      <w:r w:rsidR="008C05FC">
        <w:rPr>
          <w:rFonts w:hint="eastAsia"/>
        </w:rPr>
        <w:t>3</w:t>
      </w:r>
      <w:r w:rsidRPr="00057441">
        <w:t xml:space="preserve">) = </w:t>
      </w:r>
      <w:r w:rsidR="008C05FC">
        <w:rPr>
          <w:rFonts w:hint="eastAsia"/>
        </w:rPr>
        <w:t>1.34</w:t>
      </w:r>
      <w:r w:rsidRPr="00057441">
        <w:t xml:space="preserve">, </w:t>
      </w:r>
      <w:r w:rsidRPr="00B77DB5">
        <w:rPr>
          <w:i/>
          <w:iCs/>
        </w:rPr>
        <w:t>p</w:t>
      </w:r>
      <w:r w:rsidRPr="00057441">
        <w:t xml:space="preserve"> = .</w:t>
      </w:r>
      <w:r w:rsidR="00C95639">
        <w:rPr>
          <w:rFonts w:hint="eastAsia"/>
        </w:rPr>
        <w:t>719</w:t>
      </w:r>
      <w:r w:rsidRPr="00057441">
        <w:t xml:space="preserve">; </w:t>
      </w:r>
      <w:r w:rsidRPr="00B77DB5">
        <w:rPr>
          <w:i/>
          <w:iCs/>
        </w:rPr>
        <w:t>I</w:t>
      </w:r>
      <w:r w:rsidRPr="00057441">
        <w:t xml:space="preserve">² = </w:t>
      </w:r>
      <w:r w:rsidR="008C05FC" w:rsidRPr="008C05FC">
        <w:t>0.0% [0.0</w:t>
      </w:r>
      <w:r w:rsidR="008C05FC">
        <w:rPr>
          <w:rFonts w:hint="eastAsia"/>
        </w:rPr>
        <w:t>%</w:t>
      </w:r>
      <w:r w:rsidR="008C05FC" w:rsidRPr="008C05FC">
        <w:t>, 84.7</w:t>
      </w:r>
      <w:r w:rsidR="008C05FC">
        <w:rPr>
          <w:rFonts w:hint="eastAsia"/>
        </w:rPr>
        <w:t>%</w:t>
      </w:r>
      <w:r w:rsidR="008C05FC" w:rsidRPr="008C05FC">
        <w:t>]</w:t>
      </w:r>
      <w:r w:rsidRPr="00057441">
        <w:t xml:space="preserve">; </w:t>
      </w:r>
      <w:r w:rsidRPr="00B77DB5">
        <w:t>τ</w:t>
      </w:r>
      <w:r w:rsidRPr="00057441">
        <w:t xml:space="preserve">² = 0.000). However, the wide confidence interval around </w:t>
      </w:r>
      <w:r w:rsidRPr="001C4D4A">
        <w:rPr>
          <w:i/>
          <w:iCs/>
        </w:rPr>
        <w:t>I</w:t>
      </w:r>
      <w:r w:rsidRPr="00057441">
        <w:t>² reflects the limited precision of heterogeneity estimates when the number of studies is small</w:t>
      </w:r>
      <w:r w:rsidR="00782497">
        <w:rPr>
          <w:rFonts w:hint="eastAsia"/>
        </w:rPr>
        <w:t xml:space="preserve"> </w:t>
      </w:r>
      <w:r w:rsidR="00782497" w:rsidRPr="00731952">
        <w:t>(Borenstein et al., 2017)</w:t>
      </w:r>
      <w:r w:rsidRPr="00057441">
        <w:t xml:space="preserve">. </w:t>
      </w:r>
    </w:p>
    <w:bookmarkEnd w:id="59"/>
    <w:p w14:paraId="2A48964D" w14:textId="77777777" w:rsidR="00057441" w:rsidRPr="00057441" w:rsidRDefault="00057441" w:rsidP="00057441">
      <w:pPr>
        <w:spacing w:after="120" w:line="360" w:lineRule="auto"/>
        <w:ind w:firstLine="360"/>
        <w:jc w:val="both"/>
      </w:pPr>
    </w:p>
    <w:p w14:paraId="6E3D8AE5" w14:textId="18C07E6E" w:rsidR="00DB320F" w:rsidRPr="00DB320F" w:rsidRDefault="00DB320F" w:rsidP="00950BF3">
      <w:pPr>
        <w:spacing w:after="120" w:line="360" w:lineRule="auto"/>
        <w:jc w:val="both"/>
        <w:rPr>
          <w:b/>
          <w:bCs/>
          <w:noProof/>
        </w:rPr>
      </w:pPr>
      <w:bookmarkStart w:id="61" w:name="OLE_LINK23"/>
      <w:r w:rsidRPr="00843F05">
        <w:rPr>
          <w:rFonts w:hint="eastAsia"/>
          <w:b/>
          <w:bCs/>
          <w:noProof/>
        </w:rPr>
        <w:t xml:space="preserve">Figure </w:t>
      </w:r>
      <w:r w:rsidR="00F351EB">
        <w:rPr>
          <w:rFonts w:hint="eastAsia"/>
          <w:b/>
          <w:bCs/>
          <w:noProof/>
        </w:rPr>
        <w:t>4</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sidR="00F351EB" w:rsidRPr="00F351EB">
        <w:rPr>
          <w:b/>
          <w:bCs/>
        </w:rPr>
        <w:t xml:space="preserve">Short-Term </w:t>
      </w:r>
      <w:proofErr w:type="spellStart"/>
      <w:r w:rsidR="00F351EB" w:rsidRPr="00F351EB">
        <w:rPr>
          <w:b/>
          <w:bCs/>
        </w:rPr>
        <w:t>Follow-UP</w:t>
      </w:r>
      <w:proofErr w:type="spellEnd"/>
    </w:p>
    <w:bookmarkEnd w:id="61"/>
    <w:p w14:paraId="5E7F687C" w14:textId="0FB6F9E7" w:rsidR="00A87283" w:rsidRDefault="00044937" w:rsidP="00950BF3">
      <w:pPr>
        <w:spacing w:after="120" w:line="360" w:lineRule="auto"/>
        <w:jc w:val="both"/>
        <w:rPr>
          <w:b/>
          <w:bCs/>
          <w:sz w:val="24"/>
          <w:szCs w:val="24"/>
        </w:rPr>
      </w:pPr>
      <w:r>
        <w:rPr>
          <w:b/>
          <w:bCs/>
          <w:noProof/>
          <w:sz w:val="24"/>
          <w:szCs w:val="24"/>
        </w:rPr>
        <w:lastRenderedPageBreak/>
        <w:drawing>
          <wp:inline distT="0" distB="0" distL="0" distR="0" wp14:anchorId="799DC6D7" wp14:editId="25F8AC3C">
            <wp:extent cx="5943600" cy="3169920"/>
            <wp:effectExtent l="0" t="0" r="0" b="0"/>
            <wp:docPr id="1233340916" name="图片 7" descr="图表,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340916" name="图片 7" descr="图表, 箱线图&#10;&#10;描述已自动生成"/>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169920"/>
                    </a:xfrm>
                    <a:prstGeom prst="rect">
                      <a:avLst/>
                    </a:prstGeom>
                  </pic:spPr>
                </pic:pic>
              </a:graphicData>
            </a:graphic>
          </wp:inline>
        </w:drawing>
      </w:r>
    </w:p>
    <w:p w14:paraId="29E48D0B" w14:textId="627F55B4" w:rsidR="00F351EB" w:rsidRDefault="00F351EB" w:rsidP="00F351EB">
      <w:pPr>
        <w:spacing w:after="120" w:line="276" w:lineRule="auto"/>
        <w:jc w:val="both"/>
      </w:pPr>
      <w:bookmarkStart w:id="62" w:name="OLE_LINK32"/>
      <w:r>
        <w:rPr>
          <w:rFonts w:hint="eastAsia"/>
          <w:i/>
          <w:iCs/>
        </w:rPr>
        <w:t>Note.</w:t>
      </w:r>
      <w:r w:rsidRPr="00E445B7">
        <w:rPr>
          <w:rFonts w:hint="eastAsia"/>
        </w:rPr>
        <w:t xml:space="preserve"> </w:t>
      </w:r>
      <w:r w:rsidR="00E445B7" w:rsidRPr="00E445B7">
        <w:t xml:space="preserve">Forest plot of unguided self-help CBT interventions versus control at short-term follow-up (post-intervention to &lt;6 months). Squares = individual effect sizes (Hedges' </w:t>
      </w:r>
      <w:r w:rsidR="00E445B7" w:rsidRPr="00E445B7">
        <w:rPr>
          <w:i/>
          <w:iCs/>
        </w:rPr>
        <w:t>g</w:t>
      </w:r>
      <w:r w:rsidR="00E445B7" w:rsidRPr="00E445B7">
        <w:t xml:space="preserve">), sized by study weight; horizontal lines = 95% CIs; diamond = pooled estimate (random-effects model, REML estimator, Hartung-Knapp adjustment); bar below diamond = 95% prediction interval. The longest available timepoint per study was used. </w:t>
      </w:r>
      <w:r w:rsidR="00E445B7" w:rsidRPr="00E445B7">
        <w:rPr>
          <w:i/>
          <w:iCs/>
        </w:rPr>
        <w:t>I</w:t>
      </w:r>
      <w:r w:rsidR="00E445B7" w:rsidRPr="00E445B7">
        <w:t>² = heterogeneity; τ² = between-study variance.</w:t>
      </w:r>
    </w:p>
    <w:bookmarkEnd w:id="62"/>
    <w:p w14:paraId="20E4A02D" w14:textId="77777777" w:rsidR="00711976" w:rsidRDefault="00711976" w:rsidP="00F351EB">
      <w:pPr>
        <w:spacing w:after="120" w:line="276" w:lineRule="auto"/>
        <w:jc w:val="both"/>
      </w:pPr>
    </w:p>
    <w:p w14:paraId="02ED2946" w14:textId="2A462E78" w:rsidR="00F351EB" w:rsidRPr="00F351EB" w:rsidRDefault="00711976" w:rsidP="00711976">
      <w:pPr>
        <w:spacing w:after="120" w:line="360" w:lineRule="auto"/>
        <w:ind w:firstLine="360"/>
        <w:jc w:val="both"/>
        <w:rPr>
          <w:b/>
          <w:bCs/>
        </w:rPr>
      </w:pPr>
      <w:r>
        <w:rPr>
          <w:rFonts w:hint="eastAsia"/>
          <w:b/>
          <w:bCs/>
        </w:rPr>
        <w:t>Long</w:t>
      </w:r>
      <w:r w:rsidRPr="00307741">
        <w:rPr>
          <w:rFonts w:hint="eastAsia"/>
          <w:b/>
          <w:bCs/>
        </w:rPr>
        <w:t>-term follow-up</w:t>
      </w:r>
    </w:p>
    <w:p w14:paraId="2F81E6EB" w14:textId="76BCE5ED" w:rsidR="009258D8" w:rsidRPr="00AF3E31" w:rsidRDefault="00EA42EE" w:rsidP="00AF3E31">
      <w:pPr>
        <w:spacing w:after="120" w:line="360" w:lineRule="auto"/>
        <w:ind w:firstLine="360"/>
        <w:jc w:val="both"/>
      </w:pPr>
      <w:r>
        <w:rPr>
          <w:rFonts w:hint="eastAsia"/>
        </w:rPr>
        <w:t>Seven</w:t>
      </w:r>
      <w:r w:rsidR="009258D8" w:rsidRPr="009258D8">
        <w:t xml:space="preserve"> studies (</w:t>
      </w:r>
      <w:r w:rsidR="009F3529">
        <w:rPr>
          <w:rFonts w:hint="eastAsia"/>
        </w:rPr>
        <w:t>St</w:t>
      </w:r>
      <w:r w:rsidR="002D791A">
        <w:rPr>
          <w:rFonts w:hint="eastAsia"/>
        </w:rPr>
        <w:t>a</w:t>
      </w:r>
      <w:r w:rsidR="009F3529">
        <w:rPr>
          <w:rFonts w:hint="eastAsia"/>
        </w:rPr>
        <w:t xml:space="preserve">llard et al., </w:t>
      </w:r>
      <w:proofErr w:type="gramStart"/>
      <w:r w:rsidR="009F3529">
        <w:rPr>
          <w:rFonts w:hint="eastAsia"/>
        </w:rPr>
        <w:t xml:space="preserve">2024;  </w:t>
      </w:r>
      <w:proofErr w:type="spellStart"/>
      <w:r w:rsidR="009F3529">
        <w:rPr>
          <w:rFonts w:hint="eastAsia"/>
        </w:rPr>
        <w:t>Makarushka</w:t>
      </w:r>
      <w:proofErr w:type="spellEnd"/>
      <w:proofErr w:type="gramEnd"/>
      <w:r w:rsidR="009F3529">
        <w:rPr>
          <w:rFonts w:hint="eastAsia"/>
        </w:rPr>
        <w:t xml:space="preserve"> et al., 2011; </w:t>
      </w:r>
      <w:r w:rsidR="009258D8" w:rsidRPr="009258D8">
        <w:t xml:space="preserve">Stice et al., 2010; Ip et al., 2016; </w:t>
      </w:r>
      <w:proofErr w:type="spellStart"/>
      <w:r w:rsidR="009258D8" w:rsidRPr="009258D8">
        <w:t>Poppelaars</w:t>
      </w:r>
      <w:proofErr w:type="spellEnd"/>
      <w:r w:rsidR="009258D8" w:rsidRPr="009258D8">
        <w:t xml:space="preserve"> et al., 2016; Wright et al., 2020; Rohde et al., 2015) contributed effect sizes at long-term follow-up (≥</w:t>
      </w:r>
      <w:r w:rsidR="009F3529">
        <w:rPr>
          <w:rFonts w:hint="eastAsia"/>
        </w:rPr>
        <w:t xml:space="preserve">6 </w:t>
      </w:r>
      <w:r w:rsidR="009258D8" w:rsidRPr="009258D8">
        <w:t xml:space="preserve">months post-intervention). Where a study reported multiple long-term assessments, the longest available timepoint was used. Under a random-effects model with REML estimator and Hartung-Knapp adjustment, the pooled Hedges' </w:t>
      </w:r>
      <w:r w:rsidR="009258D8" w:rsidRPr="00F67318">
        <w:rPr>
          <w:i/>
          <w:iCs/>
        </w:rPr>
        <w:t>g</w:t>
      </w:r>
      <w:r w:rsidR="009258D8" w:rsidRPr="009258D8">
        <w:t xml:space="preserve"> was 0.1</w:t>
      </w:r>
      <w:r w:rsidR="009F3529">
        <w:rPr>
          <w:rFonts w:hint="eastAsia"/>
        </w:rPr>
        <w:t>6</w:t>
      </w:r>
      <w:r w:rsidR="009258D8" w:rsidRPr="009258D8">
        <w:t xml:space="preserve">, 95% CI </w:t>
      </w:r>
      <w:r w:rsidR="00E54200" w:rsidRPr="00E54200">
        <w:t>[0.0</w:t>
      </w:r>
      <w:r w:rsidR="009F3529">
        <w:rPr>
          <w:rFonts w:hint="eastAsia"/>
        </w:rPr>
        <w:t>1</w:t>
      </w:r>
      <w:r w:rsidR="00E54200" w:rsidRPr="00E54200">
        <w:t>, 0.3</w:t>
      </w:r>
      <w:r w:rsidR="009F3529">
        <w:rPr>
          <w:rFonts w:hint="eastAsia"/>
        </w:rPr>
        <w:t>2</w:t>
      </w:r>
      <w:r w:rsidR="00E54200" w:rsidRPr="00E54200">
        <w:t>]</w:t>
      </w:r>
      <w:r w:rsidR="009258D8" w:rsidRPr="009258D8">
        <w:t xml:space="preserve"> </w:t>
      </w:r>
      <w:proofErr w:type="gramStart"/>
      <w:r w:rsidR="009258D8" w:rsidRPr="009258D8">
        <w:rPr>
          <w:i/>
          <w:iCs/>
        </w:rPr>
        <w:t>t</w:t>
      </w:r>
      <w:r w:rsidR="009258D8" w:rsidRPr="009258D8">
        <w:t>(</w:t>
      </w:r>
      <w:proofErr w:type="gramEnd"/>
      <w:r w:rsidR="009F3529">
        <w:rPr>
          <w:rFonts w:hint="eastAsia"/>
        </w:rPr>
        <w:t>6</w:t>
      </w:r>
      <w:r w:rsidR="009258D8" w:rsidRPr="009258D8">
        <w:t xml:space="preserve">) = </w:t>
      </w:r>
      <w:r w:rsidR="009F3529">
        <w:rPr>
          <w:rFonts w:hint="eastAsia"/>
        </w:rPr>
        <w:t>2.56</w:t>
      </w:r>
      <w:r w:rsidR="009258D8" w:rsidRPr="009258D8">
        <w:t xml:space="preserve">, </w:t>
      </w:r>
      <w:r w:rsidR="009258D8" w:rsidRPr="009258D8">
        <w:rPr>
          <w:i/>
          <w:iCs/>
        </w:rPr>
        <w:t>p</w:t>
      </w:r>
      <w:r w:rsidR="009258D8" w:rsidRPr="009258D8">
        <w:t xml:space="preserve"> = .</w:t>
      </w:r>
      <w:r w:rsidR="00024818">
        <w:rPr>
          <w:rFonts w:hint="eastAsia"/>
        </w:rPr>
        <w:t>043</w:t>
      </w:r>
      <w:r w:rsidR="009258D8" w:rsidRPr="009258D8">
        <w:t xml:space="preserve"> indicating </w:t>
      </w:r>
      <w:r w:rsidR="00024818">
        <w:rPr>
          <w:rFonts w:hint="eastAsia"/>
        </w:rPr>
        <w:t>small but significant</w:t>
      </w:r>
      <w:r w:rsidR="009258D8" w:rsidRPr="009258D8">
        <w:t xml:space="preserve"> benefit of unguided self-help CBT interventions over control conditions at this timepoint (Figure </w:t>
      </w:r>
      <w:r w:rsidR="00782497">
        <w:rPr>
          <w:rFonts w:hint="eastAsia"/>
        </w:rPr>
        <w:t>5</w:t>
      </w:r>
      <w:r w:rsidR="009258D8" w:rsidRPr="009258D8">
        <w:t>).</w:t>
      </w:r>
      <w:r w:rsidR="00AF3E31">
        <w:rPr>
          <w:rFonts w:hint="eastAsia"/>
        </w:rPr>
        <w:t xml:space="preserve"> </w:t>
      </w:r>
      <w:r w:rsidR="00AF3E31" w:rsidRPr="00216DB4">
        <w:t xml:space="preserve">At </w:t>
      </w:r>
      <w:r w:rsidR="00AF3E31">
        <w:rPr>
          <w:rFonts w:hint="eastAsia"/>
        </w:rPr>
        <w:t>long</w:t>
      </w:r>
      <w:r w:rsidR="00AF3E31" w:rsidRPr="00216DB4">
        <w:t>-term follow-up, the pooled effect (g = 0.1</w:t>
      </w:r>
      <w:r w:rsidR="00AF3E31">
        <w:rPr>
          <w:rFonts w:hint="eastAsia"/>
        </w:rPr>
        <w:t>6</w:t>
      </w:r>
      <w:r w:rsidR="00AF3E31" w:rsidRPr="00216DB4">
        <w:t>) fell below the empirically derived small-effect threshold for child and adolescent psychotherapy (0.21; Nordahl-Hansen et al., 2024).</w:t>
      </w:r>
    </w:p>
    <w:p w14:paraId="2584849D" w14:textId="561E12CF" w:rsidR="009258D8" w:rsidRPr="009258D8" w:rsidRDefault="009258D8" w:rsidP="009258D8">
      <w:pPr>
        <w:spacing w:after="120" w:line="360" w:lineRule="auto"/>
        <w:ind w:firstLine="360"/>
        <w:jc w:val="both"/>
      </w:pPr>
      <w:r w:rsidRPr="009258D8">
        <w:t xml:space="preserve">Inspection of the forest plot revealed </w:t>
      </w:r>
      <w:r w:rsidR="00E445B7" w:rsidRPr="00E445B7">
        <w:t>some variation</w:t>
      </w:r>
      <w:r w:rsidRPr="009258D8">
        <w:t xml:space="preserve"> in individual study estimates, ranging from </w:t>
      </w:r>
      <w:r w:rsidRPr="00024818">
        <w:rPr>
          <w:i/>
          <w:iCs/>
        </w:rPr>
        <w:t>g</w:t>
      </w:r>
      <w:r w:rsidRPr="009258D8">
        <w:t xml:space="preserve"> = −0.05 (Wright et al., 2020) to </w:t>
      </w:r>
      <w:r w:rsidRPr="00024818">
        <w:rPr>
          <w:i/>
          <w:iCs/>
        </w:rPr>
        <w:t>g</w:t>
      </w:r>
      <w:r w:rsidRPr="009258D8">
        <w:t xml:space="preserve"> = 0.36 (Ip et al., 2016). </w:t>
      </w:r>
      <w:r w:rsidR="009C57E4">
        <w:rPr>
          <w:rFonts w:hint="eastAsia"/>
        </w:rPr>
        <w:t>Five</w:t>
      </w:r>
      <w:r w:rsidRPr="009258D8">
        <w:t xml:space="preserve"> studies showed point estimates favoring the intervention, while two yielded negative point estimates close to zero. Only one study (Ip et al., 2016) reached statistical significance at the individual-study level, with a moderate effect size and a relatively narrow confidence interval. The influence of Ip et al. (2016) on the pooled estimate is further examined in </w:t>
      </w:r>
      <w:r w:rsidRPr="009258D8">
        <w:lastRenderedPageBreak/>
        <w:t>the leave-one-out sensitivity analysis.</w:t>
      </w:r>
    </w:p>
    <w:p w14:paraId="17880F04" w14:textId="77777777" w:rsidR="00E445B7" w:rsidRDefault="00E445B7" w:rsidP="00731952">
      <w:pPr>
        <w:spacing w:after="120" w:line="360" w:lineRule="auto"/>
        <w:ind w:firstLine="360"/>
        <w:jc w:val="both"/>
      </w:pPr>
      <w:r w:rsidRPr="00E445B7">
        <w:t xml:space="preserve">Between-study heterogeneity was low, </w:t>
      </w:r>
      <w:proofErr w:type="gramStart"/>
      <w:r w:rsidRPr="00E445B7">
        <w:rPr>
          <w:i/>
          <w:iCs/>
        </w:rPr>
        <w:t>Q</w:t>
      </w:r>
      <w:r w:rsidRPr="00E445B7">
        <w:t>(</w:t>
      </w:r>
      <w:proofErr w:type="gramEnd"/>
      <w:r w:rsidRPr="00E445B7">
        <w:t xml:space="preserve">6) = 6.92, </w:t>
      </w:r>
      <w:r w:rsidRPr="00E445B7">
        <w:rPr>
          <w:i/>
          <w:iCs/>
        </w:rPr>
        <w:t>p</w:t>
      </w:r>
      <w:r w:rsidRPr="00E445B7">
        <w:t xml:space="preserve"> = .328; </w:t>
      </w:r>
      <w:r w:rsidRPr="00E445B7">
        <w:rPr>
          <w:i/>
          <w:iCs/>
        </w:rPr>
        <w:t>I</w:t>
      </w:r>
      <w:r w:rsidRPr="00E445B7">
        <w:t xml:space="preserve">² = 13.3%, 95% CI [0.0%, 74.7%]; τ² = 0.008. Although both </w:t>
      </w:r>
      <w:r w:rsidRPr="00E445B7">
        <w:rPr>
          <w:i/>
          <w:iCs/>
        </w:rPr>
        <w:t>I</w:t>
      </w:r>
      <w:r w:rsidRPr="00E445B7">
        <w:t xml:space="preserve">² and τ² were small, the wide upper bound of the </w:t>
      </w:r>
      <w:r w:rsidRPr="00E445B7">
        <w:rPr>
          <w:i/>
          <w:iCs/>
        </w:rPr>
        <w:t>I</w:t>
      </w:r>
      <w:r w:rsidRPr="00E445B7">
        <w:t>² confidence interval indicates that some unresolved between-study variability cannot be ruled out given the small number of studies (Borenstein et al., 2017). The 95% prediction interval ranged from −0.11 to 0.43, indicating considerable uncertainty about the direction and magnitude of the true effect in a comparable future trial.</w:t>
      </w:r>
    </w:p>
    <w:p w14:paraId="4F0B56A1" w14:textId="35DC881E" w:rsidR="007C6A0A" w:rsidRPr="00E445B7" w:rsidRDefault="007C6A0A" w:rsidP="00731952">
      <w:pPr>
        <w:spacing w:after="120" w:line="360" w:lineRule="auto"/>
        <w:ind w:firstLine="360"/>
        <w:jc w:val="both"/>
      </w:pPr>
      <w:r>
        <w:rPr>
          <w:rFonts w:hint="eastAsia"/>
        </w:rPr>
        <w:t xml:space="preserve">To explore if the wide range of </w:t>
      </w:r>
      <w:r w:rsidR="00E445B7">
        <w:rPr>
          <w:rFonts w:hint="eastAsia"/>
        </w:rPr>
        <w:t xml:space="preserve">follow-up timepoints (6 to 24 months) affected the robustness of this estimate, a sensitivity analysis was conducted using the earliest </w:t>
      </w:r>
      <w:r w:rsidR="00E445B7" w:rsidRPr="00E445B7">
        <w:t>≥</w:t>
      </w:r>
      <w:r w:rsidR="00E445B7">
        <w:rPr>
          <w:rFonts w:hint="eastAsia"/>
        </w:rPr>
        <w:t xml:space="preserve"> </w:t>
      </w:r>
      <w:r w:rsidR="00E445B7" w:rsidRPr="00E445B7">
        <w:t>6</w:t>
      </w:r>
      <w:r w:rsidR="00E445B7">
        <w:t>-month</w:t>
      </w:r>
      <w:r w:rsidR="00E445B7">
        <w:rPr>
          <w:rFonts w:hint="eastAsia"/>
        </w:rPr>
        <w:t xml:space="preserve"> timepoint for each study. The pooled effect was essentially unchanged </w:t>
      </w:r>
      <w:r w:rsidR="00E445B7" w:rsidRPr="00E445B7">
        <w:t>(</w:t>
      </w:r>
      <w:r w:rsidR="00E445B7" w:rsidRPr="00E445B7">
        <w:rPr>
          <w:i/>
          <w:iCs/>
        </w:rPr>
        <w:t>g</w:t>
      </w:r>
      <w:r w:rsidR="00E445B7" w:rsidRPr="00E445B7">
        <w:t xml:space="preserve"> = 0.15, 95% CI [0.01, 0.30], </w:t>
      </w:r>
      <w:proofErr w:type="gramStart"/>
      <w:r w:rsidR="00E445B7" w:rsidRPr="00E445B7">
        <w:rPr>
          <w:i/>
          <w:iCs/>
        </w:rPr>
        <w:t>t</w:t>
      </w:r>
      <w:r w:rsidR="00E445B7" w:rsidRPr="00E445B7">
        <w:t>(</w:t>
      </w:r>
      <w:proofErr w:type="gramEnd"/>
      <w:r w:rsidR="00E445B7" w:rsidRPr="00E445B7">
        <w:t xml:space="preserve">6) = 2.58, </w:t>
      </w:r>
      <w:r w:rsidR="00E445B7" w:rsidRPr="00E445B7">
        <w:rPr>
          <w:i/>
          <w:iCs/>
        </w:rPr>
        <w:t>p</w:t>
      </w:r>
      <w:r w:rsidR="00E445B7" w:rsidRPr="00E445B7">
        <w:t xml:space="preserve"> = .042; </w:t>
      </w:r>
      <w:r w:rsidR="00E445B7" w:rsidRPr="00E445B7">
        <w:rPr>
          <w:i/>
          <w:iCs/>
        </w:rPr>
        <w:t>I</w:t>
      </w:r>
      <w:r w:rsidR="00E445B7" w:rsidRPr="00E445B7">
        <w:t>² = 0.6%),</w:t>
      </w:r>
      <w:r w:rsidR="00E445B7">
        <w:rPr>
          <w:rFonts w:hint="eastAsia"/>
        </w:rPr>
        <w:t xml:space="preserve"> supporting the stability of the long-term result regardless of timepoints selection.</w:t>
      </w:r>
    </w:p>
    <w:p w14:paraId="090C7FAE" w14:textId="77777777" w:rsidR="00254017" w:rsidRPr="00731952" w:rsidRDefault="00254017" w:rsidP="00731952">
      <w:pPr>
        <w:spacing w:after="120" w:line="360" w:lineRule="auto"/>
        <w:ind w:firstLine="360"/>
        <w:jc w:val="both"/>
      </w:pPr>
    </w:p>
    <w:p w14:paraId="4C2D8006" w14:textId="3472F56A" w:rsidR="00F351EB" w:rsidRPr="00DB320F" w:rsidRDefault="00F351EB" w:rsidP="00F351EB">
      <w:pPr>
        <w:spacing w:after="120" w:line="360" w:lineRule="auto"/>
        <w:jc w:val="both"/>
        <w:rPr>
          <w:b/>
          <w:bCs/>
          <w:noProof/>
        </w:rPr>
      </w:pPr>
      <w:bookmarkStart w:id="63" w:name="OLE_LINK15"/>
      <w:r w:rsidRPr="00843F05">
        <w:rPr>
          <w:rFonts w:hint="eastAsia"/>
          <w:b/>
          <w:bCs/>
          <w:noProof/>
        </w:rPr>
        <w:t xml:space="preserve">Figure </w:t>
      </w:r>
      <w:r w:rsidR="00782497">
        <w:rPr>
          <w:rFonts w:hint="eastAsia"/>
          <w:b/>
          <w:bCs/>
          <w:noProof/>
        </w:rPr>
        <w:t>5</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Pr>
          <w:rFonts w:hint="eastAsia"/>
          <w:b/>
          <w:bCs/>
        </w:rPr>
        <w:t>Long</w:t>
      </w:r>
      <w:r w:rsidRPr="00F351EB">
        <w:rPr>
          <w:b/>
          <w:bCs/>
        </w:rPr>
        <w:t xml:space="preserve">-Term </w:t>
      </w:r>
      <w:proofErr w:type="spellStart"/>
      <w:r w:rsidRPr="00F351EB">
        <w:rPr>
          <w:b/>
          <w:bCs/>
        </w:rPr>
        <w:t>Follow-UP</w:t>
      </w:r>
      <w:proofErr w:type="spellEnd"/>
    </w:p>
    <w:bookmarkEnd w:id="63"/>
    <w:p w14:paraId="21662ABD" w14:textId="154BEAFB" w:rsidR="00DB320F" w:rsidRPr="00F351EB" w:rsidRDefault="009F3529" w:rsidP="00950BF3">
      <w:pPr>
        <w:spacing w:after="120" w:line="360" w:lineRule="auto"/>
        <w:jc w:val="both"/>
        <w:rPr>
          <w:b/>
          <w:bCs/>
          <w:sz w:val="24"/>
          <w:szCs w:val="24"/>
        </w:rPr>
      </w:pPr>
      <w:r>
        <w:rPr>
          <w:b/>
          <w:bCs/>
          <w:noProof/>
          <w:sz w:val="24"/>
          <w:szCs w:val="24"/>
        </w:rPr>
        <w:drawing>
          <wp:inline distT="0" distB="0" distL="0" distR="0" wp14:anchorId="1C8255CF" wp14:editId="6E8F6E9B">
            <wp:extent cx="5943600" cy="4358640"/>
            <wp:effectExtent l="0" t="0" r="0" b="3810"/>
            <wp:docPr id="146751778" name="图片 1"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51778" name="图片 1" descr="文本&#10;&#10;描述已自动生成"/>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4358640"/>
                    </a:xfrm>
                    <a:prstGeom prst="rect">
                      <a:avLst/>
                    </a:prstGeom>
                  </pic:spPr>
                </pic:pic>
              </a:graphicData>
            </a:graphic>
          </wp:inline>
        </w:drawing>
      </w:r>
    </w:p>
    <w:p w14:paraId="7303C6DF" w14:textId="66F70023" w:rsidR="00F351EB" w:rsidRPr="00E445B7" w:rsidRDefault="00F351EB" w:rsidP="005C752D">
      <w:pPr>
        <w:spacing w:after="120"/>
        <w:jc w:val="both"/>
      </w:pPr>
      <w:r w:rsidRPr="00F351EB">
        <w:rPr>
          <w:i/>
          <w:iCs/>
        </w:rPr>
        <w:t>Note.</w:t>
      </w:r>
      <w:r w:rsidR="00E445B7" w:rsidRPr="00E445B7">
        <w:t xml:space="preserve"> Forest plot of unguided self-help CBT interventions versus control at long-term follow-up (≥6 months). Squares = individual effect sizes (Hedges' g), sized by study weight; horizontal lines = 95% CIs; </w:t>
      </w:r>
      <w:r w:rsidR="00E445B7" w:rsidRPr="00E445B7">
        <w:lastRenderedPageBreak/>
        <w:t>diamond = pooled estimate (random-effects model, REML estimator, Hartung-Knapp adjustment); bar below diamond = 95% prediction interval. The longest available timepoint per study was used. I² = heterogeneity; τ² = between-study variance.</w:t>
      </w:r>
    </w:p>
    <w:p w14:paraId="0688E80B" w14:textId="77777777" w:rsidR="00F351EB" w:rsidRDefault="00F351EB" w:rsidP="00DB320F">
      <w:pPr>
        <w:spacing w:after="120" w:line="360" w:lineRule="auto"/>
        <w:jc w:val="both"/>
        <w:rPr>
          <w:b/>
          <w:bCs/>
        </w:rPr>
      </w:pPr>
    </w:p>
    <w:p w14:paraId="436602AC" w14:textId="55F1CDD0" w:rsidR="00DB320F" w:rsidRPr="00305721" w:rsidRDefault="00DB320F" w:rsidP="00DB320F">
      <w:pPr>
        <w:spacing w:after="120" w:line="360" w:lineRule="auto"/>
        <w:jc w:val="both"/>
      </w:pPr>
      <w:bookmarkStart w:id="64" w:name="OLE_LINK25"/>
      <w:r w:rsidRPr="008F4577">
        <w:rPr>
          <w:rFonts w:hint="eastAsia"/>
          <w:b/>
          <w:bCs/>
        </w:rPr>
        <w:t xml:space="preserve">Table </w:t>
      </w:r>
      <w:r>
        <w:rPr>
          <w:rFonts w:hint="eastAsia"/>
          <w:b/>
          <w:bCs/>
        </w:rPr>
        <w:t>3</w:t>
      </w:r>
      <w:r w:rsidRPr="008F4577">
        <w:rPr>
          <w:rFonts w:hint="eastAsia"/>
          <w:b/>
          <w:bCs/>
        </w:rPr>
        <w:t xml:space="preserve">. </w:t>
      </w:r>
      <w:r w:rsidR="00FC372A" w:rsidRPr="00FC372A">
        <w:rPr>
          <w:b/>
          <w:bCs/>
        </w:rPr>
        <w:t>Pooled Effects and Heterogeneity at Follow-Up</w:t>
      </w:r>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ayout w:type="fixed"/>
        <w:tblLook w:val="04A0" w:firstRow="1" w:lastRow="0" w:firstColumn="1" w:lastColumn="0" w:noHBand="0" w:noVBand="1"/>
      </w:tblPr>
      <w:tblGrid>
        <w:gridCol w:w="1193"/>
        <w:gridCol w:w="236"/>
        <w:gridCol w:w="1265"/>
        <w:gridCol w:w="850"/>
        <w:gridCol w:w="709"/>
        <w:gridCol w:w="992"/>
        <w:gridCol w:w="851"/>
        <w:gridCol w:w="1134"/>
        <w:gridCol w:w="708"/>
        <w:gridCol w:w="1422"/>
      </w:tblGrid>
      <w:tr w:rsidR="007D1E2E" w:rsidRPr="00581B0B" w14:paraId="6B30BA26" w14:textId="77777777" w:rsidTr="007D1E2E">
        <w:trPr>
          <w:trHeight w:val="737"/>
        </w:trPr>
        <w:tc>
          <w:tcPr>
            <w:tcW w:w="1193" w:type="dxa"/>
            <w:tcBorders>
              <w:top w:val="single" w:sz="8" w:space="0" w:color="auto"/>
              <w:bottom w:val="single" w:sz="4" w:space="0" w:color="auto"/>
            </w:tcBorders>
          </w:tcPr>
          <w:p w14:paraId="75AE100D" w14:textId="1E7E0ED7" w:rsidR="00DB320F" w:rsidRPr="00581B0B" w:rsidRDefault="00DB320F" w:rsidP="00D450DC">
            <w:pPr>
              <w:spacing w:after="120" w:line="360" w:lineRule="auto"/>
              <w:jc w:val="center"/>
              <w:rPr>
                <w:b/>
                <w:bCs/>
                <w:sz w:val="16"/>
                <w:szCs w:val="16"/>
              </w:rPr>
            </w:pPr>
            <w:r w:rsidRPr="00581B0B">
              <w:rPr>
                <w:rFonts w:hint="eastAsia"/>
                <w:b/>
                <w:bCs/>
                <w:sz w:val="16"/>
                <w:szCs w:val="16"/>
              </w:rPr>
              <w:t>Timepoint</w:t>
            </w:r>
          </w:p>
        </w:tc>
        <w:tc>
          <w:tcPr>
            <w:tcW w:w="236" w:type="dxa"/>
            <w:tcBorders>
              <w:top w:val="single" w:sz="8" w:space="0" w:color="auto"/>
              <w:bottom w:val="single" w:sz="4" w:space="0" w:color="auto"/>
            </w:tcBorders>
          </w:tcPr>
          <w:p w14:paraId="3B8153CE" w14:textId="784E7A13" w:rsidR="00DB320F" w:rsidRPr="00581B0B" w:rsidRDefault="00DB320F" w:rsidP="00D450DC">
            <w:pPr>
              <w:spacing w:after="120" w:line="360" w:lineRule="auto"/>
              <w:jc w:val="center"/>
              <w:rPr>
                <w:b/>
                <w:bCs/>
                <w:i/>
                <w:iCs/>
                <w:sz w:val="16"/>
                <w:szCs w:val="16"/>
              </w:rPr>
            </w:pPr>
            <w:r w:rsidRPr="00581B0B">
              <w:rPr>
                <w:rFonts w:hint="eastAsia"/>
                <w:b/>
                <w:bCs/>
                <w:i/>
                <w:iCs/>
                <w:sz w:val="16"/>
                <w:szCs w:val="16"/>
              </w:rPr>
              <w:t>k</w:t>
            </w:r>
          </w:p>
        </w:tc>
        <w:tc>
          <w:tcPr>
            <w:tcW w:w="1265" w:type="dxa"/>
            <w:tcBorders>
              <w:top w:val="single" w:sz="8" w:space="0" w:color="auto"/>
              <w:bottom w:val="single" w:sz="4" w:space="0" w:color="auto"/>
            </w:tcBorders>
          </w:tcPr>
          <w:p w14:paraId="72864765" w14:textId="77777777" w:rsidR="007D1E2E" w:rsidRPr="00581B0B" w:rsidRDefault="00DB320F" w:rsidP="00D450DC">
            <w:pPr>
              <w:spacing w:after="120" w:line="360" w:lineRule="auto"/>
              <w:jc w:val="center"/>
              <w:rPr>
                <w:b/>
                <w:bCs/>
                <w:sz w:val="16"/>
                <w:szCs w:val="16"/>
              </w:rPr>
            </w:pPr>
            <w:r w:rsidRPr="00581B0B">
              <w:rPr>
                <w:b/>
                <w:bCs/>
                <w:sz w:val="16"/>
                <w:szCs w:val="16"/>
              </w:rPr>
              <w:t xml:space="preserve">Hedges’ </w:t>
            </w:r>
            <w:r w:rsidRPr="00581B0B">
              <w:rPr>
                <w:b/>
                <w:bCs/>
                <w:i/>
                <w:iCs/>
                <w:sz w:val="16"/>
                <w:szCs w:val="16"/>
              </w:rPr>
              <w:t>g</w:t>
            </w:r>
            <w:r w:rsidRPr="00581B0B">
              <w:rPr>
                <w:b/>
                <w:bCs/>
                <w:sz w:val="16"/>
                <w:szCs w:val="16"/>
              </w:rPr>
              <w:t xml:space="preserve"> </w:t>
            </w:r>
          </w:p>
          <w:p w14:paraId="6B78DF13" w14:textId="05463C5C" w:rsidR="00DB320F" w:rsidRPr="00581B0B" w:rsidRDefault="00DB320F" w:rsidP="00D450DC">
            <w:pPr>
              <w:spacing w:after="120" w:line="360" w:lineRule="auto"/>
              <w:jc w:val="center"/>
              <w:rPr>
                <w:b/>
                <w:bCs/>
                <w:i/>
                <w:iCs/>
                <w:sz w:val="16"/>
                <w:szCs w:val="16"/>
              </w:rPr>
            </w:pPr>
            <w:r w:rsidRPr="00581B0B">
              <w:rPr>
                <w:rFonts w:hint="eastAsia"/>
                <w:b/>
                <w:bCs/>
                <w:sz w:val="16"/>
                <w:szCs w:val="16"/>
              </w:rPr>
              <w:t>[</w:t>
            </w:r>
            <w:r w:rsidRPr="00581B0B">
              <w:rPr>
                <w:b/>
                <w:bCs/>
                <w:sz w:val="16"/>
                <w:szCs w:val="16"/>
              </w:rPr>
              <w:t>95% CI</w:t>
            </w:r>
            <w:r w:rsidRPr="00581B0B">
              <w:rPr>
                <w:rFonts w:hint="eastAsia"/>
                <w:b/>
                <w:bCs/>
                <w:sz w:val="16"/>
                <w:szCs w:val="16"/>
              </w:rPr>
              <w:t>]</w:t>
            </w:r>
          </w:p>
        </w:tc>
        <w:tc>
          <w:tcPr>
            <w:tcW w:w="850" w:type="dxa"/>
            <w:tcBorders>
              <w:top w:val="single" w:sz="8" w:space="0" w:color="auto"/>
              <w:bottom w:val="single" w:sz="4" w:space="0" w:color="auto"/>
            </w:tcBorders>
          </w:tcPr>
          <w:p w14:paraId="1712C28F" w14:textId="77777777" w:rsidR="00DB320F" w:rsidRPr="00581B0B" w:rsidRDefault="00DB320F" w:rsidP="00D450DC">
            <w:pPr>
              <w:spacing w:after="120" w:line="360" w:lineRule="auto"/>
              <w:jc w:val="center"/>
              <w:rPr>
                <w:b/>
                <w:bCs/>
                <w:i/>
                <w:iCs/>
                <w:sz w:val="16"/>
                <w:szCs w:val="16"/>
              </w:rPr>
            </w:pPr>
            <w:r w:rsidRPr="00581B0B">
              <w:rPr>
                <w:rFonts w:hint="eastAsia"/>
                <w:b/>
                <w:bCs/>
                <w:i/>
                <w:iCs/>
                <w:sz w:val="16"/>
                <w:szCs w:val="16"/>
              </w:rPr>
              <w:t>t (</w:t>
            </w:r>
            <w:proofErr w:type="spellStart"/>
            <w:r w:rsidRPr="00581B0B">
              <w:rPr>
                <w:rFonts w:hint="eastAsia"/>
                <w:b/>
                <w:bCs/>
                <w:sz w:val="16"/>
                <w:szCs w:val="16"/>
              </w:rPr>
              <w:t>df</w:t>
            </w:r>
            <w:proofErr w:type="spellEnd"/>
            <w:r w:rsidRPr="00581B0B">
              <w:rPr>
                <w:rFonts w:hint="eastAsia"/>
                <w:b/>
                <w:bCs/>
                <w:i/>
                <w:iCs/>
                <w:sz w:val="16"/>
                <w:szCs w:val="16"/>
              </w:rPr>
              <w:t>)</w:t>
            </w:r>
          </w:p>
        </w:tc>
        <w:tc>
          <w:tcPr>
            <w:tcW w:w="709" w:type="dxa"/>
            <w:tcBorders>
              <w:top w:val="single" w:sz="8" w:space="0" w:color="auto"/>
              <w:bottom w:val="single" w:sz="4" w:space="0" w:color="auto"/>
            </w:tcBorders>
          </w:tcPr>
          <w:p w14:paraId="45BE95BB" w14:textId="77777777" w:rsidR="00DB320F" w:rsidRPr="00581B0B" w:rsidRDefault="00DB320F" w:rsidP="00D450DC">
            <w:pPr>
              <w:spacing w:after="120" w:line="360" w:lineRule="auto"/>
              <w:jc w:val="center"/>
              <w:rPr>
                <w:b/>
                <w:bCs/>
                <w:i/>
                <w:iCs/>
                <w:sz w:val="16"/>
                <w:szCs w:val="16"/>
              </w:rPr>
            </w:pPr>
            <w:r w:rsidRPr="00581B0B">
              <w:rPr>
                <w:rFonts w:hint="eastAsia"/>
                <w:b/>
                <w:bCs/>
                <w:i/>
                <w:iCs/>
                <w:sz w:val="16"/>
                <w:szCs w:val="16"/>
              </w:rPr>
              <w:t>p</w:t>
            </w:r>
          </w:p>
        </w:tc>
        <w:tc>
          <w:tcPr>
            <w:tcW w:w="992" w:type="dxa"/>
            <w:tcBorders>
              <w:top w:val="single" w:sz="8" w:space="0" w:color="auto"/>
              <w:bottom w:val="single" w:sz="4" w:space="0" w:color="auto"/>
            </w:tcBorders>
          </w:tcPr>
          <w:p w14:paraId="3B830019" w14:textId="77777777" w:rsidR="00DB320F" w:rsidRPr="00581B0B" w:rsidRDefault="00DB320F" w:rsidP="00D450DC">
            <w:pPr>
              <w:spacing w:after="120" w:line="360" w:lineRule="auto"/>
              <w:jc w:val="center"/>
              <w:rPr>
                <w:b/>
                <w:bCs/>
                <w:sz w:val="16"/>
                <w:szCs w:val="16"/>
              </w:rPr>
            </w:pPr>
            <w:r w:rsidRPr="00581B0B">
              <w:rPr>
                <w:rFonts w:hint="eastAsia"/>
                <w:b/>
                <w:bCs/>
                <w:i/>
                <w:iCs/>
                <w:sz w:val="16"/>
                <w:szCs w:val="16"/>
              </w:rPr>
              <w:t>Q</w:t>
            </w:r>
            <w:r w:rsidRPr="00581B0B">
              <w:rPr>
                <w:rFonts w:hint="eastAsia"/>
                <w:b/>
                <w:bCs/>
                <w:sz w:val="16"/>
                <w:szCs w:val="16"/>
              </w:rPr>
              <w:t xml:space="preserve"> (</w:t>
            </w:r>
            <w:proofErr w:type="spellStart"/>
            <w:r w:rsidRPr="00581B0B">
              <w:rPr>
                <w:rFonts w:hint="eastAsia"/>
                <w:b/>
                <w:bCs/>
                <w:i/>
                <w:iCs/>
                <w:sz w:val="16"/>
                <w:szCs w:val="16"/>
              </w:rPr>
              <w:t>df</w:t>
            </w:r>
            <w:proofErr w:type="spellEnd"/>
            <w:r w:rsidRPr="00581B0B">
              <w:rPr>
                <w:rFonts w:hint="eastAsia"/>
                <w:b/>
                <w:bCs/>
                <w:sz w:val="16"/>
                <w:szCs w:val="16"/>
              </w:rPr>
              <w:t>)</w:t>
            </w:r>
          </w:p>
        </w:tc>
        <w:tc>
          <w:tcPr>
            <w:tcW w:w="851" w:type="dxa"/>
            <w:tcBorders>
              <w:top w:val="single" w:sz="8" w:space="0" w:color="auto"/>
              <w:bottom w:val="single" w:sz="4" w:space="0" w:color="auto"/>
            </w:tcBorders>
          </w:tcPr>
          <w:p w14:paraId="2BA79EC4" w14:textId="77777777" w:rsidR="00DB320F" w:rsidRPr="00581B0B" w:rsidRDefault="00DB320F" w:rsidP="00D450DC">
            <w:pPr>
              <w:spacing w:after="120" w:line="360" w:lineRule="auto"/>
              <w:jc w:val="center"/>
              <w:rPr>
                <w:b/>
                <w:bCs/>
                <w:i/>
                <w:iCs/>
                <w:sz w:val="16"/>
                <w:szCs w:val="16"/>
              </w:rPr>
            </w:pPr>
            <w:r w:rsidRPr="00581B0B">
              <w:rPr>
                <w:rFonts w:hint="eastAsia"/>
                <w:b/>
                <w:bCs/>
                <w:i/>
                <w:iCs/>
                <w:sz w:val="16"/>
                <w:szCs w:val="16"/>
              </w:rPr>
              <w:t xml:space="preserve">p </w:t>
            </w:r>
            <w:r w:rsidRPr="00581B0B">
              <w:rPr>
                <w:rFonts w:hint="eastAsia"/>
                <w:b/>
                <w:bCs/>
                <w:sz w:val="16"/>
                <w:szCs w:val="16"/>
              </w:rPr>
              <w:t>(</w:t>
            </w:r>
            <w:r w:rsidRPr="00581B0B">
              <w:rPr>
                <w:rFonts w:hint="eastAsia"/>
                <w:b/>
                <w:bCs/>
                <w:i/>
                <w:iCs/>
                <w:sz w:val="16"/>
                <w:szCs w:val="16"/>
              </w:rPr>
              <w:t>Q)</w:t>
            </w:r>
          </w:p>
        </w:tc>
        <w:tc>
          <w:tcPr>
            <w:tcW w:w="1134" w:type="dxa"/>
            <w:tcBorders>
              <w:top w:val="single" w:sz="8" w:space="0" w:color="auto"/>
              <w:bottom w:val="single" w:sz="4" w:space="0" w:color="auto"/>
            </w:tcBorders>
          </w:tcPr>
          <w:p w14:paraId="5D144B41" w14:textId="77777777" w:rsidR="007D1E2E" w:rsidRPr="00581B0B" w:rsidRDefault="00DB320F" w:rsidP="00D450DC">
            <w:pPr>
              <w:spacing w:after="120" w:line="360" w:lineRule="auto"/>
              <w:jc w:val="center"/>
              <w:rPr>
                <w:b/>
                <w:bCs/>
                <w:i/>
                <w:iCs/>
                <w:sz w:val="16"/>
                <w:szCs w:val="16"/>
              </w:rPr>
            </w:pPr>
            <w:r w:rsidRPr="00581B0B">
              <w:rPr>
                <w:b/>
                <w:bCs/>
                <w:i/>
                <w:iCs/>
                <w:sz w:val="16"/>
                <w:szCs w:val="16"/>
              </w:rPr>
              <w:t>I</w:t>
            </w:r>
            <w:r w:rsidRPr="00581B0B">
              <w:rPr>
                <w:b/>
                <w:bCs/>
                <w:sz w:val="16"/>
                <w:szCs w:val="16"/>
              </w:rPr>
              <w:t>²</w:t>
            </w:r>
            <w:r w:rsidRPr="00581B0B">
              <w:rPr>
                <w:b/>
                <w:bCs/>
                <w:i/>
                <w:iCs/>
                <w:sz w:val="16"/>
                <w:szCs w:val="16"/>
              </w:rPr>
              <w:t xml:space="preserve"> </w:t>
            </w:r>
          </w:p>
          <w:p w14:paraId="58829D51" w14:textId="5B015485" w:rsidR="00DB320F" w:rsidRPr="00581B0B" w:rsidRDefault="00DB320F" w:rsidP="00D450DC">
            <w:pPr>
              <w:spacing w:after="120" w:line="360" w:lineRule="auto"/>
              <w:jc w:val="center"/>
              <w:rPr>
                <w:b/>
                <w:bCs/>
                <w:sz w:val="16"/>
                <w:szCs w:val="16"/>
              </w:rPr>
            </w:pPr>
            <w:r w:rsidRPr="00581B0B">
              <w:rPr>
                <w:b/>
                <w:bCs/>
                <w:sz w:val="16"/>
                <w:szCs w:val="16"/>
              </w:rPr>
              <w:t>[95% CI]</w:t>
            </w:r>
          </w:p>
        </w:tc>
        <w:tc>
          <w:tcPr>
            <w:tcW w:w="708" w:type="dxa"/>
            <w:tcBorders>
              <w:top w:val="single" w:sz="8" w:space="0" w:color="auto"/>
              <w:bottom w:val="single" w:sz="4" w:space="0" w:color="auto"/>
            </w:tcBorders>
          </w:tcPr>
          <w:p w14:paraId="25DA1DA5" w14:textId="77777777" w:rsidR="00DB320F" w:rsidRPr="00581B0B" w:rsidRDefault="00DB320F" w:rsidP="00D450DC">
            <w:pPr>
              <w:spacing w:after="120" w:line="360" w:lineRule="auto"/>
              <w:jc w:val="center"/>
              <w:rPr>
                <w:b/>
                <w:bCs/>
                <w:i/>
                <w:iCs/>
                <w:sz w:val="16"/>
                <w:szCs w:val="16"/>
              </w:rPr>
            </w:pPr>
            <w:r w:rsidRPr="00581B0B">
              <w:rPr>
                <w:b/>
                <w:bCs/>
                <w:sz w:val="16"/>
                <w:szCs w:val="16"/>
              </w:rPr>
              <w:t>τ</w:t>
            </w:r>
            <w:r w:rsidRPr="00581B0B">
              <w:rPr>
                <w:rFonts w:hint="eastAsia"/>
                <w:b/>
                <w:bCs/>
                <w:sz w:val="16"/>
                <w:szCs w:val="16"/>
                <w:vertAlign w:val="superscript"/>
              </w:rPr>
              <w:t>2</w:t>
            </w:r>
          </w:p>
        </w:tc>
        <w:tc>
          <w:tcPr>
            <w:tcW w:w="1422" w:type="dxa"/>
            <w:tcBorders>
              <w:top w:val="single" w:sz="8" w:space="0" w:color="auto"/>
              <w:bottom w:val="single" w:sz="4" w:space="0" w:color="auto"/>
            </w:tcBorders>
          </w:tcPr>
          <w:p w14:paraId="3BB00807" w14:textId="77777777" w:rsidR="00DB320F" w:rsidRPr="00581B0B" w:rsidRDefault="00DB320F" w:rsidP="00D450DC">
            <w:pPr>
              <w:spacing w:after="120" w:line="360" w:lineRule="auto"/>
              <w:jc w:val="center"/>
              <w:rPr>
                <w:b/>
                <w:bCs/>
                <w:sz w:val="16"/>
                <w:szCs w:val="16"/>
              </w:rPr>
            </w:pPr>
            <w:r w:rsidRPr="00581B0B">
              <w:rPr>
                <w:b/>
                <w:bCs/>
                <w:sz w:val="16"/>
                <w:szCs w:val="16"/>
              </w:rPr>
              <w:t>95% PI</w:t>
            </w:r>
          </w:p>
        </w:tc>
      </w:tr>
      <w:tr w:rsidR="007D1E2E" w:rsidRPr="00581B0B" w14:paraId="79100B2B" w14:textId="77777777" w:rsidTr="007D1E2E">
        <w:tc>
          <w:tcPr>
            <w:tcW w:w="1193" w:type="dxa"/>
            <w:tcBorders>
              <w:top w:val="single" w:sz="4" w:space="0" w:color="auto"/>
              <w:bottom w:val="nil"/>
            </w:tcBorders>
          </w:tcPr>
          <w:p w14:paraId="0046C15D" w14:textId="1C65AD9D" w:rsidR="00DB320F" w:rsidRPr="00581B0B" w:rsidRDefault="00DB320F" w:rsidP="00D450DC">
            <w:pPr>
              <w:spacing w:after="120" w:line="360" w:lineRule="auto"/>
              <w:jc w:val="center"/>
              <w:rPr>
                <w:sz w:val="16"/>
                <w:szCs w:val="16"/>
              </w:rPr>
            </w:pPr>
            <w:r w:rsidRPr="00581B0B">
              <w:rPr>
                <w:rFonts w:hint="eastAsia"/>
                <w:sz w:val="16"/>
                <w:szCs w:val="16"/>
              </w:rPr>
              <w:t>Short</w:t>
            </w:r>
          </w:p>
        </w:tc>
        <w:tc>
          <w:tcPr>
            <w:tcW w:w="236" w:type="dxa"/>
            <w:tcBorders>
              <w:top w:val="single" w:sz="4" w:space="0" w:color="auto"/>
              <w:bottom w:val="nil"/>
            </w:tcBorders>
          </w:tcPr>
          <w:p w14:paraId="47623A31" w14:textId="40E6FD03" w:rsidR="00DB320F" w:rsidRPr="00581B0B" w:rsidRDefault="00044937" w:rsidP="00D450DC">
            <w:pPr>
              <w:spacing w:after="120" w:line="360" w:lineRule="auto"/>
              <w:jc w:val="center"/>
              <w:rPr>
                <w:sz w:val="16"/>
                <w:szCs w:val="16"/>
              </w:rPr>
            </w:pPr>
            <w:r w:rsidRPr="00581B0B">
              <w:rPr>
                <w:rFonts w:hint="eastAsia"/>
                <w:sz w:val="16"/>
                <w:szCs w:val="16"/>
              </w:rPr>
              <w:t>4</w:t>
            </w:r>
          </w:p>
        </w:tc>
        <w:tc>
          <w:tcPr>
            <w:tcW w:w="1265" w:type="dxa"/>
            <w:tcBorders>
              <w:top w:val="single" w:sz="4" w:space="0" w:color="auto"/>
              <w:bottom w:val="nil"/>
            </w:tcBorders>
          </w:tcPr>
          <w:p w14:paraId="79238AE5" w14:textId="77777777" w:rsidR="007D1E2E" w:rsidRPr="00581B0B" w:rsidRDefault="00DB320F" w:rsidP="00D450DC">
            <w:pPr>
              <w:spacing w:after="120" w:line="360" w:lineRule="auto"/>
              <w:jc w:val="center"/>
              <w:rPr>
                <w:sz w:val="16"/>
                <w:szCs w:val="16"/>
              </w:rPr>
            </w:pPr>
            <w:r w:rsidRPr="00581B0B">
              <w:rPr>
                <w:rFonts w:hint="eastAsia"/>
                <w:sz w:val="16"/>
                <w:szCs w:val="16"/>
              </w:rPr>
              <w:t>0.</w:t>
            </w:r>
            <w:r w:rsidR="00044937" w:rsidRPr="00581B0B">
              <w:rPr>
                <w:rFonts w:hint="eastAsia"/>
                <w:sz w:val="16"/>
                <w:szCs w:val="16"/>
              </w:rPr>
              <w:t>12</w:t>
            </w:r>
            <w:r w:rsidRPr="00581B0B">
              <w:rPr>
                <w:rFonts w:hint="eastAsia"/>
                <w:sz w:val="16"/>
                <w:szCs w:val="16"/>
              </w:rPr>
              <w:t xml:space="preserve"> </w:t>
            </w:r>
          </w:p>
          <w:p w14:paraId="1E5F4358" w14:textId="74B5AFBB" w:rsidR="00DB320F" w:rsidRPr="00581B0B" w:rsidRDefault="00FF6590" w:rsidP="00D450DC">
            <w:pPr>
              <w:spacing w:after="120" w:line="360" w:lineRule="auto"/>
              <w:jc w:val="center"/>
              <w:rPr>
                <w:sz w:val="16"/>
                <w:szCs w:val="16"/>
              </w:rPr>
            </w:pPr>
            <w:r w:rsidRPr="00581B0B">
              <w:rPr>
                <w:sz w:val="16"/>
                <w:szCs w:val="16"/>
              </w:rPr>
              <w:t>[</w:t>
            </w:r>
            <w:bookmarkStart w:id="65" w:name="OLE_LINK52"/>
            <w:r w:rsidRPr="00581B0B">
              <w:rPr>
                <w:sz w:val="16"/>
                <w:szCs w:val="16"/>
              </w:rPr>
              <w:t>−</w:t>
            </w:r>
            <w:bookmarkEnd w:id="65"/>
            <w:r w:rsidRPr="00581B0B">
              <w:rPr>
                <w:sz w:val="16"/>
                <w:szCs w:val="16"/>
              </w:rPr>
              <w:t>0.</w:t>
            </w:r>
            <w:r w:rsidR="00044937" w:rsidRPr="00581B0B">
              <w:rPr>
                <w:rFonts w:hint="eastAsia"/>
                <w:sz w:val="16"/>
                <w:szCs w:val="16"/>
              </w:rPr>
              <w:t>07</w:t>
            </w:r>
            <w:r w:rsidRPr="00581B0B">
              <w:rPr>
                <w:sz w:val="16"/>
                <w:szCs w:val="16"/>
              </w:rPr>
              <w:t>, 0.3</w:t>
            </w:r>
            <w:r w:rsidR="00044937" w:rsidRPr="00581B0B">
              <w:rPr>
                <w:rFonts w:hint="eastAsia"/>
                <w:sz w:val="16"/>
                <w:szCs w:val="16"/>
              </w:rPr>
              <w:t>1</w:t>
            </w:r>
            <w:r w:rsidRPr="00581B0B">
              <w:rPr>
                <w:sz w:val="16"/>
                <w:szCs w:val="16"/>
              </w:rPr>
              <w:t>]</w:t>
            </w:r>
          </w:p>
        </w:tc>
        <w:tc>
          <w:tcPr>
            <w:tcW w:w="850" w:type="dxa"/>
            <w:tcBorders>
              <w:top w:val="single" w:sz="4" w:space="0" w:color="auto"/>
              <w:bottom w:val="nil"/>
            </w:tcBorders>
          </w:tcPr>
          <w:p w14:paraId="47A73CC4" w14:textId="1169B3ED" w:rsidR="00DB320F" w:rsidRPr="00581B0B" w:rsidRDefault="00034D4E" w:rsidP="00D450DC">
            <w:pPr>
              <w:spacing w:after="120" w:line="360" w:lineRule="auto"/>
              <w:jc w:val="center"/>
              <w:rPr>
                <w:sz w:val="16"/>
                <w:szCs w:val="16"/>
              </w:rPr>
            </w:pPr>
            <w:r w:rsidRPr="00581B0B">
              <w:rPr>
                <w:rFonts w:hint="eastAsia"/>
                <w:sz w:val="16"/>
                <w:szCs w:val="16"/>
              </w:rPr>
              <w:t>2.00</w:t>
            </w:r>
            <w:r w:rsidR="00DB320F" w:rsidRPr="00581B0B">
              <w:rPr>
                <w:rFonts w:hint="eastAsia"/>
                <w:sz w:val="16"/>
                <w:szCs w:val="16"/>
              </w:rPr>
              <w:t>(</w:t>
            </w:r>
            <w:r w:rsidR="00044937" w:rsidRPr="00581B0B">
              <w:rPr>
                <w:rFonts w:hint="eastAsia"/>
                <w:sz w:val="16"/>
                <w:szCs w:val="16"/>
              </w:rPr>
              <w:t>3</w:t>
            </w:r>
            <w:r w:rsidR="00DB320F" w:rsidRPr="00581B0B">
              <w:rPr>
                <w:rFonts w:hint="eastAsia"/>
                <w:sz w:val="16"/>
                <w:szCs w:val="16"/>
              </w:rPr>
              <w:t>)</w:t>
            </w:r>
          </w:p>
        </w:tc>
        <w:tc>
          <w:tcPr>
            <w:tcW w:w="709" w:type="dxa"/>
            <w:tcBorders>
              <w:top w:val="single" w:sz="4" w:space="0" w:color="auto"/>
              <w:bottom w:val="nil"/>
            </w:tcBorders>
          </w:tcPr>
          <w:p w14:paraId="75D31513" w14:textId="11871C27" w:rsidR="00DB320F" w:rsidRPr="00581B0B" w:rsidRDefault="00DB320F" w:rsidP="00D450DC">
            <w:pPr>
              <w:spacing w:after="120" w:line="360" w:lineRule="auto"/>
              <w:jc w:val="center"/>
              <w:rPr>
                <w:sz w:val="16"/>
                <w:szCs w:val="16"/>
              </w:rPr>
            </w:pPr>
            <w:r w:rsidRPr="00581B0B">
              <w:rPr>
                <w:rFonts w:hint="eastAsia"/>
                <w:sz w:val="16"/>
                <w:szCs w:val="16"/>
              </w:rPr>
              <w:t>.</w:t>
            </w:r>
            <w:r w:rsidR="00034D4E" w:rsidRPr="00581B0B">
              <w:rPr>
                <w:rFonts w:hint="eastAsia"/>
                <w:sz w:val="16"/>
                <w:szCs w:val="16"/>
              </w:rPr>
              <w:t>139</w:t>
            </w:r>
          </w:p>
        </w:tc>
        <w:tc>
          <w:tcPr>
            <w:tcW w:w="992" w:type="dxa"/>
            <w:tcBorders>
              <w:top w:val="single" w:sz="4" w:space="0" w:color="auto"/>
              <w:bottom w:val="nil"/>
            </w:tcBorders>
          </w:tcPr>
          <w:p w14:paraId="3DDC6CFE" w14:textId="64DC81AC" w:rsidR="00DB320F" w:rsidRPr="00581B0B" w:rsidRDefault="00C323C9" w:rsidP="00D450DC">
            <w:pPr>
              <w:spacing w:after="120" w:line="360" w:lineRule="auto"/>
              <w:jc w:val="center"/>
              <w:rPr>
                <w:sz w:val="16"/>
                <w:szCs w:val="16"/>
              </w:rPr>
            </w:pPr>
            <w:r w:rsidRPr="00581B0B">
              <w:rPr>
                <w:rFonts w:hint="eastAsia"/>
                <w:sz w:val="16"/>
                <w:szCs w:val="16"/>
              </w:rPr>
              <w:t>1.34</w:t>
            </w:r>
            <w:r w:rsidR="00DB320F" w:rsidRPr="00581B0B">
              <w:rPr>
                <w:rFonts w:hint="eastAsia"/>
                <w:sz w:val="16"/>
                <w:szCs w:val="16"/>
              </w:rPr>
              <w:t>(</w:t>
            </w:r>
            <w:r w:rsidRPr="00581B0B">
              <w:rPr>
                <w:rFonts w:hint="eastAsia"/>
                <w:sz w:val="16"/>
                <w:szCs w:val="16"/>
              </w:rPr>
              <w:t>3</w:t>
            </w:r>
            <w:r w:rsidR="00DB320F" w:rsidRPr="00581B0B">
              <w:rPr>
                <w:rFonts w:hint="eastAsia"/>
                <w:sz w:val="16"/>
                <w:szCs w:val="16"/>
              </w:rPr>
              <w:t>)</w:t>
            </w:r>
          </w:p>
          <w:p w14:paraId="4C4E261D" w14:textId="77777777" w:rsidR="00DB320F" w:rsidRPr="00581B0B" w:rsidRDefault="00DB320F" w:rsidP="00D450DC">
            <w:pPr>
              <w:spacing w:after="120" w:line="360" w:lineRule="auto"/>
              <w:jc w:val="center"/>
              <w:rPr>
                <w:sz w:val="16"/>
                <w:szCs w:val="16"/>
              </w:rPr>
            </w:pPr>
          </w:p>
        </w:tc>
        <w:tc>
          <w:tcPr>
            <w:tcW w:w="851" w:type="dxa"/>
            <w:tcBorders>
              <w:top w:val="single" w:sz="4" w:space="0" w:color="auto"/>
              <w:bottom w:val="nil"/>
            </w:tcBorders>
          </w:tcPr>
          <w:p w14:paraId="6D18F834" w14:textId="2CCA939A" w:rsidR="00DB320F" w:rsidRPr="00581B0B" w:rsidRDefault="00B74865" w:rsidP="00D450DC">
            <w:pPr>
              <w:spacing w:after="120" w:line="360" w:lineRule="auto"/>
              <w:jc w:val="center"/>
              <w:rPr>
                <w:sz w:val="16"/>
                <w:szCs w:val="16"/>
              </w:rPr>
            </w:pPr>
            <w:bookmarkStart w:id="66" w:name="OLE_LINK53"/>
            <w:r w:rsidRPr="00581B0B">
              <w:rPr>
                <w:rFonts w:hint="eastAsia"/>
                <w:sz w:val="16"/>
                <w:szCs w:val="16"/>
              </w:rPr>
              <w:t>.</w:t>
            </w:r>
            <w:r w:rsidR="00C323C9" w:rsidRPr="00581B0B">
              <w:rPr>
                <w:rFonts w:hint="eastAsia"/>
                <w:sz w:val="16"/>
                <w:szCs w:val="16"/>
              </w:rPr>
              <w:t>719</w:t>
            </w:r>
            <w:bookmarkEnd w:id="66"/>
          </w:p>
        </w:tc>
        <w:tc>
          <w:tcPr>
            <w:tcW w:w="1134" w:type="dxa"/>
            <w:tcBorders>
              <w:top w:val="single" w:sz="4" w:space="0" w:color="auto"/>
              <w:bottom w:val="nil"/>
            </w:tcBorders>
          </w:tcPr>
          <w:p w14:paraId="65BF1D0C" w14:textId="77777777" w:rsidR="007D1E2E" w:rsidRPr="00581B0B" w:rsidRDefault="00B74865" w:rsidP="00D450DC">
            <w:pPr>
              <w:spacing w:after="120" w:line="360" w:lineRule="auto"/>
              <w:jc w:val="center"/>
              <w:rPr>
                <w:sz w:val="16"/>
                <w:szCs w:val="16"/>
              </w:rPr>
            </w:pPr>
            <w:bookmarkStart w:id="67" w:name="OLE_LINK54"/>
            <w:r w:rsidRPr="00581B0B">
              <w:rPr>
                <w:sz w:val="16"/>
                <w:szCs w:val="16"/>
              </w:rPr>
              <w:t xml:space="preserve">0.0% </w:t>
            </w:r>
          </w:p>
          <w:p w14:paraId="2761A23E" w14:textId="52035ACC" w:rsidR="00DB320F" w:rsidRPr="00581B0B" w:rsidRDefault="00B74865" w:rsidP="00D450DC">
            <w:pPr>
              <w:spacing w:after="120" w:line="360" w:lineRule="auto"/>
              <w:jc w:val="center"/>
              <w:rPr>
                <w:sz w:val="16"/>
                <w:szCs w:val="16"/>
              </w:rPr>
            </w:pPr>
            <w:r w:rsidRPr="00581B0B">
              <w:rPr>
                <w:sz w:val="16"/>
                <w:szCs w:val="16"/>
              </w:rPr>
              <w:t>[0.0, 8</w:t>
            </w:r>
            <w:r w:rsidR="00C323C9" w:rsidRPr="00581B0B">
              <w:rPr>
                <w:rFonts w:hint="eastAsia"/>
                <w:sz w:val="16"/>
                <w:szCs w:val="16"/>
              </w:rPr>
              <w:t>4.7</w:t>
            </w:r>
            <w:r w:rsidRPr="00581B0B">
              <w:rPr>
                <w:sz w:val="16"/>
                <w:szCs w:val="16"/>
              </w:rPr>
              <w:t>]</w:t>
            </w:r>
            <w:bookmarkEnd w:id="67"/>
          </w:p>
        </w:tc>
        <w:tc>
          <w:tcPr>
            <w:tcW w:w="708" w:type="dxa"/>
            <w:tcBorders>
              <w:top w:val="single" w:sz="4" w:space="0" w:color="auto"/>
              <w:bottom w:val="nil"/>
            </w:tcBorders>
          </w:tcPr>
          <w:p w14:paraId="6799F751" w14:textId="7890EB96" w:rsidR="00DB320F" w:rsidRPr="00581B0B" w:rsidRDefault="00B74865" w:rsidP="00D450DC">
            <w:pPr>
              <w:spacing w:after="120" w:line="360" w:lineRule="auto"/>
              <w:jc w:val="center"/>
              <w:rPr>
                <w:sz w:val="16"/>
                <w:szCs w:val="16"/>
              </w:rPr>
            </w:pPr>
            <w:r w:rsidRPr="00581B0B">
              <w:rPr>
                <w:sz w:val="16"/>
                <w:szCs w:val="16"/>
              </w:rPr>
              <w:t>0.000</w:t>
            </w:r>
          </w:p>
        </w:tc>
        <w:tc>
          <w:tcPr>
            <w:tcW w:w="1422" w:type="dxa"/>
            <w:tcBorders>
              <w:top w:val="single" w:sz="4" w:space="0" w:color="auto"/>
              <w:bottom w:val="nil"/>
            </w:tcBorders>
          </w:tcPr>
          <w:p w14:paraId="18B1D39E" w14:textId="06AB42CA" w:rsidR="00DB320F" w:rsidRPr="00581B0B" w:rsidRDefault="00B74865" w:rsidP="00D450DC">
            <w:pPr>
              <w:spacing w:after="120" w:line="360" w:lineRule="auto"/>
              <w:jc w:val="center"/>
              <w:rPr>
                <w:sz w:val="16"/>
                <w:szCs w:val="16"/>
              </w:rPr>
            </w:pPr>
            <w:r w:rsidRPr="00581B0B">
              <w:rPr>
                <w:sz w:val="16"/>
                <w:szCs w:val="16"/>
              </w:rPr>
              <w:t>[</w:t>
            </w:r>
            <w:r w:rsidR="00C323C9" w:rsidRPr="00581B0B">
              <w:rPr>
                <w:sz w:val="16"/>
                <w:szCs w:val="16"/>
              </w:rPr>
              <w:t>−</w:t>
            </w:r>
            <w:r w:rsidR="00C323C9" w:rsidRPr="00581B0B">
              <w:rPr>
                <w:rFonts w:hint="eastAsia"/>
                <w:sz w:val="16"/>
                <w:szCs w:val="16"/>
              </w:rPr>
              <w:t>0.17</w:t>
            </w:r>
            <w:r w:rsidRPr="00581B0B">
              <w:rPr>
                <w:sz w:val="16"/>
                <w:szCs w:val="16"/>
              </w:rPr>
              <w:t>, 0.</w:t>
            </w:r>
            <w:r w:rsidR="00C323C9" w:rsidRPr="00581B0B">
              <w:rPr>
                <w:rFonts w:hint="eastAsia"/>
                <w:sz w:val="16"/>
                <w:szCs w:val="16"/>
              </w:rPr>
              <w:t>41</w:t>
            </w:r>
            <w:r w:rsidRPr="00581B0B">
              <w:rPr>
                <w:sz w:val="16"/>
                <w:szCs w:val="16"/>
              </w:rPr>
              <w:t>]</w:t>
            </w:r>
          </w:p>
        </w:tc>
      </w:tr>
      <w:tr w:rsidR="007D1E2E" w:rsidRPr="00581B0B" w14:paraId="70EA385B" w14:textId="77777777" w:rsidTr="007D1E2E">
        <w:tc>
          <w:tcPr>
            <w:tcW w:w="1193" w:type="dxa"/>
            <w:tcBorders>
              <w:top w:val="nil"/>
              <w:bottom w:val="single" w:sz="8" w:space="0" w:color="auto"/>
            </w:tcBorders>
          </w:tcPr>
          <w:p w14:paraId="62843AE8" w14:textId="715F1EA8" w:rsidR="00F351EB" w:rsidRPr="00581B0B" w:rsidRDefault="00044937" w:rsidP="00D450DC">
            <w:pPr>
              <w:spacing w:after="120" w:line="360" w:lineRule="auto"/>
              <w:jc w:val="center"/>
              <w:rPr>
                <w:sz w:val="16"/>
                <w:szCs w:val="16"/>
              </w:rPr>
            </w:pPr>
            <w:r w:rsidRPr="00581B0B">
              <w:rPr>
                <w:rFonts w:hint="eastAsia"/>
                <w:sz w:val="16"/>
                <w:szCs w:val="16"/>
              </w:rPr>
              <w:t>Long</w:t>
            </w:r>
          </w:p>
        </w:tc>
        <w:tc>
          <w:tcPr>
            <w:tcW w:w="236" w:type="dxa"/>
            <w:tcBorders>
              <w:top w:val="nil"/>
              <w:bottom w:val="single" w:sz="8" w:space="0" w:color="auto"/>
            </w:tcBorders>
          </w:tcPr>
          <w:p w14:paraId="05D4C375" w14:textId="0B9ACFF2" w:rsidR="00F351EB" w:rsidRPr="00581B0B" w:rsidRDefault="00E33353" w:rsidP="00D450DC">
            <w:pPr>
              <w:spacing w:after="120" w:line="360" w:lineRule="auto"/>
              <w:jc w:val="center"/>
              <w:rPr>
                <w:sz w:val="16"/>
                <w:szCs w:val="16"/>
              </w:rPr>
            </w:pPr>
            <w:r w:rsidRPr="00581B0B">
              <w:rPr>
                <w:rFonts w:hint="eastAsia"/>
                <w:sz w:val="16"/>
                <w:szCs w:val="16"/>
              </w:rPr>
              <w:t>7</w:t>
            </w:r>
          </w:p>
        </w:tc>
        <w:tc>
          <w:tcPr>
            <w:tcW w:w="1265" w:type="dxa"/>
            <w:tcBorders>
              <w:top w:val="nil"/>
              <w:bottom w:val="single" w:sz="8" w:space="0" w:color="auto"/>
            </w:tcBorders>
          </w:tcPr>
          <w:p w14:paraId="52B3E913" w14:textId="77777777" w:rsidR="007D1E2E" w:rsidRPr="00581B0B" w:rsidRDefault="00E33353" w:rsidP="00D450DC">
            <w:pPr>
              <w:spacing w:after="120" w:line="360" w:lineRule="auto"/>
              <w:jc w:val="center"/>
              <w:rPr>
                <w:sz w:val="16"/>
                <w:szCs w:val="16"/>
              </w:rPr>
            </w:pPr>
            <w:bookmarkStart w:id="68" w:name="OLE_LINK31"/>
            <w:r w:rsidRPr="00581B0B">
              <w:rPr>
                <w:rFonts w:hint="eastAsia"/>
                <w:sz w:val="16"/>
                <w:szCs w:val="16"/>
              </w:rPr>
              <w:t>0.</w:t>
            </w:r>
            <w:r w:rsidR="00C323C9" w:rsidRPr="00581B0B">
              <w:rPr>
                <w:rFonts w:hint="eastAsia"/>
                <w:sz w:val="16"/>
                <w:szCs w:val="16"/>
              </w:rPr>
              <w:t>16</w:t>
            </w:r>
            <w:r w:rsidRPr="00581B0B">
              <w:rPr>
                <w:rFonts w:hint="eastAsia"/>
                <w:sz w:val="16"/>
                <w:szCs w:val="16"/>
              </w:rPr>
              <w:t xml:space="preserve"> </w:t>
            </w:r>
          </w:p>
          <w:p w14:paraId="4E5B0591" w14:textId="63947E08" w:rsidR="00F351EB" w:rsidRPr="00581B0B" w:rsidRDefault="00E33353" w:rsidP="00D450DC">
            <w:pPr>
              <w:spacing w:after="120" w:line="360" w:lineRule="auto"/>
              <w:jc w:val="center"/>
              <w:rPr>
                <w:sz w:val="16"/>
                <w:szCs w:val="16"/>
              </w:rPr>
            </w:pPr>
            <w:r w:rsidRPr="00581B0B">
              <w:rPr>
                <w:rFonts w:hint="eastAsia"/>
                <w:sz w:val="16"/>
                <w:szCs w:val="16"/>
              </w:rPr>
              <w:t>[0.0</w:t>
            </w:r>
            <w:r w:rsidR="00C323C9" w:rsidRPr="00581B0B">
              <w:rPr>
                <w:rFonts w:hint="eastAsia"/>
                <w:sz w:val="16"/>
                <w:szCs w:val="16"/>
              </w:rPr>
              <w:t>1</w:t>
            </w:r>
            <w:r w:rsidRPr="00581B0B">
              <w:rPr>
                <w:rFonts w:hint="eastAsia"/>
                <w:sz w:val="16"/>
                <w:szCs w:val="16"/>
              </w:rPr>
              <w:t>, 0.</w:t>
            </w:r>
            <w:r w:rsidR="00C323C9" w:rsidRPr="00581B0B">
              <w:rPr>
                <w:rFonts w:hint="eastAsia"/>
                <w:sz w:val="16"/>
                <w:szCs w:val="16"/>
              </w:rPr>
              <w:t>32</w:t>
            </w:r>
            <w:r w:rsidRPr="00581B0B">
              <w:rPr>
                <w:rFonts w:hint="eastAsia"/>
                <w:sz w:val="16"/>
                <w:szCs w:val="16"/>
              </w:rPr>
              <w:t>]</w:t>
            </w:r>
            <w:bookmarkEnd w:id="68"/>
          </w:p>
        </w:tc>
        <w:tc>
          <w:tcPr>
            <w:tcW w:w="850" w:type="dxa"/>
            <w:tcBorders>
              <w:top w:val="nil"/>
              <w:bottom w:val="single" w:sz="8" w:space="0" w:color="auto"/>
            </w:tcBorders>
          </w:tcPr>
          <w:p w14:paraId="14F17002" w14:textId="70C9A1AE" w:rsidR="00F351EB" w:rsidRPr="00581B0B" w:rsidRDefault="00E33353" w:rsidP="00D450DC">
            <w:pPr>
              <w:spacing w:after="120" w:line="360" w:lineRule="auto"/>
              <w:jc w:val="center"/>
              <w:rPr>
                <w:sz w:val="16"/>
                <w:szCs w:val="16"/>
              </w:rPr>
            </w:pPr>
            <w:r w:rsidRPr="00581B0B">
              <w:rPr>
                <w:rFonts w:hint="eastAsia"/>
                <w:sz w:val="16"/>
                <w:szCs w:val="16"/>
              </w:rPr>
              <w:t>2.5</w:t>
            </w:r>
            <w:r w:rsidR="00254017" w:rsidRPr="00581B0B">
              <w:rPr>
                <w:rFonts w:hint="eastAsia"/>
                <w:sz w:val="16"/>
                <w:szCs w:val="16"/>
              </w:rPr>
              <w:t>6</w:t>
            </w:r>
            <w:r w:rsidRPr="00581B0B">
              <w:rPr>
                <w:rFonts w:hint="eastAsia"/>
                <w:sz w:val="16"/>
                <w:szCs w:val="16"/>
              </w:rPr>
              <w:t>(6)</w:t>
            </w:r>
          </w:p>
        </w:tc>
        <w:tc>
          <w:tcPr>
            <w:tcW w:w="709" w:type="dxa"/>
            <w:tcBorders>
              <w:top w:val="nil"/>
              <w:bottom w:val="single" w:sz="8" w:space="0" w:color="auto"/>
            </w:tcBorders>
          </w:tcPr>
          <w:p w14:paraId="0D62B886" w14:textId="4C2ADCD3" w:rsidR="00F351EB" w:rsidRPr="00581B0B" w:rsidRDefault="00E33353" w:rsidP="00D450DC">
            <w:pPr>
              <w:spacing w:after="120" w:line="360" w:lineRule="auto"/>
              <w:jc w:val="center"/>
              <w:rPr>
                <w:sz w:val="16"/>
                <w:szCs w:val="16"/>
              </w:rPr>
            </w:pPr>
            <w:r w:rsidRPr="00581B0B">
              <w:rPr>
                <w:rFonts w:hint="eastAsia"/>
                <w:sz w:val="16"/>
                <w:szCs w:val="16"/>
              </w:rPr>
              <w:t>.04</w:t>
            </w:r>
            <w:r w:rsidR="00254017" w:rsidRPr="00581B0B">
              <w:rPr>
                <w:rFonts w:hint="eastAsia"/>
                <w:sz w:val="16"/>
                <w:szCs w:val="16"/>
              </w:rPr>
              <w:t>3</w:t>
            </w:r>
          </w:p>
        </w:tc>
        <w:tc>
          <w:tcPr>
            <w:tcW w:w="992" w:type="dxa"/>
            <w:tcBorders>
              <w:top w:val="nil"/>
              <w:bottom w:val="single" w:sz="8" w:space="0" w:color="auto"/>
            </w:tcBorders>
          </w:tcPr>
          <w:p w14:paraId="1F4D9E36" w14:textId="5383AAB7" w:rsidR="00F351EB" w:rsidRPr="00581B0B" w:rsidRDefault="00C323C9" w:rsidP="00D450DC">
            <w:pPr>
              <w:spacing w:after="120" w:line="360" w:lineRule="auto"/>
              <w:jc w:val="center"/>
              <w:rPr>
                <w:sz w:val="16"/>
                <w:szCs w:val="16"/>
              </w:rPr>
            </w:pPr>
            <w:r w:rsidRPr="00581B0B">
              <w:rPr>
                <w:rFonts w:hint="eastAsia"/>
                <w:sz w:val="16"/>
                <w:szCs w:val="16"/>
              </w:rPr>
              <w:t>6.</w:t>
            </w:r>
            <w:r w:rsidR="00254017" w:rsidRPr="00581B0B">
              <w:rPr>
                <w:rFonts w:hint="eastAsia"/>
                <w:sz w:val="16"/>
                <w:szCs w:val="16"/>
              </w:rPr>
              <w:t>92</w:t>
            </w:r>
            <w:r w:rsidR="00E33353" w:rsidRPr="00581B0B">
              <w:rPr>
                <w:rFonts w:hint="eastAsia"/>
                <w:sz w:val="16"/>
                <w:szCs w:val="16"/>
              </w:rPr>
              <w:t>(6)</w:t>
            </w:r>
          </w:p>
        </w:tc>
        <w:tc>
          <w:tcPr>
            <w:tcW w:w="851" w:type="dxa"/>
            <w:tcBorders>
              <w:top w:val="nil"/>
              <w:bottom w:val="single" w:sz="8" w:space="0" w:color="auto"/>
            </w:tcBorders>
          </w:tcPr>
          <w:p w14:paraId="7FBB3390" w14:textId="58B2A3CF" w:rsidR="00F351EB" w:rsidRPr="00581B0B" w:rsidRDefault="00E33353" w:rsidP="00D450DC">
            <w:pPr>
              <w:spacing w:after="120" w:line="360" w:lineRule="auto"/>
              <w:jc w:val="center"/>
              <w:rPr>
                <w:sz w:val="16"/>
                <w:szCs w:val="16"/>
              </w:rPr>
            </w:pPr>
            <w:r w:rsidRPr="00581B0B">
              <w:rPr>
                <w:rFonts w:hint="eastAsia"/>
                <w:sz w:val="16"/>
                <w:szCs w:val="16"/>
              </w:rPr>
              <w:t>.</w:t>
            </w:r>
            <w:r w:rsidR="00254017" w:rsidRPr="00581B0B">
              <w:rPr>
                <w:rFonts w:hint="eastAsia"/>
                <w:sz w:val="16"/>
                <w:szCs w:val="16"/>
              </w:rPr>
              <w:t>328</w:t>
            </w:r>
          </w:p>
        </w:tc>
        <w:tc>
          <w:tcPr>
            <w:tcW w:w="1134" w:type="dxa"/>
            <w:tcBorders>
              <w:top w:val="nil"/>
              <w:bottom w:val="single" w:sz="8" w:space="0" w:color="auto"/>
            </w:tcBorders>
          </w:tcPr>
          <w:p w14:paraId="4BB6131F" w14:textId="69238185" w:rsidR="00F351EB" w:rsidRPr="00581B0B" w:rsidRDefault="00254017" w:rsidP="00D450DC">
            <w:pPr>
              <w:spacing w:after="120" w:line="360" w:lineRule="auto"/>
              <w:jc w:val="center"/>
              <w:rPr>
                <w:sz w:val="16"/>
                <w:szCs w:val="16"/>
              </w:rPr>
            </w:pPr>
            <w:r w:rsidRPr="00581B0B">
              <w:rPr>
                <w:rFonts w:hint="eastAsia"/>
                <w:sz w:val="16"/>
                <w:szCs w:val="16"/>
              </w:rPr>
              <w:t>13.3</w:t>
            </w:r>
            <w:r w:rsidR="00E33353" w:rsidRPr="00581B0B">
              <w:rPr>
                <w:rFonts w:hint="eastAsia"/>
                <w:sz w:val="16"/>
                <w:szCs w:val="16"/>
              </w:rPr>
              <w:t>% [0.0, 7</w:t>
            </w:r>
            <w:r w:rsidRPr="00581B0B">
              <w:rPr>
                <w:rFonts w:hint="eastAsia"/>
                <w:sz w:val="16"/>
                <w:szCs w:val="16"/>
              </w:rPr>
              <w:t>4</w:t>
            </w:r>
            <w:r w:rsidR="00E33353" w:rsidRPr="00581B0B">
              <w:rPr>
                <w:rFonts w:hint="eastAsia"/>
                <w:sz w:val="16"/>
                <w:szCs w:val="16"/>
              </w:rPr>
              <w:t>.</w:t>
            </w:r>
            <w:r w:rsidRPr="00581B0B">
              <w:rPr>
                <w:rFonts w:hint="eastAsia"/>
                <w:sz w:val="16"/>
                <w:szCs w:val="16"/>
              </w:rPr>
              <w:t>7</w:t>
            </w:r>
            <w:r w:rsidR="00E33353" w:rsidRPr="00581B0B">
              <w:rPr>
                <w:rFonts w:hint="eastAsia"/>
                <w:sz w:val="16"/>
                <w:szCs w:val="16"/>
              </w:rPr>
              <w:t>]</w:t>
            </w:r>
          </w:p>
        </w:tc>
        <w:tc>
          <w:tcPr>
            <w:tcW w:w="708" w:type="dxa"/>
            <w:tcBorders>
              <w:top w:val="nil"/>
              <w:bottom w:val="single" w:sz="8" w:space="0" w:color="auto"/>
            </w:tcBorders>
          </w:tcPr>
          <w:p w14:paraId="23087730" w14:textId="5B0A04AD" w:rsidR="00F351EB" w:rsidRPr="00581B0B" w:rsidRDefault="00E33353" w:rsidP="00D450DC">
            <w:pPr>
              <w:spacing w:after="120" w:line="360" w:lineRule="auto"/>
              <w:jc w:val="center"/>
              <w:rPr>
                <w:sz w:val="16"/>
                <w:szCs w:val="16"/>
              </w:rPr>
            </w:pPr>
            <w:r w:rsidRPr="00581B0B">
              <w:rPr>
                <w:rFonts w:hint="eastAsia"/>
                <w:sz w:val="16"/>
                <w:szCs w:val="16"/>
              </w:rPr>
              <w:t>0.00</w:t>
            </w:r>
            <w:r w:rsidR="00254017" w:rsidRPr="00581B0B">
              <w:rPr>
                <w:rFonts w:hint="eastAsia"/>
                <w:sz w:val="16"/>
                <w:szCs w:val="16"/>
              </w:rPr>
              <w:t>8</w:t>
            </w:r>
          </w:p>
        </w:tc>
        <w:tc>
          <w:tcPr>
            <w:tcW w:w="1422" w:type="dxa"/>
            <w:tcBorders>
              <w:top w:val="nil"/>
              <w:bottom w:val="single" w:sz="8" w:space="0" w:color="auto"/>
            </w:tcBorders>
          </w:tcPr>
          <w:p w14:paraId="16D127A2" w14:textId="7C8487B2" w:rsidR="00F351EB" w:rsidRPr="00581B0B" w:rsidRDefault="00E33353" w:rsidP="00D450DC">
            <w:pPr>
              <w:spacing w:after="120" w:line="360" w:lineRule="auto"/>
              <w:jc w:val="center"/>
              <w:rPr>
                <w:sz w:val="16"/>
                <w:szCs w:val="16"/>
              </w:rPr>
            </w:pPr>
            <w:r w:rsidRPr="00581B0B">
              <w:rPr>
                <w:rFonts w:hint="eastAsia"/>
                <w:sz w:val="16"/>
                <w:szCs w:val="16"/>
              </w:rPr>
              <w:t>[</w:t>
            </w:r>
            <w:bookmarkStart w:id="69" w:name="OLE_LINK14"/>
            <w:r w:rsidR="00C323C9" w:rsidRPr="00581B0B">
              <w:rPr>
                <w:sz w:val="16"/>
                <w:szCs w:val="16"/>
              </w:rPr>
              <w:t>−</w:t>
            </w:r>
            <w:r w:rsidRPr="00581B0B">
              <w:rPr>
                <w:rFonts w:hint="eastAsia"/>
                <w:sz w:val="16"/>
                <w:szCs w:val="16"/>
              </w:rPr>
              <w:t>0.</w:t>
            </w:r>
            <w:r w:rsidR="00254017" w:rsidRPr="00581B0B">
              <w:rPr>
                <w:rFonts w:hint="eastAsia"/>
                <w:sz w:val="16"/>
                <w:szCs w:val="16"/>
              </w:rPr>
              <w:t>11</w:t>
            </w:r>
            <w:r w:rsidRPr="00581B0B">
              <w:rPr>
                <w:rFonts w:hint="eastAsia"/>
                <w:sz w:val="16"/>
                <w:szCs w:val="16"/>
              </w:rPr>
              <w:t>, 0.</w:t>
            </w:r>
            <w:r w:rsidR="00254017" w:rsidRPr="00581B0B">
              <w:rPr>
                <w:rFonts w:hint="eastAsia"/>
                <w:sz w:val="16"/>
                <w:szCs w:val="16"/>
              </w:rPr>
              <w:t>43</w:t>
            </w:r>
            <w:r w:rsidRPr="00581B0B">
              <w:rPr>
                <w:rFonts w:hint="eastAsia"/>
                <w:sz w:val="16"/>
                <w:szCs w:val="16"/>
              </w:rPr>
              <w:t>]</w:t>
            </w:r>
            <w:bookmarkEnd w:id="69"/>
          </w:p>
        </w:tc>
      </w:tr>
    </w:tbl>
    <w:p w14:paraId="0FAAEBBB" w14:textId="77777777" w:rsidR="007D1E2E" w:rsidRDefault="007D1E2E" w:rsidP="005C752D">
      <w:pPr>
        <w:spacing w:after="120"/>
        <w:jc w:val="both"/>
        <w:rPr>
          <w:b/>
          <w:bCs/>
          <w:sz w:val="24"/>
          <w:szCs w:val="24"/>
        </w:rPr>
      </w:pPr>
    </w:p>
    <w:p w14:paraId="13E04798" w14:textId="054DAB22" w:rsidR="00B553F7" w:rsidRPr="00950BF3" w:rsidRDefault="00DB320F" w:rsidP="005C752D">
      <w:pPr>
        <w:spacing w:after="120"/>
        <w:jc w:val="both"/>
        <w:rPr>
          <w:b/>
          <w:bCs/>
          <w:sz w:val="24"/>
          <w:szCs w:val="24"/>
        </w:rPr>
      </w:pPr>
      <w:r w:rsidRPr="00C16B32">
        <w:rPr>
          <w:i/>
          <w:iCs/>
        </w:rPr>
        <w:t>Note.</w:t>
      </w:r>
      <w:bookmarkEnd w:id="64"/>
      <w:r w:rsidR="005F269D">
        <w:rPr>
          <w:rFonts w:hint="eastAsia"/>
          <w:i/>
          <w:iCs/>
        </w:rPr>
        <w:t xml:space="preserve"> </w:t>
      </w:r>
      <w:bookmarkStart w:id="70" w:name="OLE_LINK28"/>
      <w:r w:rsidR="00180DF9" w:rsidRPr="00180DF9">
        <w:rPr>
          <w:i/>
          <w:iCs/>
        </w:rPr>
        <w:t>k</w:t>
      </w:r>
      <w:r w:rsidR="00180DF9" w:rsidRPr="00180DF9">
        <w:t xml:space="preserve"> = number of studies; CI = confidence interval; PI = prediction interval; τ² = between-study variance; </w:t>
      </w:r>
      <w:r w:rsidR="00180DF9" w:rsidRPr="00180DF9">
        <w:rPr>
          <w:i/>
          <w:iCs/>
        </w:rPr>
        <w:t>I</w:t>
      </w:r>
      <w:r w:rsidR="00180DF9" w:rsidRPr="00180DF9">
        <w:t>² = proportion of total variation due to heterogeneity. Pooled estimates were computed using a random-effects model with restricted maximum-likelihood (REML) estimator and Hartung-Knapp adjustment. Short = short-term follow-up (post-intervention to &lt;6 months); Long = long-term follow-up (≥6 months). For the long-term tier, the longest available timepoint per study was used; a sensitivity analysis using the earliest ≥6-month timepoint per study yielded a comparable estimate (</w:t>
      </w:r>
      <w:r w:rsidR="00180DF9" w:rsidRPr="00180DF9">
        <w:rPr>
          <w:i/>
          <w:iCs/>
        </w:rPr>
        <w:t>g</w:t>
      </w:r>
      <w:r w:rsidR="00180DF9" w:rsidRPr="00180DF9">
        <w:t xml:space="preserve"> = 0.15)</w:t>
      </w:r>
      <w:r w:rsidR="005F269D" w:rsidRPr="005F269D">
        <w:t>.</w:t>
      </w:r>
      <w:bookmarkEnd w:id="70"/>
    </w:p>
    <w:p w14:paraId="33E856DC" w14:textId="77777777" w:rsidR="006E03C5" w:rsidRDefault="00D450DC">
      <w:pPr>
        <w:pStyle w:val="2"/>
        <w:rPr>
          <w:rFonts w:eastAsiaTheme="minorEastAsia"/>
        </w:rPr>
      </w:pPr>
      <w:bookmarkStart w:id="71" w:name="OLE_LINK61"/>
      <w:bookmarkStart w:id="72" w:name="OLE_LINK70"/>
      <w:r>
        <w:t>4.</w:t>
      </w:r>
      <w:r w:rsidR="007C77E2">
        <w:rPr>
          <w:rFonts w:eastAsiaTheme="minorEastAsia" w:hint="eastAsia"/>
        </w:rPr>
        <w:t>5</w:t>
      </w:r>
      <w:r>
        <w:t xml:space="preserve">. Subgroup </w:t>
      </w:r>
      <w:r w:rsidR="002060A8" w:rsidRPr="002060A8">
        <w:t xml:space="preserve">Analyses </w:t>
      </w:r>
    </w:p>
    <w:p w14:paraId="32D48A43" w14:textId="14041841" w:rsidR="000F6C5A" w:rsidRDefault="006E03C5" w:rsidP="006E03C5">
      <w:pPr>
        <w:pStyle w:val="3"/>
        <w:rPr>
          <w:rFonts w:eastAsiaTheme="minorEastAsia"/>
        </w:rPr>
      </w:pPr>
      <w:bookmarkStart w:id="73" w:name="OLE_LINK35"/>
      <w:r w:rsidRPr="006E03C5">
        <w:rPr>
          <w:rFonts w:eastAsiaTheme="minorEastAsia"/>
        </w:rPr>
        <w:t>4.</w:t>
      </w:r>
      <w:r w:rsidRPr="006E03C5">
        <w:rPr>
          <w:rFonts w:eastAsiaTheme="minorEastAsia" w:hint="eastAsia"/>
        </w:rPr>
        <w:t>5</w:t>
      </w:r>
      <w:r w:rsidRPr="006E03C5">
        <w:rPr>
          <w:rFonts w:eastAsiaTheme="minorEastAsia"/>
        </w:rPr>
        <w:t xml:space="preserve">.1 </w:t>
      </w:r>
      <w:r>
        <w:rPr>
          <w:rFonts w:eastAsiaTheme="minorEastAsia" w:hint="eastAsia"/>
        </w:rPr>
        <w:t>Confirmatory subgroup analyses</w:t>
      </w:r>
    </w:p>
    <w:bookmarkEnd w:id="73"/>
    <w:p w14:paraId="035685D7" w14:textId="77777777" w:rsidR="00BC39C2" w:rsidRDefault="00E67E87" w:rsidP="00322DF0">
      <w:pPr>
        <w:pStyle w:val="4"/>
      </w:pPr>
      <w:r w:rsidRPr="00322DF0">
        <w:t>4.5.1.1 Control Type</w:t>
      </w:r>
    </w:p>
    <w:p w14:paraId="2B80D198" w14:textId="78075552" w:rsidR="009C37E9" w:rsidRPr="009C37E9" w:rsidRDefault="00FF0B33" w:rsidP="009C37E9">
      <w:pPr>
        <w:spacing w:after="120" w:line="360" w:lineRule="auto"/>
        <w:ind w:firstLine="360"/>
        <w:jc w:val="both"/>
      </w:pPr>
      <w:bookmarkStart w:id="74" w:name="OLE_LINK39"/>
      <w:r w:rsidRPr="00FF0B33">
        <w:t>Of the 14 studies, seven employed passive control conditions (waitlist, treatment-as-usual, or assessment-only) and seven employed minimally active control conditions (attention</w:t>
      </w:r>
      <w:r w:rsidR="00816E8E">
        <w:rPr>
          <w:rFonts w:hint="eastAsia"/>
        </w:rPr>
        <w:t xml:space="preserve">-control </w:t>
      </w:r>
      <w:r w:rsidRPr="00FF0B33">
        <w:t>or information-only).</w:t>
      </w:r>
      <w:r w:rsidR="009C37E9" w:rsidRPr="009C37E9">
        <w:t xml:space="preserve"> This classification was based on the degree of activeness of the control condition. The Q-between test indicated no statistically significant difference between the two pooled subgroups, </w:t>
      </w:r>
      <w:proofErr w:type="gramStart"/>
      <w:r w:rsidR="009C37E9" w:rsidRPr="009C37E9">
        <w:rPr>
          <w:i/>
          <w:iCs/>
        </w:rPr>
        <w:t>Q</w:t>
      </w:r>
      <w:r w:rsidR="009C37E9" w:rsidRPr="009C37E9">
        <w:t>(</w:t>
      </w:r>
      <w:proofErr w:type="gramEnd"/>
      <w:r w:rsidR="009C37E9" w:rsidRPr="009C37E9">
        <w:t xml:space="preserve">1) = 0.46, </w:t>
      </w:r>
      <w:r w:rsidR="009C37E9" w:rsidRPr="009C37E9">
        <w:rPr>
          <w:i/>
          <w:iCs/>
        </w:rPr>
        <w:t>p</w:t>
      </w:r>
      <w:r w:rsidR="009C37E9" w:rsidRPr="009C37E9">
        <w:t xml:space="preserve"> = .499, suggesting that control type did not significantly moderate the intervention effect (see Table </w:t>
      </w:r>
      <w:r w:rsidR="00816E8E">
        <w:rPr>
          <w:rFonts w:hint="eastAsia"/>
        </w:rPr>
        <w:t>4</w:t>
      </w:r>
      <w:r w:rsidR="009C37E9" w:rsidRPr="009C37E9">
        <w:t>).</w:t>
      </w:r>
    </w:p>
    <w:p w14:paraId="07F58E19" w14:textId="32088D81" w:rsidR="009C37E9" w:rsidRPr="009C37E9" w:rsidRDefault="009C37E9" w:rsidP="009C37E9">
      <w:pPr>
        <w:spacing w:after="120" w:line="360" w:lineRule="auto"/>
        <w:ind w:firstLine="360"/>
        <w:jc w:val="both"/>
      </w:pPr>
      <w:bookmarkStart w:id="75" w:name="OLE_LINK40"/>
      <w:bookmarkEnd w:id="74"/>
      <w:r w:rsidRPr="009C37E9">
        <w:t xml:space="preserve">In the passive control subgroup, the pooled effect was Hedges’ </w:t>
      </w:r>
      <w:r w:rsidRPr="009C37E9">
        <w:rPr>
          <w:i/>
          <w:iCs/>
        </w:rPr>
        <w:t>g</w:t>
      </w:r>
      <w:r w:rsidRPr="009C37E9">
        <w:t xml:space="preserve"> = 0.35, 95% CI [-0.13, 0.83], </w:t>
      </w:r>
      <w:r w:rsidRPr="009C37E9">
        <w:rPr>
          <w:i/>
          <w:iCs/>
        </w:rPr>
        <w:t>p</w:t>
      </w:r>
      <w:r w:rsidRPr="009C37E9">
        <w:t xml:space="preserve"> = .1</w:t>
      </w:r>
      <w:r w:rsidR="00FF0B33">
        <w:rPr>
          <w:rFonts w:hint="eastAsia"/>
        </w:rPr>
        <w:t>23</w:t>
      </w:r>
      <w:r w:rsidRPr="009C37E9">
        <w:t xml:space="preserve">, with the confidence interval crossing zero. In the minimally active control subgroup, the pooled effect was Hedges’ </w:t>
      </w:r>
      <w:r w:rsidRPr="009C37E9">
        <w:rPr>
          <w:i/>
          <w:iCs/>
        </w:rPr>
        <w:t>g</w:t>
      </w:r>
      <w:r w:rsidRPr="009C37E9">
        <w:t xml:space="preserve"> = 0.21, 95% CI [0.05, 0.37], </w:t>
      </w:r>
      <w:r w:rsidRPr="009C37E9">
        <w:rPr>
          <w:i/>
          <w:iCs/>
        </w:rPr>
        <w:t>p</w:t>
      </w:r>
      <w:r w:rsidRPr="009C37E9">
        <w:t xml:space="preserve"> = .019, with the confidence interval excluding zero. </w:t>
      </w:r>
      <w:bookmarkEnd w:id="75"/>
    </w:p>
    <w:p w14:paraId="7259170E" w14:textId="4562338A" w:rsidR="009C37E9" w:rsidRPr="009C37E9" w:rsidRDefault="009C37E9" w:rsidP="009C37E9">
      <w:pPr>
        <w:spacing w:after="120" w:line="360" w:lineRule="auto"/>
        <w:ind w:firstLine="360"/>
        <w:jc w:val="both"/>
      </w:pPr>
      <w:r w:rsidRPr="009C37E9">
        <w:t xml:space="preserve">A more notable feature of this subgroup analysis was the difference in within-subgroup heterogeneity. The passive control subgroup showed substantial heterogeneity, </w:t>
      </w:r>
      <w:r w:rsidRPr="009C37E9">
        <w:rPr>
          <w:i/>
          <w:iCs/>
        </w:rPr>
        <w:t>I</w:t>
      </w:r>
      <w:r w:rsidRPr="009C37E9">
        <w:t xml:space="preserve">² = 79.0%, 95% CI [56.7%, 89.8%], whereas the minimally active control subgroup showed low heterogeneity, </w:t>
      </w:r>
      <w:r w:rsidRPr="009C37E9">
        <w:rPr>
          <w:i/>
          <w:iCs/>
        </w:rPr>
        <w:t>I</w:t>
      </w:r>
      <w:r w:rsidRPr="009C37E9">
        <w:t xml:space="preserve">² = 10.2%, 95% CI [0.0%, </w:t>
      </w:r>
      <w:r w:rsidRPr="009C37E9">
        <w:lastRenderedPageBreak/>
        <w:t>73.8%]. Thus, the control-type comparison did not provide evidence of a statistically significant difference in pooled effect size, but it suggested that the passive-control studies were considerably more heterogeneous than the minimally active-control studies.</w:t>
      </w:r>
    </w:p>
    <w:p w14:paraId="6E43D485" w14:textId="37A3AE40" w:rsidR="00BF07C4" w:rsidRDefault="00E67E87" w:rsidP="000F6C5A">
      <w:pPr>
        <w:pStyle w:val="4"/>
      </w:pPr>
      <w:r w:rsidRPr="00E67E87">
        <w:t xml:space="preserve">4.5.1.2 Baseline Depression Severity </w:t>
      </w:r>
    </w:p>
    <w:p w14:paraId="28C01217" w14:textId="73D4492F" w:rsidR="00361E37" w:rsidRDefault="00014247" w:rsidP="00014247">
      <w:pPr>
        <w:spacing w:after="120" w:line="360" w:lineRule="auto"/>
        <w:ind w:firstLine="360"/>
        <w:jc w:val="both"/>
      </w:pPr>
      <w:r w:rsidRPr="00014247">
        <w:t>Studies were classified into two baseline severity strata based on each study’s reported pre-intervention mean and the corresponding clinical cutoff</w:t>
      </w:r>
      <w:r>
        <w:rPr>
          <w:rFonts w:hint="eastAsia"/>
        </w:rPr>
        <w:t xml:space="preserve">. </w:t>
      </w:r>
      <w:r w:rsidRPr="00014247">
        <w:t xml:space="preserve"> </w:t>
      </w:r>
      <w:r w:rsidR="006B2786">
        <w:rPr>
          <w:rFonts w:hint="eastAsia"/>
        </w:rPr>
        <w:t>Nine</w:t>
      </w:r>
      <w:r w:rsidRPr="00014247">
        <w:t xml:space="preserve"> studies fell into the Low stratum, reflecting mild or mild-to-moderate baseline depression, and </w:t>
      </w:r>
      <w:r w:rsidR="006B2786">
        <w:rPr>
          <w:rFonts w:hint="eastAsia"/>
        </w:rPr>
        <w:t>five</w:t>
      </w:r>
      <w:r w:rsidRPr="00014247">
        <w:t xml:space="preserve"> into the High stratum, reflecting moderate or severe baseline depression. The test for subgroup differences showed no statistically significant difference between the two pooled subgroup effects, </w:t>
      </w:r>
      <w:proofErr w:type="gramStart"/>
      <w:r w:rsidRPr="008E3603">
        <w:rPr>
          <w:i/>
          <w:iCs/>
        </w:rPr>
        <w:t>Q</w:t>
      </w:r>
      <w:r w:rsidRPr="00014247">
        <w:t>(</w:t>
      </w:r>
      <w:proofErr w:type="gramEnd"/>
      <w:r w:rsidRPr="00014247">
        <w:t>1) = 0.0</w:t>
      </w:r>
      <w:r w:rsidR="00C72DE0">
        <w:rPr>
          <w:rFonts w:hint="eastAsia"/>
        </w:rPr>
        <w:t>2</w:t>
      </w:r>
      <w:r w:rsidRPr="00014247">
        <w:t xml:space="preserve">, </w:t>
      </w:r>
      <w:r w:rsidRPr="008E3603">
        <w:rPr>
          <w:i/>
          <w:iCs/>
        </w:rPr>
        <w:t>p</w:t>
      </w:r>
      <w:r w:rsidRPr="00014247">
        <w:t xml:space="preserve"> = .</w:t>
      </w:r>
      <w:r w:rsidR="00577F80">
        <w:rPr>
          <w:rFonts w:hint="eastAsia"/>
        </w:rPr>
        <w:t>883</w:t>
      </w:r>
      <w:r w:rsidRPr="00014247">
        <w:t xml:space="preserve"> (Table 5).</w:t>
      </w:r>
    </w:p>
    <w:p w14:paraId="02AAD1BF" w14:textId="40E4BE9F" w:rsidR="00014247" w:rsidRDefault="00014247" w:rsidP="00014247">
      <w:pPr>
        <w:spacing w:after="120" w:line="360" w:lineRule="auto"/>
        <w:ind w:firstLine="360"/>
        <w:jc w:val="both"/>
      </w:pPr>
      <w:r w:rsidRPr="00014247">
        <w:t xml:space="preserve"> In the Low stratum,</w:t>
      </w:r>
      <w:bookmarkStart w:id="76" w:name="OLE_LINK43"/>
      <w:r w:rsidRPr="00014247">
        <w:t xml:space="preserve"> the pooled Hedges’ g was 0.2</w:t>
      </w:r>
      <w:r w:rsidR="00816E8E">
        <w:rPr>
          <w:rFonts w:hint="eastAsia"/>
        </w:rPr>
        <w:t>9</w:t>
      </w:r>
      <w:r w:rsidRPr="00014247">
        <w:t>, 95% CI [0.0</w:t>
      </w:r>
      <w:r w:rsidR="00816E8E">
        <w:rPr>
          <w:rFonts w:hint="eastAsia"/>
        </w:rPr>
        <w:t>4</w:t>
      </w:r>
      <w:r w:rsidRPr="00014247">
        <w:t>, 0.</w:t>
      </w:r>
      <w:r w:rsidR="00816E8E">
        <w:rPr>
          <w:rFonts w:hint="eastAsia"/>
        </w:rPr>
        <w:t>53</w:t>
      </w:r>
      <w:r w:rsidRPr="00014247">
        <w:t xml:space="preserve">], </w:t>
      </w:r>
      <w:r w:rsidRPr="008E3603">
        <w:rPr>
          <w:i/>
          <w:iCs/>
        </w:rPr>
        <w:t>p</w:t>
      </w:r>
      <w:r w:rsidRPr="00014247">
        <w:t xml:space="preserve"> = .02</w:t>
      </w:r>
      <w:bookmarkEnd w:id="76"/>
      <w:r w:rsidR="00816E8E">
        <w:rPr>
          <w:rFonts w:hint="eastAsia"/>
        </w:rPr>
        <w:t>6</w:t>
      </w:r>
      <w:r w:rsidRPr="00014247">
        <w:t xml:space="preserve">, with the confidence interval excluding zero. In the High stratum, the pooled Hedges’ </w:t>
      </w:r>
      <w:r w:rsidRPr="008E3603">
        <w:rPr>
          <w:i/>
          <w:iCs/>
        </w:rPr>
        <w:t>g</w:t>
      </w:r>
      <w:r w:rsidRPr="00014247">
        <w:t xml:space="preserve"> was 0.2</w:t>
      </w:r>
      <w:r w:rsidR="00816E8E">
        <w:rPr>
          <w:rFonts w:hint="eastAsia"/>
        </w:rPr>
        <w:t>5</w:t>
      </w:r>
      <w:r w:rsidRPr="00014247">
        <w:t>, 95% CI [-0.</w:t>
      </w:r>
      <w:r w:rsidR="00816E8E">
        <w:rPr>
          <w:rFonts w:hint="eastAsia"/>
        </w:rPr>
        <w:t>34</w:t>
      </w:r>
      <w:r w:rsidRPr="00014247">
        <w:t xml:space="preserve">, </w:t>
      </w:r>
      <w:r w:rsidR="00816E8E">
        <w:rPr>
          <w:rFonts w:hint="eastAsia"/>
        </w:rPr>
        <w:t>0.85</w:t>
      </w:r>
      <w:r w:rsidRPr="00014247">
        <w:t xml:space="preserve">], </w:t>
      </w:r>
      <w:r w:rsidRPr="008E3603">
        <w:rPr>
          <w:i/>
          <w:iCs/>
        </w:rPr>
        <w:t>p</w:t>
      </w:r>
      <w:r w:rsidRPr="00014247">
        <w:t xml:space="preserve"> = .3</w:t>
      </w:r>
      <w:r w:rsidR="00816E8E">
        <w:rPr>
          <w:rFonts w:hint="eastAsia"/>
        </w:rPr>
        <w:t>05</w:t>
      </w:r>
      <w:r w:rsidRPr="00014247">
        <w:t>, with the confidence interval crossing zero.</w:t>
      </w:r>
    </w:p>
    <w:p w14:paraId="4ED63F74" w14:textId="07C54DD7" w:rsidR="00014247" w:rsidRPr="00014247" w:rsidRDefault="00014247" w:rsidP="00014247">
      <w:pPr>
        <w:spacing w:after="120" w:line="360" w:lineRule="auto"/>
        <w:ind w:firstLine="360"/>
        <w:jc w:val="both"/>
      </w:pPr>
      <w:r>
        <w:rPr>
          <w:rFonts w:hint="eastAsia"/>
        </w:rPr>
        <w:t>T</w:t>
      </w:r>
      <w:r w:rsidRPr="00014247">
        <w:t>he two strata produced near-identical point estimates. The substantially wider confidence interval in the High stratum appears to reflect the combination of fewer contributing studies (</w:t>
      </w:r>
      <w:r w:rsidRPr="006B2786">
        <w:rPr>
          <w:i/>
          <w:iCs/>
        </w:rPr>
        <w:t>k</w:t>
      </w:r>
      <w:r w:rsidRPr="00014247">
        <w:t xml:space="preserve"> = </w:t>
      </w:r>
      <w:r w:rsidR="00C72DE0">
        <w:rPr>
          <w:rFonts w:hint="eastAsia"/>
        </w:rPr>
        <w:t>5</w:t>
      </w:r>
      <w:r w:rsidRPr="00014247">
        <w:t>) and greater within-subgroup heterogeneity (</w:t>
      </w:r>
      <w:r w:rsidRPr="008E3603">
        <w:rPr>
          <w:i/>
          <w:iCs/>
        </w:rPr>
        <w:t>I</w:t>
      </w:r>
      <w:r w:rsidRPr="00014247">
        <w:t xml:space="preserve">² = </w:t>
      </w:r>
      <w:r w:rsidR="00C72DE0">
        <w:rPr>
          <w:rFonts w:hint="eastAsia"/>
        </w:rPr>
        <w:t>76.1</w:t>
      </w:r>
      <w:r w:rsidRPr="00014247">
        <w:t>%, 95% CI [</w:t>
      </w:r>
      <w:r w:rsidR="00C72DE0">
        <w:rPr>
          <w:rFonts w:hint="eastAsia"/>
        </w:rPr>
        <w:t>41.6</w:t>
      </w:r>
      <w:r w:rsidRPr="00014247">
        <w:t>%, 9</w:t>
      </w:r>
      <w:r w:rsidR="00C72DE0">
        <w:rPr>
          <w:rFonts w:hint="eastAsia"/>
        </w:rPr>
        <w:t>0</w:t>
      </w:r>
      <w:r w:rsidRPr="00014247">
        <w:t>.</w:t>
      </w:r>
      <w:r w:rsidR="00C72DE0">
        <w:rPr>
          <w:rFonts w:hint="eastAsia"/>
        </w:rPr>
        <w:t>2</w:t>
      </w:r>
      <w:r w:rsidRPr="00014247">
        <w:t>%]) relative to the Low stratum (</w:t>
      </w:r>
      <w:r w:rsidRPr="008E3603">
        <w:rPr>
          <w:i/>
          <w:iCs/>
        </w:rPr>
        <w:t>I</w:t>
      </w:r>
      <w:r w:rsidRPr="00014247">
        <w:t xml:space="preserve">² = </w:t>
      </w:r>
      <w:r w:rsidR="00C72DE0">
        <w:rPr>
          <w:rFonts w:hint="eastAsia"/>
        </w:rPr>
        <w:t>57.0</w:t>
      </w:r>
      <w:r w:rsidRPr="00014247">
        <w:t>%, 95% CI [</w:t>
      </w:r>
      <w:r w:rsidR="00C72DE0">
        <w:rPr>
          <w:rFonts w:hint="eastAsia"/>
        </w:rPr>
        <w:t>9.5</w:t>
      </w:r>
      <w:r w:rsidRPr="00014247">
        <w:t>%, 7</w:t>
      </w:r>
      <w:r w:rsidR="00C72DE0">
        <w:rPr>
          <w:rFonts w:hint="eastAsia"/>
        </w:rPr>
        <w:t>9</w:t>
      </w:r>
      <w:r w:rsidRPr="00014247">
        <w:t>.</w:t>
      </w:r>
      <w:r w:rsidR="00C72DE0">
        <w:rPr>
          <w:rFonts w:hint="eastAsia"/>
        </w:rPr>
        <w:t>5</w:t>
      </w:r>
      <w:r w:rsidRPr="00014247">
        <w:t>%]), rather than evidence of a clearly different effect. Therefore, these findings do not support baseline severity as a moderator of intervention effects, although the small number of studies in the High stratum limits the precision of this conclusion.</w:t>
      </w:r>
    </w:p>
    <w:p w14:paraId="7FD1BA7B" w14:textId="4E35D1BD" w:rsidR="006E03C5" w:rsidRDefault="006E03C5" w:rsidP="006E03C5">
      <w:pPr>
        <w:pStyle w:val="3"/>
        <w:rPr>
          <w:rFonts w:eastAsiaTheme="minorEastAsia"/>
        </w:rPr>
      </w:pPr>
      <w:r w:rsidRPr="006E03C5">
        <w:rPr>
          <w:rFonts w:eastAsiaTheme="minorEastAsia"/>
        </w:rPr>
        <w:t>4.5.2 Exploratory subgroup analyses</w:t>
      </w:r>
    </w:p>
    <w:p w14:paraId="65633B76" w14:textId="77777777" w:rsidR="000F6C5A" w:rsidRDefault="00E67E87" w:rsidP="000F6C5A">
      <w:pPr>
        <w:pStyle w:val="4"/>
      </w:pPr>
      <w:bookmarkStart w:id="77" w:name="OLE_LINK18"/>
      <w:r w:rsidRPr="00E67E87">
        <w:t>4.5.2.1 Human Contact</w:t>
      </w:r>
    </w:p>
    <w:p w14:paraId="3E779116" w14:textId="77777777" w:rsidR="002B3CDC" w:rsidRDefault="002B3CDC" w:rsidP="00EC5FDE">
      <w:pPr>
        <w:spacing w:after="120" w:line="360" w:lineRule="auto"/>
        <w:ind w:firstLine="360"/>
        <w:jc w:val="both"/>
      </w:pPr>
      <w:r w:rsidRPr="002B3CDC">
        <w:t xml:space="preserve">Five trials (Ackerson et al., 1998; Fleming et al., 2012; Ip et al., 2016; </w:t>
      </w:r>
      <w:proofErr w:type="spellStart"/>
      <w:r w:rsidRPr="002B3CDC">
        <w:t>Poppelaars</w:t>
      </w:r>
      <w:proofErr w:type="spellEnd"/>
      <w:r w:rsidRPr="002B3CDC">
        <w:t xml:space="preserve"> et al., 2016; Rohde et al., 2015) involved human contact during the intervention, whereas nine trials relied solely on automated or technical </w:t>
      </w:r>
      <w:proofErr w:type="gramStart"/>
      <w:r w:rsidRPr="002B3CDC">
        <w:t>support, or</w:t>
      </w:r>
      <w:proofErr w:type="gramEnd"/>
      <w:r w:rsidRPr="002B3CDC">
        <w:t xml:space="preserve"> provided no non-therapeutic human support. The test for subgroup differences indicated no statistically significant difference between the two pooled subgroup effects, </w:t>
      </w:r>
      <w:proofErr w:type="gramStart"/>
      <w:r w:rsidRPr="002B3CDC">
        <w:t>Q(</w:t>
      </w:r>
      <w:proofErr w:type="gramEnd"/>
      <w:r w:rsidRPr="002B3CDC">
        <w:t>1) = 0.04, p = .851 (Table 5).</w:t>
      </w:r>
    </w:p>
    <w:p w14:paraId="3634B835" w14:textId="487DA067" w:rsidR="00854C7A" w:rsidRDefault="002B3CDC" w:rsidP="00EC5FDE">
      <w:pPr>
        <w:spacing w:after="120" w:line="360" w:lineRule="auto"/>
        <w:ind w:firstLine="360"/>
        <w:jc w:val="both"/>
      </w:pPr>
      <w:r w:rsidRPr="002B3CDC">
        <w:t>In the subgroup with human contact, the pooled Hedges' g was 0.31, 95% CI [−0.37, 0.99], p = .273, with the confidence interval crossing zero. In the subgroup without human contact, the pooled Hedges' g was 0.26, 95% CI [0.04, 0.48], p = .024, with the confidence interval excluding zero.</w:t>
      </w:r>
      <w:r w:rsidR="00361E37">
        <w:rPr>
          <w:rFonts w:hint="eastAsia"/>
        </w:rPr>
        <w:t xml:space="preserve"> </w:t>
      </w:r>
    </w:p>
    <w:p w14:paraId="31C77AF9" w14:textId="0D8C55DF" w:rsidR="00664F17" w:rsidRDefault="00664F17" w:rsidP="00EC5FDE">
      <w:pPr>
        <w:spacing w:after="120" w:line="360" w:lineRule="auto"/>
        <w:ind w:firstLine="360"/>
        <w:jc w:val="both"/>
      </w:pPr>
      <w:r w:rsidRPr="00664F17">
        <w:t>The point estimates were nearly identical (g = 0.31 vs 0.26), and the difference in statistical significance between the two subgroups reflects lower precision in the smaller, more heterogeneous human-contact subgroup rather than a genuine difference in effect.</w:t>
      </w:r>
    </w:p>
    <w:bookmarkEnd w:id="77"/>
    <w:p w14:paraId="42A09877" w14:textId="26ABEB00" w:rsidR="00E67E87" w:rsidRPr="00CE33CB" w:rsidRDefault="00E67E87" w:rsidP="000F6C5A">
      <w:pPr>
        <w:pStyle w:val="4"/>
      </w:pPr>
      <w:r w:rsidRPr="00E67E87">
        <w:lastRenderedPageBreak/>
        <w:t>4.5.2.2 CBT Components: Relaxation, Problem-Solving, and Homework</w:t>
      </w:r>
      <w:r w:rsidR="00CE33CB">
        <w:rPr>
          <w:rFonts w:hint="eastAsia"/>
        </w:rPr>
        <w:t>, Relapse Prevention, Interpersonal Skills Training</w:t>
      </w:r>
    </w:p>
    <w:p w14:paraId="3DE12AB4" w14:textId="77777777" w:rsidR="00780B81" w:rsidRDefault="00780B81" w:rsidP="006E03C5"/>
    <w:p w14:paraId="5472B0D1" w14:textId="27644092" w:rsidR="00EC13FF" w:rsidRDefault="00334F69" w:rsidP="00334F69">
      <w:pPr>
        <w:spacing w:after="120" w:line="360" w:lineRule="auto"/>
        <w:ind w:firstLine="360"/>
        <w:jc w:val="both"/>
      </w:pPr>
      <w:r>
        <w:rPr>
          <w:rFonts w:hint="eastAsia"/>
        </w:rPr>
        <w:t xml:space="preserve">Across the </w:t>
      </w:r>
      <w:r w:rsidR="00EC13FF">
        <w:rPr>
          <w:rFonts w:hint="eastAsia"/>
        </w:rPr>
        <w:t>five</w:t>
      </w:r>
      <w:r>
        <w:rPr>
          <w:rFonts w:hint="eastAsia"/>
        </w:rPr>
        <w:t xml:space="preserve"> therapeutic </w:t>
      </w:r>
      <w:r>
        <w:t>component</w:t>
      </w:r>
      <w:r>
        <w:rPr>
          <w:rFonts w:hint="eastAsia"/>
        </w:rPr>
        <w:t xml:space="preserve"> contrasts (relaxation, problem-solving, homework</w:t>
      </w:r>
      <w:r w:rsidR="0020307E">
        <w:rPr>
          <w:rFonts w:hint="eastAsia"/>
        </w:rPr>
        <w:t>, relapse prevention, interpersonal skills training</w:t>
      </w:r>
      <w:r>
        <w:rPr>
          <w:rFonts w:hint="eastAsia"/>
        </w:rPr>
        <w:t xml:space="preserve">), no between-subgroup differences reached significance (all </w:t>
      </w:r>
      <w:r w:rsidRPr="00334F69">
        <w:rPr>
          <w:rFonts w:hint="eastAsia"/>
          <w:i/>
          <w:iCs/>
        </w:rPr>
        <w:t>p</w:t>
      </w:r>
      <w:r>
        <w:rPr>
          <w:rFonts w:hint="eastAsia"/>
        </w:rPr>
        <w:t xml:space="preserve"> &gt; .1</w:t>
      </w:r>
      <w:r w:rsidR="0020307E">
        <w:rPr>
          <w:rFonts w:hint="eastAsia"/>
        </w:rPr>
        <w:t>60</w:t>
      </w:r>
      <w:r>
        <w:rPr>
          <w:rFonts w:hint="eastAsia"/>
        </w:rPr>
        <w:t xml:space="preserve">; Table 4). </w:t>
      </w:r>
      <w:r w:rsidR="00EC13FF" w:rsidRPr="00EC13FF">
        <w:t>In four of the five contrasts the component-present subgroup showed a larger pooled effect than the component-absent subgroup</w:t>
      </w:r>
      <w:r w:rsidR="00EC13FF">
        <w:rPr>
          <w:rFonts w:hint="eastAsia"/>
        </w:rPr>
        <w:t>, while</w:t>
      </w:r>
      <w:r w:rsidR="00EC13FF" w:rsidRPr="00EC13FF">
        <w:t xml:space="preserve"> interpersonal skills training was the exception, where the present subgroup was marginally smaller (</w:t>
      </w:r>
      <w:r w:rsidR="00EC13FF" w:rsidRPr="00EC13FF">
        <w:rPr>
          <w:i/>
          <w:iCs/>
        </w:rPr>
        <w:t>g</w:t>
      </w:r>
      <w:r w:rsidR="00EC13FF" w:rsidRPr="00EC13FF">
        <w:t xml:space="preserve"> = 0.26 vs 0.29). The present-versus-absent gap was most pronounced for homework (</w:t>
      </w:r>
      <w:r w:rsidR="00EC13FF" w:rsidRPr="00643179">
        <w:rPr>
          <w:i/>
          <w:iCs/>
        </w:rPr>
        <w:t>g</w:t>
      </w:r>
      <w:r w:rsidR="00EC13FF" w:rsidRPr="00EC13FF">
        <w:t xml:space="preserve"> = 0.37 vs 0.14) and smallest for interpersonal skills training.</w:t>
      </w:r>
    </w:p>
    <w:p w14:paraId="092CCFCD" w14:textId="02DBD64E" w:rsidR="00780B81" w:rsidRDefault="00334F69" w:rsidP="00334F69">
      <w:pPr>
        <w:spacing w:after="120" w:line="360" w:lineRule="auto"/>
        <w:ind w:firstLine="360"/>
        <w:jc w:val="both"/>
      </w:pPr>
      <w:r>
        <w:rPr>
          <w:rFonts w:hint="eastAsia"/>
        </w:rPr>
        <w:t xml:space="preserve"> </w:t>
      </w:r>
      <w:r w:rsidR="00EC13FF">
        <w:rPr>
          <w:rFonts w:hint="eastAsia"/>
        </w:rPr>
        <w:t xml:space="preserve">Two contrasts are worth noting. </w:t>
      </w:r>
      <w:r w:rsidR="00EC13FF" w:rsidRPr="00EC13FF">
        <w:t>For homework, the present subgroup reached significance (</w:t>
      </w:r>
      <w:r w:rsidR="00EC13FF" w:rsidRPr="00643179">
        <w:rPr>
          <w:i/>
          <w:iCs/>
        </w:rPr>
        <w:t>g</w:t>
      </w:r>
      <w:r w:rsidR="00EC13FF" w:rsidRPr="00EC13FF">
        <w:t xml:space="preserve"> = 0.37, p = .030) while the absent subgroup did not (</w:t>
      </w:r>
      <w:r w:rsidR="00EC13FF" w:rsidRPr="00643179">
        <w:rPr>
          <w:i/>
          <w:iCs/>
        </w:rPr>
        <w:t xml:space="preserve">g </w:t>
      </w:r>
      <w:r w:rsidR="00EC13FF" w:rsidRPr="00EC13FF">
        <w:t xml:space="preserve">= 0.14, </w:t>
      </w:r>
      <w:r w:rsidR="00EC13FF" w:rsidRPr="00643179">
        <w:rPr>
          <w:i/>
          <w:iCs/>
        </w:rPr>
        <w:t>p</w:t>
      </w:r>
      <w:r w:rsidR="00EC13FF" w:rsidRPr="00EC13FF">
        <w:t xml:space="preserve"> = .210), and the present-absent gap was the largest of the five. For problem-solving, the pattern was reversed in terms of which level reached significance: the absent subgroup was significant (</w:t>
      </w:r>
      <w:r w:rsidR="00EC13FF" w:rsidRPr="00643179">
        <w:rPr>
          <w:i/>
          <w:iCs/>
        </w:rPr>
        <w:t>g</w:t>
      </w:r>
      <w:r w:rsidR="00EC13FF" w:rsidRPr="00EC13FF">
        <w:t xml:space="preserve"> = 0.23, </w:t>
      </w:r>
      <w:r w:rsidR="00EC13FF" w:rsidRPr="00643179">
        <w:rPr>
          <w:i/>
          <w:iCs/>
        </w:rPr>
        <w:t>p</w:t>
      </w:r>
      <w:r w:rsidR="00EC13FF" w:rsidRPr="00EC13FF">
        <w:t xml:space="preserve"> = .046) and showed low heterogeneity (</w:t>
      </w:r>
      <w:r w:rsidR="00EC13FF" w:rsidRPr="00643179">
        <w:rPr>
          <w:i/>
          <w:iCs/>
        </w:rPr>
        <w:t>I</w:t>
      </w:r>
      <w:r w:rsidR="00EC13FF" w:rsidRPr="00EC13FF">
        <w:t>² = 18.2%), whereas the present subgroup was non-significant with high heterogeneity (</w:t>
      </w:r>
      <w:r w:rsidR="00EC13FF" w:rsidRPr="00643179">
        <w:rPr>
          <w:i/>
          <w:iCs/>
        </w:rPr>
        <w:t>I</w:t>
      </w:r>
      <w:r w:rsidR="00EC13FF" w:rsidRPr="00EC13FF">
        <w:t>² = 78.0%), despite equal numbers of studies in each level (</w:t>
      </w:r>
      <w:r w:rsidR="00EC13FF" w:rsidRPr="00643179">
        <w:rPr>
          <w:i/>
          <w:iCs/>
        </w:rPr>
        <w:t>k</w:t>
      </w:r>
      <w:r w:rsidR="00EC13FF" w:rsidRPr="00EC13FF">
        <w:t xml:space="preserve"> = 7).</w:t>
      </w:r>
      <w:r w:rsidR="00EC13FF">
        <w:rPr>
          <w:rFonts w:hint="eastAsia"/>
        </w:rPr>
        <w:t xml:space="preserve"> </w:t>
      </w:r>
      <w:r w:rsidR="00EC13FF" w:rsidRPr="00EC13FF">
        <w:t>Given the consistent direction and the high co-occurrence of components within programs, the cumulative association between the number of components and effect size is examined directly in the component-count meta-regression below</w:t>
      </w:r>
      <w:r w:rsidR="001D4FC3">
        <w:rPr>
          <w:rFonts w:hint="eastAsia"/>
        </w:rPr>
        <w:t>.</w:t>
      </w:r>
    </w:p>
    <w:p w14:paraId="5B504040" w14:textId="7EBF7BF0" w:rsidR="00474714" w:rsidRDefault="001D4FC3" w:rsidP="001D4FC3">
      <w:pPr>
        <w:spacing w:after="120" w:line="360" w:lineRule="auto"/>
        <w:ind w:firstLine="360"/>
        <w:jc w:val="both"/>
      </w:pPr>
      <w:r w:rsidRPr="001D4FC3">
        <w:t xml:space="preserve">Within-subgroup heterogeneity remained </w:t>
      </w:r>
      <w:r w:rsidR="00EC13FF">
        <w:rPr>
          <w:rFonts w:hint="eastAsia"/>
        </w:rPr>
        <w:t>small</w:t>
      </w:r>
      <w:r w:rsidRPr="001D4FC3">
        <w:t xml:space="preserve"> to substantial across all three component contrasts (</w:t>
      </w:r>
      <w:r w:rsidRPr="00643179">
        <w:rPr>
          <w:i/>
          <w:iCs/>
        </w:rPr>
        <w:t>I</w:t>
      </w:r>
      <w:r w:rsidRPr="001D4FC3">
        <w:t xml:space="preserve">² = </w:t>
      </w:r>
      <w:r w:rsidR="00EC13FF">
        <w:rPr>
          <w:rFonts w:hint="eastAsia"/>
        </w:rPr>
        <w:t>18.2</w:t>
      </w:r>
      <w:r w:rsidRPr="001D4FC3">
        <w:t>–7</w:t>
      </w:r>
      <w:r w:rsidR="00EC13FF">
        <w:rPr>
          <w:rFonts w:hint="eastAsia"/>
        </w:rPr>
        <w:t>8</w:t>
      </w:r>
      <w:r w:rsidRPr="001D4FC3">
        <w:t xml:space="preserve">%; Table 4), </w:t>
      </w:r>
      <w:r w:rsidR="00E84435" w:rsidRPr="00E84435">
        <w:t>and stratifying by component presence did not appreciably reduce overall heterogeneity (residual τ² ≈ .059–.072, comparable to the overall τ² of .055). This indicates that the presence or absence of any single component does not account for the between-study variability observed in the main analysis.</w:t>
      </w:r>
    </w:p>
    <w:bookmarkEnd w:id="45"/>
    <w:p w14:paraId="631DC770" w14:textId="77777777" w:rsidR="000F6C5A" w:rsidRDefault="000F6C5A" w:rsidP="006E03C5">
      <w:pPr>
        <w:rPr>
          <w:b/>
          <w:bCs/>
        </w:rPr>
      </w:pPr>
    </w:p>
    <w:p w14:paraId="23C41421" w14:textId="77777777" w:rsidR="000F6C5A" w:rsidRDefault="000F6C5A" w:rsidP="006E03C5">
      <w:pPr>
        <w:rPr>
          <w:b/>
          <w:bCs/>
        </w:rPr>
      </w:pPr>
    </w:p>
    <w:p w14:paraId="54EAF2D0" w14:textId="77777777" w:rsidR="000F6C5A" w:rsidRDefault="000F6C5A" w:rsidP="006E03C5">
      <w:pPr>
        <w:rPr>
          <w:b/>
          <w:bCs/>
        </w:rPr>
      </w:pPr>
    </w:p>
    <w:p w14:paraId="62DF0AB2" w14:textId="77777777" w:rsidR="00666533" w:rsidRDefault="00666533" w:rsidP="006E03C5">
      <w:pPr>
        <w:rPr>
          <w:b/>
          <w:bCs/>
        </w:rPr>
      </w:pPr>
    </w:p>
    <w:p w14:paraId="1C3BFC5C" w14:textId="77777777" w:rsidR="00666533" w:rsidRDefault="00666533" w:rsidP="006E03C5">
      <w:pPr>
        <w:rPr>
          <w:b/>
          <w:bCs/>
        </w:rPr>
      </w:pPr>
    </w:p>
    <w:p w14:paraId="5C215CCB" w14:textId="77777777" w:rsidR="00666533" w:rsidRDefault="00666533" w:rsidP="006E03C5">
      <w:pPr>
        <w:rPr>
          <w:b/>
          <w:bCs/>
        </w:rPr>
      </w:pPr>
    </w:p>
    <w:p w14:paraId="014D9822" w14:textId="77777777" w:rsidR="00666533" w:rsidRDefault="00666533" w:rsidP="006E03C5">
      <w:pPr>
        <w:rPr>
          <w:b/>
          <w:bCs/>
        </w:rPr>
      </w:pPr>
    </w:p>
    <w:p w14:paraId="4CA76527" w14:textId="77777777" w:rsidR="00666533" w:rsidRDefault="00666533" w:rsidP="006E03C5">
      <w:pPr>
        <w:rPr>
          <w:b/>
          <w:bCs/>
        </w:rPr>
      </w:pPr>
    </w:p>
    <w:p w14:paraId="5866D84F" w14:textId="77777777" w:rsidR="00666533" w:rsidRDefault="00666533" w:rsidP="006E03C5">
      <w:pPr>
        <w:rPr>
          <w:b/>
          <w:bCs/>
        </w:rPr>
      </w:pPr>
    </w:p>
    <w:p w14:paraId="1C73BC2B" w14:textId="77777777" w:rsidR="00666533" w:rsidRDefault="00666533" w:rsidP="006E03C5">
      <w:pPr>
        <w:rPr>
          <w:b/>
          <w:bCs/>
        </w:rPr>
      </w:pPr>
    </w:p>
    <w:p w14:paraId="5705088B" w14:textId="77777777" w:rsidR="00666533" w:rsidRDefault="00666533" w:rsidP="006E03C5">
      <w:pPr>
        <w:rPr>
          <w:b/>
          <w:bCs/>
        </w:rPr>
      </w:pPr>
    </w:p>
    <w:p w14:paraId="7A275A57" w14:textId="77777777" w:rsidR="00666533" w:rsidRDefault="00666533" w:rsidP="006E03C5">
      <w:pPr>
        <w:rPr>
          <w:b/>
          <w:bCs/>
        </w:rPr>
      </w:pPr>
    </w:p>
    <w:p w14:paraId="6AE1E1E1" w14:textId="77777777" w:rsidR="00666533" w:rsidRDefault="00666533" w:rsidP="006E03C5">
      <w:pPr>
        <w:rPr>
          <w:b/>
          <w:bCs/>
        </w:rPr>
      </w:pPr>
    </w:p>
    <w:p w14:paraId="742F5CE2" w14:textId="77777777" w:rsidR="00666533" w:rsidRDefault="00666533" w:rsidP="006E03C5">
      <w:pPr>
        <w:rPr>
          <w:b/>
          <w:bCs/>
        </w:rPr>
      </w:pPr>
    </w:p>
    <w:p w14:paraId="433CEEF2" w14:textId="77777777" w:rsidR="00666533" w:rsidRDefault="00666533" w:rsidP="006E03C5">
      <w:pPr>
        <w:rPr>
          <w:b/>
          <w:bCs/>
        </w:rPr>
      </w:pPr>
    </w:p>
    <w:p w14:paraId="1FF8B7FC" w14:textId="77777777" w:rsidR="00666533" w:rsidRDefault="00666533" w:rsidP="006E03C5">
      <w:pPr>
        <w:rPr>
          <w:b/>
          <w:bCs/>
        </w:rPr>
      </w:pPr>
    </w:p>
    <w:p w14:paraId="02718B1B" w14:textId="13A79B2D" w:rsidR="00780B81" w:rsidRPr="00780B81" w:rsidRDefault="00780B81" w:rsidP="006E03C5">
      <w:pPr>
        <w:rPr>
          <w:b/>
          <w:bCs/>
        </w:rPr>
      </w:pPr>
      <w:r w:rsidRPr="00780B81">
        <w:rPr>
          <w:b/>
          <w:bCs/>
        </w:rPr>
        <w:t xml:space="preserve">Table </w:t>
      </w:r>
      <w:r w:rsidR="0020718F">
        <w:rPr>
          <w:rFonts w:hint="eastAsia"/>
          <w:b/>
          <w:bCs/>
        </w:rPr>
        <w:t>4</w:t>
      </w:r>
      <w:r w:rsidRPr="00780B81">
        <w:rPr>
          <w:b/>
          <w:bCs/>
        </w:rPr>
        <w:t xml:space="preserve">. Subgroup </w:t>
      </w:r>
      <w:bookmarkStart w:id="78" w:name="OLE_LINK46"/>
      <w:r w:rsidRPr="00780B81">
        <w:rPr>
          <w:b/>
          <w:bCs/>
        </w:rPr>
        <w:t>Analyses of the Pooled Post-Intervention Effect</w:t>
      </w:r>
      <w:bookmarkEnd w:id="78"/>
      <w:r w:rsidRPr="00780B81">
        <w:rPr>
          <w:b/>
          <w:bCs/>
        </w:rPr>
        <w:t xml:space="preserve"> (</w:t>
      </w:r>
      <w:r w:rsidRPr="00780B81">
        <w:rPr>
          <w:b/>
          <w:bCs/>
          <w:i/>
          <w:iCs/>
        </w:rPr>
        <w:t>k</w:t>
      </w:r>
      <w:r w:rsidRPr="00780B81">
        <w:rPr>
          <w:b/>
          <w:bCs/>
        </w:rPr>
        <w:t xml:space="preserve"> = 14)</w:t>
      </w:r>
    </w:p>
    <w:p w14:paraId="77B8771A" w14:textId="77777777" w:rsidR="00474714" w:rsidRDefault="00474714" w:rsidP="006E03C5"/>
    <w:tbl>
      <w:tblPr>
        <w:tblW w:w="9792" w:type="dxa"/>
        <w:jc w:val="center"/>
        <w:tblLayout w:type="fixed"/>
        <w:tblLook w:val="0420" w:firstRow="1" w:lastRow="0" w:firstColumn="0" w:lastColumn="0" w:noHBand="0" w:noVBand="1"/>
      </w:tblPr>
      <w:tblGrid>
        <w:gridCol w:w="2160"/>
        <w:gridCol w:w="1872"/>
        <w:gridCol w:w="576"/>
        <w:gridCol w:w="720"/>
        <w:gridCol w:w="1728"/>
        <w:gridCol w:w="864"/>
        <w:gridCol w:w="1008"/>
        <w:gridCol w:w="864"/>
      </w:tblGrid>
      <w:tr w:rsidR="00666533" w14:paraId="473F2B43" w14:textId="77777777" w:rsidTr="00AA3E09">
        <w:trPr>
          <w:tblHeader/>
          <w:jc w:val="center"/>
        </w:trPr>
        <w:tc>
          <w:tcPr>
            <w:tcW w:w="2160"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633D874E"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b/>
                <w:bCs/>
                <w:color w:val="000000"/>
                <w:sz w:val="20"/>
                <w:szCs w:val="20"/>
              </w:rPr>
            </w:pPr>
            <w:bookmarkStart w:id="79" w:name="_Hlk231339875"/>
            <w:r w:rsidRPr="00581B0B">
              <w:rPr>
                <w:rFonts w:eastAsia="Times New Roman"/>
                <w:b/>
                <w:bCs/>
                <w:color w:val="000000"/>
                <w:sz w:val="20"/>
                <w:szCs w:val="20"/>
              </w:rPr>
              <w:t>Moderator</w:t>
            </w:r>
          </w:p>
        </w:tc>
        <w:tc>
          <w:tcPr>
            <w:tcW w:w="1872"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4A7CB339"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b/>
                <w:bCs/>
                <w:color w:val="000000"/>
                <w:sz w:val="20"/>
                <w:szCs w:val="20"/>
              </w:rPr>
            </w:pPr>
            <w:r w:rsidRPr="00581B0B">
              <w:rPr>
                <w:rFonts w:eastAsia="Times New Roman"/>
                <w:b/>
                <w:bCs/>
                <w:color w:val="000000"/>
                <w:sz w:val="20"/>
                <w:szCs w:val="20"/>
              </w:rPr>
              <w:t>Level</w:t>
            </w:r>
          </w:p>
        </w:tc>
        <w:tc>
          <w:tcPr>
            <w:tcW w:w="576"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2CF45D29"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i/>
                <w:iCs/>
                <w:color w:val="000000"/>
                <w:sz w:val="20"/>
                <w:szCs w:val="20"/>
              </w:rPr>
            </w:pPr>
            <w:r w:rsidRPr="00581B0B">
              <w:rPr>
                <w:rFonts w:eastAsia="Times New Roman"/>
                <w:b/>
                <w:bCs/>
                <w:i/>
                <w:iCs/>
                <w:color w:val="000000"/>
                <w:sz w:val="20"/>
                <w:szCs w:val="20"/>
              </w:rPr>
              <w:t>k</w:t>
            </w:r>
          </w:p>
        </w:tc>
        <w:tc>
          <w:tcPr>
            <w:tcW w:w="720"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35A6C45D"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i/>
                <w:color w:val="000000"/>
                <w:sz w:val="20"/>
                <w:szCs w:val="20"/>
              </w:rPr>
            </w:pPr>
            <w:r w:rsidRPr="00581B0B">
              <w:rPr>
                <w:rFonts w:eastAsia="Times New Roman"/>
                <w:b/>
                <w:bCs/>
                <w:i/>
                <w:color w:val="000000"/>
                <w:sz w:val="20"/>
                <w:szCs w:val="20"/>
              </w:rPr>
              <w:t>g</w:t>
            </w:r>
          </w:p>
        </w:tc>
        <w:tc>
          <w:tcPr>
            <w:tcW w:w="1728"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59C7EECA"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color w:val="000000"/>
                <w:sz w:val="20"/>
                <w:szCs w:val="20"/>
              </w:rPr>
            </w:pPr>
            <w:r w:rsidRPr="00581B0B">
              <w:rPr>
                <w:rFonts w:eastAsia="Times New Roman"/>
                <w:b/>
                <w:bCs/>
                <w:color w:val="000000"/>
                <w:sz w:val="20"/>
                <w:szCs w:val="20"/>
              </w:rPr>
              <w:t>95% CI</w:t>
            </w:r>
          </w:p>
        </w:tc>
        <w:tc>
          <w:tcPr>
            <w:tcW w:w="864"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66208E67"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i/>
                <w:color w:val="000000"/>
                <w:sz w:val="20"/>
                <w:szCs w:val="20"/>
              </w:rPr>
            </w:pPr>
            <w:r w:rsidRPr="00581B0B">
              <w:rPr>
                <w:rFonts w:eastAsia="Times New Roman"/>
                <w:b/>
                <w:bCs/>
                <w:i/>
                <w:color w:val="000000"/>
                <w:sz w:val="20"/>
                <w:szCs w:val="20"/>
              </w:rPr>
              <w:t>p</w:t>
            </w:r>
          </w:p>
        </w:tc>
        <w:tc>
          <w:tcPr>
            <w:tcW w:w="1008"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0A03E927"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color w:val="000000"/>
                <w:sz w:val="20"/>
                <w:szCs w:val="20"/>
              </w:rPr>
            </w:pPr>
            <w:r w:rsidRPr="00581B0B">
              <w:rPr>
                <w:rFonts w:eastAsia="Times New Roman"/>
                <w:b/>
                <w:bCs/>
                <w:i/>
                <w:iCs/>
                <w:color w:val="000000"/>
                <w:sz w:val="20"/>
                <w:szCs w:val="20"/>
              </w:rPr>
              <w:t>I</w:t>
            </w:r>
            <w:r w:rsidRPr="00581B0B">
              <w:rPr>
                <w:rFonts w:eastAsia="Times New Roman"/>
                <w:b/>
                <w:bCs/>
                <w:color w:val="000000"/>
                <w:sz w:val="20"/>
                <w:szCs w:val="20"/>
              </w:rPr>
              <w:t>² (%)</w:t>
            </w:r>
          </w:p>
        </w:tc>
        <w:tc>
          <w:tcPr>
            <w:tcW w:w="864"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53142794"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i/>
                <w:color w:val="000000"/>
                <w:sz w:val="20"/>
                <w:szCs w:val="20"/>
              </w:rPr>
            </w:pPr>
            <w:r w:rsidRPr="00581B0B">
              <w:rPr>
                <w:rFonts w:eastAsia="Times New Roman"/>
                <w:b/>
                <w:bCs/>
                <w:i/>
                <w:color w:val="000000"/>
                <w:sz w:val="20"/>
                <w:szCs w:val="20"/>
              </w:rPr>
              <w:t>pᵇ</w:t>
            </w:r>
          </w:p>
        </w:tc>
      </w:tr>
      <w:tr w:rsidR="00666533" w14:paraId="5DEB8360" w14:textId="77777777" w:rsidTr="00AA3E09">
        <w:trPr>
          <w:jc w:val="center"/>
        </w:trPr>
        <w:tc>
          <w:tcPr>
            <w:tcW w:w="2160"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6B82A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Control type</w:t>
            </w:r>
          </w:p>
        </w:tc>
        <w:tc>
          <w:tcPr>
            <w:tcW w:w="1872"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802E4B"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Passive</w:t>
            </w:r>
          </w:p>
        </w:tc>
        <w:tc>
          <w:tcPr>
            <w:tcW w:w="576"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7C9CC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968A1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0.35</w:t>
            </w:r>
          </w:p>
        </w:tc>
        <w:tc>
          <w:tcPr>
            <w:tcW w:w="1728"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3C112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[-0.13, 0.83]</w:t>
            </w:r>
          </w:p>
        </w:tc>
        <w:tc>
          <w:tcPr>
            <w:tcW w:w="864"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6A267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.123</w:t>
            </w:r>
          </w:p>
        </w:tc>
        <w:tc>
          <w:tcPr>
            <w:tcW w:w="1008"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523FE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79.0</w:t>
            </w:r>
          </w:p>
        </w:tc>
        <w:tc>
          <w:tcPr>
            <w:tcW w:w="864"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6B56B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.499</w:t>
            </w:r>
          </w:p>
        </w:tc>
      </w:tr>
      <w:tr w:rsidR="00666533" w14:paraId="3420ECE7"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1BD73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1CFF1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Minimally active</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72536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F70FB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0.21</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22527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[0.05, 0.37]</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C1A20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71AC7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10.2</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F1A3A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2E2F6926"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2D379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Baseline severity</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BA048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Low</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4D82B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9</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9BA89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0.29</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9FEFCB"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[0.04, 0.53]</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BEFC0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D7D57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57.0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24006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.883</w:t>
            </w:r>
          </w:p>
        </w:tc>
      </w:tr>
      <w:tr w:rsidR="00666533" w14:paraId="31A6C843"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E19D7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629CB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High</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232B9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4B22A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0.25</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7D5DB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[-0.34, 0.85]</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81621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.305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9DDF8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76.1</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962F7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6DFFCE72"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5D6D6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bookmarkStart w:id="80" w:name="_Hlk231146161"/>
            <w:r w:rsidRPr="00666533">
              <w:rPr>
                <w:rFonts w:eastAsia="Times New Roman"/>
                <w:color w:val="000000"/>
                <w:sz w:val="20"/>
                <w:szCs w:val="20"/>
              </w:rPr>
              <w:t>Human contact</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3A278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No</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0B91E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8</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EA2529" w14:textId="35CB5FC0" w:rsidR="00666533" w:rsidRPr="00CC7AC0"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Pr>
                <w:rFonts w:hint="eastAsia"/>
                <w:color w:val="000000"/>
                <w:sz w:val="20"/>
                <w:szCs w:val="20"/>
              </w:rPr>
              <w:t>0.26</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A07D99" w14:textId="6095FB0B"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w:t>
            </w:r>
            <w:r w:rsidR="00CC7AC0" w:rsidRPr="00CC7AC0">
              <w:rPr>
                <w:rFonts w:eastAsia="Times New Roman"/>
                <w:color w:val="000000"/>
                <w:sz w:val="20"/>
                <w:szCs w:val="20"/>
              </w:rPr>
              <w:t>0.04, 0.48</w:t>
            </w:r>
            <w:r w:rsidRPr="00666533">
              <w:rPr>
                <w:rFonts w:eastAsia="Times New Roman"/>
                <w:color w:val="000000"/>
                <w:sz w:val="20"/>
                <w:szCs w:val="20"/>
              </w:rPr>
              <w:t>]</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FF190C" w14:textId="3F45F633" w:rsidR="00666533" w:rsidRPr="00666533"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CC7AC0">
              <w:rPr>
                <w:rFonts w:eastAsia="Times New Roman"/>
                <w:color w:val="000000"/>
                <w:sz w:val="20"/>
                <w:szCs w:val="20"/>
              </w:rPr>
              <w:t>.024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709942" w14:textId="75BFD441" w:rsidR="00666533" w:rsidRPr="00666533"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CC7AC0">
              <w:rPr>
                <w:rFonts w:eastAsia="Times New Roman"/>
                <w:color w:val="000000"/>
                <w:sz w:val="20"/>
                <w:szCs w:val="20"/>
              </w:rPr>
              <w:t>58.1</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B43FC9" w14:textId="56EC2660" w:rsidR="00666533" w:rsidRPr="00666533"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CC7AC0">
              <w:rPr>
                <w:rFonts w:eastAsia="Times New Roman"/>
                <w:color w:val="000000"/>
                <w:sz w:val="20"/>
                <w:szCs w:val="20"/>
              </w:rPr>
              <w:t>.851</w:t>
            </w:r>
          </w:p>
        </w:tc>
      </w:tr>
      <w:tr w:rsidR="00666533" w14:paraId="5A6B02EC"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9FCFB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F18E4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Yes</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B327A" w14:textId="101160AD" w:rsidR="00666533" w:rsidRPr="00CC7AC0"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Pr>
                <w:rFonts w:hint="eastAsia"/>
                <w:color w:val="000000"/>
                <w:sz w:val="20"/>
                <w:szCs w:val="20"/>
              </w:rPr>
              <w:t>5</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FC2426" w14:textId="4DC34085" w:rsidR="00666533" w:rsidRPr="00CC7AC0"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sidRPr="00666533">
              <w:rPr>
                <w:rFonts w:eastAsia="Times New Roman"/>
                <w:color w:val="000000"/>
                <w:sz w:val="20"/>
                <w:szCs w:val="20"/>
              </w:rPr>
              <w:t>0.3</w:t>
            </w:r>
            <w:r w:rsidR="00CC7AC0">
              <w:rPr>
                <w:rFonts w:hint="eastAsia"/>
                <w:color w:val="000000"/>
                <w:sz w:val="20"/>
                <w:szCs w:val="20"/>
              </w:rPr>
              <w:t>1</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0397A0" w14:textId="060965C1"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w:t>
            </w:r>
            <w:r w:rsidR="00CC7AC0" w:rsidRPr="00CC7AC0">
              <w:rPr>
                <w:rFonts w:eastAsia="Times New Roman"/>
                <w:color w:val="000000"/>
                <w:sz w:val="20"/>
                <w:szCs w:val="20"/>
              </w:rPr>
              <w:t>−0.37, 0.99</w:t>
            </w:r>
            <w:r w:rsidRPr="00666533">
              <w:rPr>
                <w:rFonts w:eastAsia="Times New Roman"/>
                <w:color w:val="000000"/>
                <w:sz w:val="20"/>
                <w:szCs w:val="20"/>
              </w:rPr>
              <w:t>]</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DCBC73" w14:textId="7293876A" w:rsidR="00666533" w:rsidRPr="00CC7AC0"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sidRPr="00666533">
              <w:rPr>
                <w:rFonts w:eastAsia="Times New Roman"/>
                <w:color w:val="000000"/>
                <w:sz w:val="20"/>
                <w:szCs w:val="20"/>
              </w:rPr>
              <w:t>.</w:t>
            </w:r>
            <w:r w:rsidR="00CC7AC0">
              <w:rPr>
                <w:rFonts w:hint="eastAsia"/>
                <w:color w:val="000000"/>
                <w:sz w:val="20"/>
                <w:szCs w:val="20"/>
              </w:rPr>
              <w:t>273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367420" w14:textId="7C8FB229" w:rsidR="00666533" w:rsidRPr="00CC7AC0"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sidRPr="00666533">
              <w:rPr>
                <w:rFonts w:eastAsia="Times New Roman"/>
                <w:color w:val="000000"/>
                <w:sz w:val="20"/>
                <w:szCs w:val="20"/>
              </w:rPr>
              <w:t>7</w:t>
            </w:r>
            <w:r w:rsidR="00CC7AC0">
              <w:rPr>
                <w:rFonts w:hint="eastAsia"/>
                <w:color w:val="000000"/>
                <w:sz w:val="20"/>
                <w:szCs w:val="20"/>
              </w:rPr>
              <w:t>4.3</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11BC2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bookmarkEnd w:id="80"/>
      <w:tr w:rsidR="00666533" w14:paraId="72EB5DF1"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5BF5C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Relaxation</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F075D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E5627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FF534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0.37</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29F79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[-0.20, 0.93]</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0D772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.147</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A0548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64.7</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D79E9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.557</w:t>
            </w:r>
          </w:p>
        </w:tc>
      </w:tr>
      <w:tr w:rsidR="00666533" w14:paraId="0C4E764B"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7FE00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C1978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DDDD1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9</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78BD0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0.23</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F7F25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[-0.02, 0.48]</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18835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.069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737FF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64.6</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01EF8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51314732"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1CDED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Problem-solving</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9D651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3B5F9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D028C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0.33</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BA631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[-0.12, 0.78]</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77632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.123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23E99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78.0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C553EB"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.615</w:t>
            </w:r>
          </w:p>
        </w:tc>
      </w:tr>
      <w:tr w:rsidR="00666533" w14:paraId="416D7BEC"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85277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49274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74971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D57EC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0.23</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6DC3A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[0.01, 0.45]</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F7C75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.046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A64C9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18.2</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D5E2D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4333E361"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37F0C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Homework</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1C557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085E6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9</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1B300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0.37</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0F1BE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[0.05, 0.70]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ADEA5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05119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69.1</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81520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.160</w:t>
            </w:r>
          </w:p>
        </w:tc>
      </w:tr>
      <w:tr w:rsidR="00666533" w14:paraId="21934FE1"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A6D32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008ED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747CA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DE4B6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0.14</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FFDF0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[-0.12, 0.39]</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1BC7E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.210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D0401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49.4</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373FB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137835C8"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6C37C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Relapse prevention</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A4298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DAEDC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E09FF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0.36</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65BB2B"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[-0.03, 0.75]</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CA44C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.062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BE40C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67.0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C7864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.468</w:t>
            </w:r>
          </w:p>
        </w:tc>
      </w:tr>
      <w:tr w:rsidR="00666533" w14:paraId="2661EB83"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B3EC2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77A4B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F675F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8</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195AA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0.22</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B6A5A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[-0.09, 0.52]</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FE0FB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.139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AD0E8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64.6</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14573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6B72FE62" w14:textId="77777777" w:rsidTr="00AA3E09">
        <w:trPr>
          <w:jc w:val="center"/>
        </w:trPr>
        <w:tc>
          <w:tcPr>
            <w:tcW w:w="2160"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1594CBF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Interpersonal skills training</w:t>
            </w:r>
          </w:p>
        </w:tc>
        <w:tc>
          <w:tcPr>
            <w:tcW w:w="1872"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0861B89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27F36E5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40DCF89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0.26</w:t>
            </w:r>
          </w:p>
        </w:tc>
        <w:tc>
          <w:tcPr>
            <w:tcW w:w="1728"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783A864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[-0.08, 0.61]</w:t>
            </w:r>
          </w:p>
        </w:tc>
        <w:tc>
          <w:tcPr>
            <w:tcW w:w="86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783E83E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.107</w:t>
            </w:r>
          </w:p>
        </w:tc>
        <w:tc>
          <w:tcPr>
            <w:tcW w:w="1008"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1156DF4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73.0</w:t>
            </w:r>
          </w:p>
        </w:tc>
        <w:tc>
          <w:tcPr>
            <w:tcW w:w="86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4CBF8C3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.914</w:t>
            </w:r>
          </w:p>
        </w:tc>
      </w:tr>
      <w:tr w:rsidR="00666533" w14:paraId="0AA95E2D" w14:textId="77777777" w:rsidTr="00AA3E09">
        <w:trPr>
          <w:jc w:val="center"/>
        </w:trPr>
        <w:tc>
          <w:tcPr>
            <w:tcW w:w="2160" w:type="dxa"/>
            <w:tcBorders>
              <w:bottom w:val="single" w:sz="8" w:space="0" w:color="auto"/>
            </w:tcBorders>
            <w:shd w:val="clear" w:color="auto" w:fill="FFFFFF"/>
            <w:tcMar>
              <w:top w:w="0" w:type="dxa"/>
              <w:left w:w="0" w:type="dxa"/>
              <w:bottom w:w="0" w:type="dxa"/>
              <w:right w:w="0" w:type="dxa"/>
            </w:tcMar>
            <w:vAlign w:val="center"/>
          </w:tcPr>
          <w:p w14:paraId="3595DEB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bottom w:val="single" w:sz="8" w:space="0" w:color="auto"/>
            </w:tcBorders>
            <w:shd w:val="clear" w:color="auto" w:fill="FFFFFF"/>
            <w:tcMar>
              <w:top w:w="0" w:type="dxa"/>
              <w:left w:w="0" w:type="dxa"/>
              <w:bottom w:w="0" w:type="dxa"/>
              <w:right w:w="0" w:type="dxa"/>
            </w:tcMar>
            <w:vAlign w:val="center"/>
          </w:tcPr>
          <w:p w14:paraId="518E596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bottom w:val="single" w:sz="8" w:space="0" w:color="auto"/>
            </w:tcBorders>
            <w:shd w:val="clear" w:color="auto" w:fill="FFFFFF"/>
            <w:tcMar>
              <w:top w:w="0" w:type="dxa"/>
              <w:left w:w="0" w:type="dxa"/>
              <w:bottom w:w="0" w:type="dxa"/>
              <w:right w:w="0" w:type="dxa"/>
            </w:tcMar>
            <w:vAlign w:val="center"/>
          </w:tcPr>
          <w:p w14:paraId="5D091B2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bottom w:val="single" w:sz="8" w:space="0" w:color="auto"/>
            </w:tcBorders>
            <w:shd w:val="clear" w:color="auto" w:fill="FFFFFF"/>
            <w:tcMar>
              <w:top w:w="0" w:type="dxa"/>
              <w:left w:w="0" w:type="dxa"/>
              <w:bottom w:w="0" w:type="dxa"/>
              <w:right w:w="0" w:type="dxa"/>
            </w:tcMar>
            <w:vAlign w:val="center"/>
          </w:tcPr>
          <w:p w14:paraId="4163E41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0.29</w:t>
            </w:r>
          </w:p>
        </w:tc>
        <w:tc>
          <w:tcPr>
            <w:tcW w:w="1728" w:type="dxa"/>
            <w:tcBorders>
              <w:bottom w:val="single" w:sz="8" w:space="0" w:color="auto"/>
            </w:tcBorders>
            <w:shd w:val="clear" w:color="auto" w:fill="FFFFFF"/>
            <w:tcMar>
              <w:top w:w="0" w:type="dxa"/>
              <w:left w:w="0" w:type="dxa"/>
              <w:bottom w:w="0" w:type="dxa"/>
              <w:right w:w="0" w:type="dxa"/>
            </w:tcMar>
            <w:vAlign w:val="center"/>
          </w:tcPr>
          <w:p w14:paraId="3031106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[-0.07, 0.65]</w:t>
            </w:r>
          </w:p>
        </w:tc>
        <w:tc>
          <w:tcPr>
            <w:tcW w:w="864" w:type="dxa"/>
            <w:tcBorders>
              <w:bottom w:val="single" w:sz="8" w:space="0" w:color="auto"/>
            </w:tcBorders>
            <w:shd w:val="clear" w:color="auto" w:fill="FFFFFF"/>
            <w:tcMar>
              <w:top w:w="0" w:type="dxa"/>
              <w:left w:w="0" w:type="dxa"/>
              <w:bottom w:w="0" w:type="dxa"/>
              <w:right w:w="0" w:type="dxa"/>
            </w:tcMar>
            <w:vAlign w:val="center"/>
          </w:tcPr>
          <w:p w14:paraId="655024E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.100</w:t>
            </w:r>
          </w:p>
        </w:tc>
        <w:tc>
          <w:tcPr>
            <w:tcW w:w="1008" w:type="dxa"/>
            <w:tcBorders>
              <w:bottom w:val="single" w:sz="8" w:space="0" w:color="auto"/>
            </w:tcBorders>
            <w:shd w:val="clear" w:color="auto" w:fill="FFFFFF"/>
            <w:tcMar>
              <w:top w:w="0" w:type="dxa"/>
              <w:left w:w="0" w:type="dxa"/>
              <w:bottom w:w="0" w:type="dxa"/>
              <w:right w:w="0" w:type="dxa"/>
            </w:tcMar>
            <w:vAlign w:val="center"/>
          </w:tcPr>
          <w:p w14:paraId="4EA47CB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54.4</w:t>
            </w:r>
          </w:p>
        </w:tc>
        <w:tc>
          <w:tcPr>
            <w:tcW w:w="864" w:type="dxa"/>
            <w:tcBorders>
              <w:bottom w:val="single" w:sz="8" w:space="0" w:color="auto"/>
            </w:tcBorders>
            <w:shd w:val="clear" w:color="auto" w:fill="FFFFFF"/>
            <w:tcMar>
              <w:top w:w="0" w:type="dxa"/>
              <w:left w:w="0" w:type="dxa"/>
              <w:bottom w:w="0" w:type="dxa"/>
              <w:right w:w="0" w:type="dxa"/>
            </w:tcMar>
            <w:vAlign w:val="center"/>
          </w:tcPr>
          <w:p w14:paraId="17509D2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5DDC5CE9" w14:textId="77777777" w:rsidTr="00AA3E09">
        <w:trPr>
          <w:jc w:val="center"/>
        </w:trPr>
        <w:tc>
          <w:tcPr>
            <w:tcW w:w="9792" w:type="dxa"/>
            <w:gridSpan w:val="8"/>
            <w:tcBorders>
              <w:top w:val="single" w:sz="8" w:space="0" w:color="auto"/>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A218D78" w14:textId="77777777" w:rsidR="00666533" w:rsidRDefault="00666533" w:rsidP="001C6E6F">
            <w:pPr>
              <w:pBdr>
                <w:top w:val="none" w:sz="0" w:space="0" w:color="000000"/>
                <w:left w:val="none" w:sz="0" w:space="0" w:color="000000"/>
                <w:bottom w:val="none" w:sz="0" w:space="0" w:color="000000"/>
                <w:right w:val="none" w:sz="0" w:space="0" w:color="000000"/>
              </w:pBdr>
              <w:spacing w:before="100" w:after="100"/>
              <w:ind w:left="100" w:right="100"/>
              <w:rPr>
                <w:iCs/>
                <w:color w:val="000000"/>
                <w:sz w:val="20"/>
                <w:szCs w:val="20"/>
              </w:rPr>
            </w:pPr>
            <w:r w:rsidRPr="00666533">
              <w:rPr>
                <w:rFonts w:eastAsia="Times New Roman"/>
                <w:i/>
                <w:color w:val="000000"/>
                <w:sz w:val="20"/>
                <w:szCs w:val="20"/>
              </w:rPr>
              <w:t>Note.</w:t>
            </w:r>
            <w:r w:rsidRPr="00666533">
              <w:rPr>
                <w:rFonts w:eastAsia="Times New Roman"/>
                <w:iCs/>
                <w:color w:val="000000"/>
                <w:sz w:val="20"/>
                <w:szCs w:val="20"/>
              </w:rPr>
              <w:t xml:space="preserve"> </w:t>
            </w:r>
            <w:r w:rsidRPr="00666533">
              <w:rPr>
                <w:rFonts w:eastAsia="Times New Roman"/>
                <w:i/>
                <w:color w:val="000000"/>
                <w:sz w:val="20"/>
                <w:szCs w:val="20"/>
              </w:rPr>
              <w:t>k</w:t>
            </w:r>
            <w:r w:rsidRPr="00666533">
              <w:rPr>
                <w:rFonts w:eastAsia="Times New Roman"/>
                <w:iCs/>
                <w:color w:val="000000"/>
                <w:sz w:val="20"/>
                <w:szCs w:val="20"/>
              </w:rPr>
              <w:t xml:space="preserve"> = number of studies; g = Hedges’ g (random-effects, Hartung-Knapp); CI = confidence interval; I² = heterogeneity. All models used REML with a common τ² across subgroups. ᵇ p-value for the test of between-subgroup differences.</w:t>
            </w:r>
          </w:p>
          <w:p w14:paraId="677ED18D" w14:textId="77777777" w:rsidR="005F2227" w:rsidRDefault="005F2227" w:rsidP="001C6E6F">
            <w:pPr>
              <w:pBdr>
                <w:top w:val="none" w:sz="0" w:space="0" w:color="000000"/>
                <w:left w:val="none" w:sz="0" w:space="0" w:color="000000"/>
                <w:bottom w:val="none" w:sz="0" w:space="0" w:color="000000"/>
                <w:right w:val="none" w:sz="0" w:space="0" w:color="000000"/>
              </w:pBdr>
              <w:spacing w:before="100" w:after="100"/>
              <w:ind w:left="100" w:right="100"/>
              <w:rPr>
                <w:i/>
                <w:color w:val="000000"/>
                <w:sz w:val="20"/>
                <w:szCs w:val="20"/>
              </w:rPr>
            </w:pPr>
          </w:p>
          <w:p w14:paraId="1E8E8DA3" w14:textId="6922DE1E" w:rsidR="005F2227" w:rsidRPr="005F2227" w:rsidRDefault="005F2227" w:rsidP="005F2227"/>
        </w:tc>
      </w:tr>
      <w:bookmarkEnd w:id="79"/>
    </w:tbl>
    <w:p w14:paraId="79598DC0" w14:textId="77777777" w:rsidR="009114F9" w:rsidRDefault="009114F9" w:rsidP="009114F9"/>
    <w:p w14:paraId="7AD1F280" w14:textId="05DF108F" w:rsidR="005F2227" w:rsidRPr="00B238A1" w:rsidRDefault="006E03C5" w:rsidP="00B238A1">
      <w:pPr>
        <w:pStyle w:val="3"/>
        <w:rPr>
          <w:rFonts w:eastAsiaTheme="minorEastAsia"/>
        </w:rPr>
      </w:pPr>
      <w:r w:rsidRPr="006E03C5">
        <w:rPr>
          <w:rFonts w:eastAsiaTheme="minorEastAsia"/>
        </w:rPr>
        <w:t xml:space="preserve">4.5.3 </w:t>
      </w:r>
      <w:r w:rsidR="00765C2E">
        <w:rPr>
          <w:rFonts w:eastAsiaTheme="minorEastAsia" w:hint="eastAsia"/>
        </w:rPr>
        <w:t>M</w:t>
      </w:r>
      <w:r w:rsidRPr="006E03C5">
        <w:rPr>
          <w:rFonts w:eastAsiaTheme="minorEastAsia"/>
        </w:rPr>
        <w:t>eta-</w:t>
      </w:r>
      <w:r w:rsidR="00765C2E">
        <w:rPr>
          <w:rFonts w:eastAsiaTheme="minorEastAsia" w:hint="eastAsia"/>
        </w:rPr>
        <w:t>R</w:t>
      </w:r>
      <w:r w:rsidRPr="006E03C5">
        <w:rPr>
          <w:rFonts w:eastAsiaTheme="minorEastAsia"/>
        </w:rPr>
        <w:t xml:space="preserve">egression: </w:t>
      </w:r>
      <w:r w:rsidR="00765C2E" w:rsidRPr="00E67E87">
        <w:t>CB</w:t>
      </w:r>
      <w:r w:rsidR="00765C2E">
        <w:rPr>
          <w:rFonts w:eastAsiaTheme="minorEastAsia" w:hint="eastAsia"/>
        </w:rPr>
        <w:t>T C</w:t>
      </w:r>
      <w:r w:rsidR="00765C2E" w:rsidRPr="00E67E87">
        <w:t xml:space="preserve">omponent </w:t>
      </w:r>
      <w:r w:rsidR="00765C2E">
        <w:rPr>
          <w:rFonts w:eastAsiaTheme="minorEastAsia" w:hint="eastAsia"/>
        </w:rPr>
        <w:t>C</w:t>
      </w:r>
      <w:r w:rsidR="00765C2E" w:rsidRPr="00E67E87">
        <w:t>ount</w:t>
      </w:r>
    </w:p>
    <w:p w14:paraId="3A024E79" w14:textId="1689A11E" w:rsidR="006600E2" w:rsidRPr="00374DE5" w:rsidRDefault="00374DE5" w:rsidP="00FD4E54">
      <w:pPr>
        <w:spacing w:after="120" w:line="360" w:lineRule="auto"/>
        <w:ind w:firstLine="360"/>
        <w:jc w:val="both"/>
      </w:pPr>
      <w:r>
        <w:rPr>
          <w:rFonts w:hint="eastAsia"/>
        </w:rPr>
        <w:t xml:space="preserve">Following the component-wise </w:t>
      </w:r>
      <w:r>
        <w:t>subgrou</w:t>
      </w:r>
      <w:r>
        <w:rPr>
          <w:rFonts w:hint="eastAsia"/>
        </w:rPr>
        <w:t xml:space="preserve">p analyses in Section 4.5.2.2, a meta-regression was conducted to examine </w:t>
      </w:r>
      <w:r>
        <w:t>whether</w:t>
      </w:r>
      <w:r>
        <w:rPr>
          <w:rFonts w:hint="eastAsia"/>
        </w:rPr>
        <w:t xml:space="preserve"> the number of CBT components was associated with effect size, using the same random-effects model (REML estimator, Hart</w:t>
      </w:r>
      <w:r w:rsidR="005C0135">
        <w:rPr>
          <w:rFonts w:hint="eastAsia"/>
        </w:rPr>
        <w:t>u</w:t>
      </w:r>
      <w:r>
        <w:rPr>
          <w:rFonts w:hint="eastAsia"/>
        </w:rPr>
        <w:t>ng-Knapp adjustment) as the main analysis.</w:t>
      </w:r>
    </w:p>
    <w:p w14:paraId="49BF9442" w14:textId="64A29392" w:rsidR="00B715E8" w:rsidRDefault="00374DE5" w:rsidP="00FD4E54">
      <w:pPr>
        <w:spacing w:after="120" w:line="360" w:lineRule="auto"/>
        <w:ind w:firstLine="360"/>
        <w:jc w:val="both"/>
      </w:pPr>
      <w:r w:rsidRPr="00374DE5">
        <w:t>The regression slope was β = 0.0</w:t>
      </w:r>
      <w:r w:rsidR="00643179">
        <w:rPr>
          <w:rFonts w:hint="eastAsia"/>
        </w:rPr>
        <w:t>82</w:t>
      </w:r>
      <w:r w:rsidRPr="00374DE5">
        <w:t xml:space="preserve"> (</w:t>
      </w:r>
      <w:r w:rsidR="00FB3CAC">
        <w:rPr>
          <w:rFonts w:hint="eastAsia"/>
          <w:i/>
          <w:iCs/>
        </w:rPr>
        <w:t>SE</w:t>
      </w:r>
      <w:r w:rsidRPr="002548BB">
        <w:rPr>
          <w:i/>
          <w:iCs/>
        </w:rPr>
        <w:t xml:space="preserve"> </w:t>
      </w:r>
      <w:r w:rsidRPr="00374DE5">
        <w:t>= 0.05</w:t>
      </w:r>
      <w:r w:rsidR="00643179">
        <w:rPr>
          <w:rFonts w:hint="eastAsia"/>
        </w:rPr>
        <w:t>4</w:t>
      </w:r>
      <w:r w:rsidRPr="00374DE5">
        <w:t>, 95% CI [−0.0</w:t>
      </w:r>
      <w:r w:rsidR="00643179">
        <w:rPr>
          <w:rFonts w:hint="eastAsia"/>
        </w:rPr>
        <w:t>37</w:t>
      </w:r>
      <w:r w:rsidRPr="00374DE5">
        <w:t>, 0.</w:t>
      </w:r>
      <w:r w:rsidR="005C0135">
        <w:rPr>
          <w:rFonts w:hint="eastAsia"/>
        </w:rPr>
        <w:t>200</w:t>
      </w:r>
      <w:r w:rsidRPr="00374DE5">
        <w:t xml:space="preserve">], </w:t>
      </w:r>
      <w:r w:rsidRPr="002548BB">
        <w:rPr>
          <w:i/>
          <w:iCs/>
        </w:rPr>
        <w:t>p</w:t>
      </w:r>
      <w:r w:rsidRPr="00374DE5">
        <w:t xml:space="preserve"> = .</w:t>
      </w:r>
      <w:r w:rsidR="005C0135">
        <w:rPr>
          <w:rFonts w:hint="eastAsia"/>
        </w:rPr>
        <w:t>158</w:t>
      </w:r>
      <w:r w:rsidRPr="00374DE5">
        <w:t>), indicating that effect size was estimated to increase by 0.0</w:t>
      </w:r>
      <w:r w:rsidR="00643179">
        <w:rPr>
          <w:rFonts w:hint="eastAsia"/>
        </w:rPr>
        <w:t>82</w:t>
      </w:r>
      <w:r w:rsidRPr="00374DE5">
        <w:t xml:space="preserve"> in Hedges' g for each additional component.</w:t>
      </w:r>
      <w:r w:rsidR="00B715E8">
        <w:rPr>
          <w:rFonts w:hint="eastAsia"/>
        </w:rPr>
        <w:t xml:space="preserve"> </w:t>
      </w:r>
      <w:r w:rsidRPr="00374DE5">
        <w:t>However, the confidence interval crossed zero and the test of the moderator was non-significant, providing no statistical evidence that the number of components influenced the effect size.</w:t>
      </w:r>
    </w:p>
    <w:p w14:paraId="19938E68" w14:textId="36746264" w:rsidR="00765C2E" w:rsidRDefault="002548BB" w:rsidP="00FD4E54">
      <w:pPr>
        <w:spacing w:after="120" w:line="360" w:lineRule="auto"/>
        <w:ind w:firstLine="360"/>
        <w:jc w:val="both"/>
      </w:pPr>
      <w:r w:rsidRPr="002548BB">
        <w:t>The predictor accounted for a modest proportion of between-study heterogeneity (</w:t>
      </w:r>
      <w:r w:rsidRPr="002548BB">
        <w:rPr>
          <w:i/>
          <w:iCs/>
        </w:rPr>
        <w:t>R</w:t>
      </w:r>
      <w:r w:rsidRPr="002548BB">
        <w:t xml:space="preserve">² = 11.8%), with residual heterogeneity (τ² = 0.0481) marginally smaller than the overall τ² of the main analysis (0.055). The positive direction is consistent with the component-wise subgroup pattern in Section 4.5.2.2, in which component-present subgroups tended to show larger effects. Nonetheless, given the non-significant </w:t>
      </w:r>
      <w:r w:rsidRPr="002548BB">
        <w:lastRenderedPageBreak/>
        <w:t>moderator test and the small number of studies (k = 14), which limits statistical power, the apparent variance explained should be interpreted with caution and not as evidence that component count accounts for the observed heterogeneity.</w:t>
      </w:r>
      <w:r w:rsidR="00FD4E54" w:rsidRPr="00FD4E54">
        <w:t xml:space="preserve"> </w:t>
      </w:r>
    </w:p>
    <w:p w14:paraId="42006503" w14:textId="77777777" w:rsidR="00FD4E54" w:rsidRDefault="00FD4E54" w:rsidP="00FD4E54">
      <w:pPr>
        <w:spacing w:after="120" w:line="360" w:lineRule="auto"/>
        <w:ind w:firstLine="360"/>
        <w:jc w:val="both"/>
      </w:pPr>
    </w:p>
    <w:p w14:paraId="5E8F77C1" w14:textId="77777777" w:rsidR="00FD4E54" w:rsidRDefault="00FD4E54" w:rsidP="00FD4E54">
      <w:pPr>
        <w:spacing w:after="120" w:line="360" w:lineRule="auto"/>
        <w:ind w:firstLine="360"/>
        <w:jc w:val="both"/>
      </w:pPr>
    </w:p>
    <w:p w14:paraId="21BC040D" w14:textId="5AE9BED6" w:rsidR="00FD4E54" w:rsidRDefault="00CA78BA" w:rsidP="00FD4E54">
      <w:pPr>
        <w:spacing w:after="120" w:line="360" w:lineRule="auto"/>
        <w:ind w:firstLine="360"/>
        <w:jc w:val="both"/>
      </w:pPr>
      <w:r>
        <w:rPr>
          <w:noProof/>
        </w:rPr>
        <w:drawing>
          <wp:inline distT="0" distB="0" distL="0" distR="0" wp14:anchorId="544AEF68" wp14:editId="1BEF639E">
            <wp:extent cx="5943600" cy="4457700"/>
            <wp:effectExtent l="0" t="0" r="0" b="0"/>
            <wp:docPr id="831154412" name="图片 2" descr="图示, 示意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154412" name="图片 2" descr="图示, 示意图&#10;&#10;描述已自动生成"/>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68832FD0" w14:textId="77777777" w:rsidR="00FD4E54" w:rsidRDefault="00FD4E54" w:rsidP="00300B48">
      <w:pPr>
        <w:pStyle w:val="3"/>
      </w:pPr>
    </w:p>
    <w:p w14:paraId="1CCC2A71" w14:textId="77777777" w:rsidR="00FD4E54" w:rsidRDefault="00FD4E54" w:rsidP="00FD4E54">
      <w:pPr>
        <w:spacing w:after="120" w:line="360" w:lineRule="auto"/>
        <w:ind w:firstLine="360"/>
        <w:jc w:val="both"/>
      </w:pPr>
    </w:p>
    <w:p w14:paraId="0BE8F68F" w14:textId="77777777" w:rsidR="00FD4E54" w:rsidRDefault="00FD4E54" w:rsidP="00FD4E54">
      <w:pPr>
        <w:spacing w:after="120" w:line="360" w:lineRule="auto"/>
        <w:ind w:firstLine="360"/>
        <w:jc w:val="both"/>
      </w:pPr>
    </w:p>
    <w:p w14:paraId="7D6B2F00" w14:textId="77777777" w:rsidR="00FD4E54" w:rsidRDefault="00FD4E54" w:rsidP="00FD4E54">
      <w:pPr>
        <w:spacing w:after="120" w:line="360" w:lineRule="auto"/>
        <w:ind w:firstLine="360"/>
        <w:jc w:val="both"/>
      </w:pPr>
    </w:p>
    <w:p w14:paraId="3F5C7C1F" w14:textId="77777777" w:rsidR="00FD4E54" w:rsidRPr="00FD4E54" w:rsidRDefault="00FD4E54" w:rsidP="00FD4E54">
      <w:pPr>
        <w:rPr>
          <w:b/>
          <w:bCs/>
        </w:rPr>
      </w:pPr>
      <w:r w:rsidRPr="00FD4E54">
        <w:rPr>
          <w:rFonts w:hint="eastAsia"/>
          <w:b/>
          <w:bCs/>
        </w:rPr>
        <w:t xml:space="preserve">Table 5. </w:t>
      </w:r>
      <w:r w:rsidRPr="00FD4E54">
        <w:rPr>
          <w:b/>
          <w:bCs/>
        </w:rPr>
        <w:t>Meta-Regression of Effect Size on Number of CBT Components at Post-Intervention</w:t>
      </w:r>
    </w:p>
    <w:p w14:paraId="5A128C26" w14:textId="77777777" w:rsidR="00FD4E54" w:rsidRDefault="00FD4E54" w:rsidP="00FD4E54"/>
    <w:tbl>
      <w:tblPr>
        <w:tblStyle w:val="af1"/>
        <w:tblW w:w="0" w:type="auto"/>
        <w:tblBorders>
          <w:top w:val="single" w:sz="8" w:space="0" w:color="auto"/>
          <w:left w:val="none" w:sz="0" w:space="0" w:color="auto"/>
          <w:bottom w:val="single" w:sz="8" w:space="0" w:color="auto"/>
          <w:right w:val="none" w:sz="0" w:space="0" w:color="auto"/>
          <w:insideV w:val="none" w:sz="0" w:space="0" w:color="auto"/>
        </w:tblBorders>
        <w:tblLook w:val="04A0" w:firstRow="1" w:lastRow="0" w:firstColumn="1" w:lastColumn="0" w:noHBand="0" w:noVBand="1"/>
      </w:tblPr>
      <w:tblGrid>
        <w:gridCol w:w="1662"/>
        <w:gridCol w:w="619"/>
        <w:gridCol w:w="711"/>
        <w:gridCol w:w="711"/>
        <w:gridCol w:w="2293"/>
        <w:gridCol w:w="1100"/>
        <w:gridCol w:w="1017"/>
        <w:gridCol w:w="1247"/>
      </w:tblGrid>
      <w:tr w:rsidR="00FD4E54" w:rsidRPr="006600E2" w14:paraId="27AD48EB" w14:textId="77777777" w:rsidTr="002706F0">
        <w:trPr>
          <w:trHeight w:hRule="exact" w:val="652"/>
        </w:trPr>
        <w:tc>
          <w:tcPr>
            <w:tcW w:w="1662" w:type="dxa"/>
            <w:vAlign w:val="center"/>
          </w:tcPr>
          <w:p w14:paraId="1497744F" w14:textId="77777777" w:rsidR="00FD4E54" w:rsidRPr="006600E2" w:rsidRDefault="00FD4E54" w:rsidP="00780A6B">
            <w:pPr>
              <w:jc w:val="center"/>
              <w:rPr>
                <w:b/>
                <w:bCs/>
              </w:rPr>
            </w:pPr>
            <w:r w:rsidRPr="006600E2">
              <w:rPr>
                <w:rFonts w:hint="eastAsia"/>
                <w:b/>
                <w:bCs/>
              </w:rPr>
              <w:t>Predictor</w:t>
            </w:r>
          </w:p>
        </w:tc>
        <w:tc>
          <w:tcPr>
            <w:tcW w:w="619" w:type="dxa"/>
            <w:vAlign w:val="center"/>
          </w:tcPr>
          <w:p w14:paraId="1155C0C3" w14:textId="77777777" w:rsidR="00FD4E54" w:rsidRPr="006600E2" w:rsidRDefault="00FD4E54" w:rsidP="00780A6B">
            <w:pPr>
              <w:jc w:val="center"/>
              <w:rPr>
                <w:b/>
                <w:bCs/>
                <w:i/>
                <w:iCs/>
              </w:rPr>
            </w:pPr>
            <w:r w:rsidRPr="006600E2">
              <w:rPr>
                <w:rFonts w:hint="eastAsia"/>
                <w:b/>
                <w:bCs/>
                <w:i/>
                <w:iCs/>
              </w:rPr>
              <w:t>k</w:t>
            </w:r>
          </w:p>
        </w:tc>
        <w:tc>
          <w:tcPr>
            <w:tcW w:w="711" w:type="dxa"/>
            <w:vAlign w:val="center"/>
          </w:tcPr>
          <w:p w14:paraId="21D0A5F3" w14:textId="77777777" w:rsidR="00FD4E54" w:rsidRPr="006600E2" w:rsidRDefault="00FD4E54" w:rsidP="00780A6B">
            <w:pPr>
              <w:jc w:val="center"/>
              <w:rPr>
                <w:b/>
                <w:bCs/>
                <w:i/>
                <w:iCs/>
              </w:rPr>
            </w:pPr>
            <w:r w:rsidRPr="00C53D00">
              <w:rPr>
                <w:b/>
                <w:bCs/>
                <w:i/>
                <w:iCs/>
              </w:rPr>
              <w:t>β</w:t>
            </w:r>
          </w:p>
        </w:tc>
        <w:tc>
          <w:tcPr>
            <w:tcW w:w="711" w:type="dxa"/>
            <w:vAlign w:val="center"/>
          </w:tcPr>
          <w:p w14:paraId="5C7B1C17" w14:textId="77777777" w:rsidR="00FD4E54" w:rsidRPr="006600E2" w:rsidRDefault="00FD4E54" w:rsidP="00780A6B">
            <w:pPr>
              <w:jc w:val="center"/>
              <w:rPr>
                <w:b/>
                <w:bCs/>
                <w:i/>
                <w:iCs/>
              </w:rPr>
            </w:pPr>
            <w:r w:rsidRPr="006600E2">
              <w:rPr>
                <w:rFonts w:hint="eastAsia"/>
                <w:b/>
                <w:bCs/>
                <w:i/>
                <w:iCs/>
              </w:rPr>
              <w:t>SE</w:t>
            </w:r>
          </w:p>
        </w:tc>
        <w:tc>
          <w:tcPr>
            <w:tcW w:w="2293" w:type="dxa"/>
            <w:vAlign w:val="center"/>
          </w:tcPr>
          <w:p w14:paraId="79F17CC3" w14:textId="77777777" w:rsidR="00FD4E54" w:rsidRPr="006600E2" w:rsidRDefault="00FD4E54" w:rsidP="00780A6B">
            <w:pPr>
              <w:jc w:val="center"/>
              <w:rPr>
                <w:b/>
                <w:bCs/>
              </w:rPr>
            </w:pPr>
            <w:r w:rsidRPr="006600E2">
              <w:rPr>
                <w:rFonts w:hint="eastAsia"/>
                <w:b/>
                <w:bCs/>
              </w:rPr>
              <w:t>95% CI</w:t>
            </w:r>
          </w:p>
        </w:tc>
        <w:tc>
          <w:tcPr>
            <w:tcW w:w="1100" w:type="dxa"/>
            <w:vAlign w:val="center"/>
          </w:tcPr>
          <w:p w14:paraId="404C3FF3" w14:textId="77777777" w:rsidR="00FD4E54" w:rsidRPr="006600E2" w:rsidRDefault="00FD4E54" w:rsidP="00780A6B">
            <w:pPr>
              <w:jc w:val="center"/>
              <w:rPr>
                <w:b/>
                <w:bCs/>
                <w:i/>
                <w:iCs/>
              </w:rPr>
            </w:pPr>
            <w:r w:rsidRPr="006600E2">
              <w:rPr>
                <w:rFonts w:hint="eastAsia"/>
                <w:b/>
                <w:bCs/>
                <w:i/>
                <w:iCs/>
              </w:rPr>
              <w:t>p</w:t>
            </w:r>
          </w:p>
        </w:tc>
        <w:tc>
          <w:tcPr>
            <w:tcW w:w="1017" w:type="dxa"/>
            <w:vAlign w:val="center"/>
          </w:tcPr>
          <w:p w14:paraId="483E1189" w14:textId="77777777" w:rsidR="00FD4E54" w:rsidRPr="006600E2" w:rsidRDefault="00FD4E54" w:rsidP="00780A6B">
            <w:pPr>
              <w:jc w:val="center"/>
              <w:rPr>
                <w:b/>
                <w:bCs/>
              </w:rPr>
            </w:pPr>
            <w:r w:rsidRPr="006600E2">
              <w:rPr>
                <w:rFonts w:hint="eastAsia"/>
                <w:b/>
                <w:bCs/>
                <w:i/>
                <w:iCs/>
              </w:rPr>
              <w:t>R</w:t>
            </w:r>
            <w:r w:rsidRPr="006600E2">
              <w:rPr>
                <w:rFonts w:hint="eastAsia"/>
                <w:b/>
                <w:bCs/>
                <w:vertAlign w:val="superscript"/>
              </w:rPr>
              <w:t>2</w:t>
            </w:r>
          </w:p>
        </w:tc>
        <w:tc>
          <w:tcPr>
            <w:tcW w:w="1247" w:type="dxa"/>
            <w:vAlign w:val="center"/>
          </w:tcPr>
          <w:p w14:paraId="1033A0D2" w14:textId="77777777" w:rsidR="00FD4E54" w:rsidRPr="006600E2" w:rsidRDefault="00FD4E54" w:rsidP="00780A6B">
            <w:pPr>
              <w:jc w:val="center"/>
              <w:rPr>
                <w:b/>
                <w:bCs/>
              </w:rPr>
            </w:pPr>
            <w:r w:rsidRPr="006600E2">
              <w:rPr>
                <w:rFonts w:hint="eastAsia"/>
                <w:b/>
                <w:bCs/>
              </w:rPr>
              <w:t xml:space="preserve">Residual </w:t>
            </w:r>
            <w:r w:rsidRPr="006600E2">
              <w:rPr>
                <w:b/>
                <w:bCs/>
                <w:i/>
                <w:iCs/>
              </w:rPr>
              <w:t>τ</w:t>
            </w:r>
            <w:r w:rsidRPr="006600E2">
              <w:rPr>
                <w:b/>
                <w:bCs/>
              </w:rPr>
              <w:t>²</w:t>
            </w:r>
          </w:p>
        </w:tc>
      </w:tr>
      <w:tr w:rsidR="00FD4E54" w14:paraId="58845950" w14:textId="77777777" w:rsidTr="00780A6B">
        <w:trPr>
          <w:trHeight w:hRule="exact" w:val="716"/>
        </w:trPr>
        <w:tc>
          <w:tcPr>
            <w:tcW w:w="1662" w:type="dxa"/>
            <w:vAlign w:val="center"/>
          </w:tcPr>
          <w:p w14:paraId="3DD334CA" w14:textId="77777777" w:rsidR="00FD4E54" w:rsidRDefault="00FD4E54" w:rsidP="00780A6B">
            <w:pPr>
              <w:jc w:val="center"/>
            </w:pPr>
            <w:r>
              <w:rPr>
                <w:rFonts w:hint="eastAsia"/>
              </w:rPr>
              <w:lastRenderedPageBreak/>
              <w:t>Component Count (</w:t>
            </w:r>
            <w:proofErr w:type="spellStart"/>
            <w:r>
              <w:rPr>
                <w:rFonts w:hint="eastAsia"/>
              </w:rPr>
              <w:t>centred</w:t>
            </w:r>
            <w:proofErr w:type="spellEnd"/>
            <w:r>
              <w:rPr>
                <w:rFonts w:hint="eastAsia"/>
              </w:rPr>
              <w:t>)</w:t>
            </w:r>
          </w:p>
        </w:tc>
        <w:tc>
          <w:tcPr>
            <w:tcW w:w="619" w:type="dxa"/>
            <w:vAlign w:val="center"/>
          </w:tcPr>
          <w:p w14:paraId="6A9D05EB" w14:textId="77777777" w:rsidR="00FD4E54" w:rsidRDefault="00FD4E54" w:rsidP="00780A6B">
            <w:pPr>
              <w:jc w:val="center"/>
            </w:pPr>
            <w:r>
              <w:rPr>
                <w:rFonts w:hint="eastAsia"/>
              </w:rPr>
              <w:t>14</w:t>
            </w:r>
          </w:p>
        </w:tc>
        <w:tc>
          <w:tcPr>
            <w:tcW w:w="711" w:type="dxa"/>
            <w:vAlign w:val="center"/>
          </w:tcPr>
          <w:p w14:paraId="24F8EEBA" w14:textId="440B70F8" w:rsidR="00FD4E54" w:rsidRDefault="00FD4E54" w:rsidP="00780A6B">
            <w:pPr>
              <w:jc w:val="center"/>
            </w:pPr>
            <w:r>
              <w:rPr>
                <w:rFonts w:hint="eastAsia"/>
              </w:rPr>
              <w:t>0.0</w:t>
            </w:r>
            <w:r w:rsidR="000B22FC">
              <w:rPr>
                <w:rFonts w:hint="eastAsia"/>
              </w:rPr>
              <w:t>82</w:t>
            </w:r>
          </w:p>
        </w:tc>
        <w:tc>
          <w:tcPr>
            <w:tcW w:w="711" w:type="dxa"/>
            <w:vAlign w:val="center"/>
          </w:tcPr>
          <w:p w14:paraId="7CEB0DB0" w14:textId="56FD0F0E" w:rsidR="00FD4E54" w:rsidRDefault="00FD4E54" w:rsidP="00780A6B">
            <w:pPr>
              <w:jc w:val="center"/>
            </w:pPr>
            <w:r>
              <w:rPr>
                <w:rFonts w:hint="eastAsia"/>
              </w:rPr>
              <w:t>0.05</w:t>
            </w:r>
            <w:r w:rsidR="000B22FC">
              <w:rPr>
                <w:rFonts w:hint="eastAsia"/>
              </w:rPr>
              <w:t>4</w:t>
            </w:r>
          </w:p>
        </w:tc>
        <w:tc>
          <w:tcPr>
            <w:tcW w:w="2293" w:type="dxa"/>
            <w:vAlign w:val="center"/>
          </w:tcPr>
          <w:p w14:paraId="60791B03" w14:textId="06A43941" w:rsidR="00FD4E54" w:rsidRDefault="00FD4E54" w:rsidP="00780A6B">
            <w:pPr>
              <w:jc w:val="center"/>
            </w:pPr>
            <w:r>
              <w:rPr>
                <w:rFonts w:hint="eastAsia"/>
              </w:rPr>
              <w:t>[</w:t>
            </w:r>
            <w:r w:rsidRPr="00374DE5">
              <w:t>−</w:t>
            </w:r>
            <w:r>
              <w:rPr>
                <w:rFonts w:hint="eastAsia"/>
              </w:rPr>
              <w:t>0.0</w:t>
            </w:r>
            <w:r w:rsidR="000B22FC">
              <w:rPr>
                <w:rFonts w:hint="eastAsia"/>
              </w:rPr>
              <w:t>37</w:t>
            </w:r>
            <w:r>
              <w:rPr>
                <w:rFonts w:hint="eastAsia"/>
              </w:rPr>
              <w:t>, 0.</w:t>
            </w:r>
            <w:r w:rsidR="000B22FC">
              <w:rPr>
                <w:rFonts w:hint="eastAsia"/>
              </w:rPr>
              <w:t>200</w:t>
            </w:r>
            <w:r>
              <w:rPr>
                <w:rFonts w:hint="eastAsia"/>
              </w:rPr>
              <w:t>]</w:t>
            </w:r>
          </w:p>
        </w:tc>
        <w:tc>
          <w:tcPr>
            <w:tcW w:w="1100" w:type="dxa"/>
            <w:vAlign w:val="center"/>
          </w:tcPr>
          <w:p w14:paraId="210E2885" w14:textId="1C7D44A4" w:rsidR="00FD4E54" w:rsidRDefault="00FD4E54" w:rsidP="00780A6B">
            <w:pPr>
              <w:jc w:val="center"/>
            </w:pPr>
            <w:r>
              <w:rPr>
                <w:rFonts w:hint="eastAsia"/>
              </w:rPr>
              <w:t>.</w:t>
            </w:r>
            <w:r w:rsidR="000B22FC">
              <w:rPr>
                <w:rFonts w:hint="eastAsia"/>
              </w:rPr>
              <w:t>158</w:t>
            </w:r>
          </w:p>
        </w:tc>
        <w:tc>
          <w:tcPr>
            <w:tcW w:w="1017" w:type="dxa"/>
            <w:vAlign w:val="center"/>
          </w:tcPr>
          <w:p w14:paraId="37353568" w14:textId="19B5E533" w:rsidR="00FD4E54" w:rsidRDefault="000B22FC" w:rsidP="00780A6B">
            <w:pPr>
              <w:jc w:val="center"/>
            </w:pPr>
            <w:r>
              <w:rPr>
                <w:rFonts w:hint="eastAsia"/>
              </w:rPr>
              <w:t>11.8</w:t>
            </w:r>
            <w:r w:rsidR="00FD4E54">
              <w:rPr>
                <w:rFonts w:hint="eastAsia"/>
              </w:rPr>
              <w:t>%</w:t>
            </w:r>
          </w:p>
        </w:tc>
        <w:tc>
          <w:tcPr>
            <w:tcW w:w="1247" w:type="dxa"/>
            <w:vAlign w:val="center"/>
          </w:tcPr>
          <w:p w14:paraId="0F4EAE60" w14:textId="080F9D85" w:rsidR="00FD4E54" w:rsidRDefault="00FD4E54" w:rsidP="00780A6B">
            <w:pPr>
              <w:jc w:val="center"/>
            </w:pPr>
            <w:r>
              <w:rPr>
                <w:rFonts w:hint="eastAsia"/>
              </w:rPr>
              <w:t>0.0</w:t>
            </w:r>
            <w:r w:rsidR="000B22FC">
              <w:rPr>
                <w:rFonts w:hint="eastAsia"/>
              </w:rPr>
              <w:t>481</w:t>
            </w:r>
          </w:p>
        </w:tc>
      </w:tr>
    </w:tbl>
    <w:p w14:paraId="686333FE" w14:textId="77777777" w:rsidR="00FD4E54" w:rsidRDefault="00FD4E54" w:rsidP="00FD4E54">
      <w:pPr>
        <w:rPr>
          <w:i/>
          <w:iCs/>
        </w:rPr>
      </w:pPr>
    </w:p>
    <w:p w14:paraId="3075F9A3" w14:textId="2D2CA4BB" w:rsidR="00673B5F" w:rsidRDefault="00FD4E54" w:rsidP="00DF0C0B">
      <w:pPr>
        <w:spacing w:after="120"/>
        <w:ind w:firstLine="360"/>
        <w:jc w:val="both"/>
      </w:pPr>
      <w:r w:rsidRPr="00FD4E54">
        <w:rPr>
          <w:i/>
          <w:iCs/>
        </w:rPr>
        <w:t>Note.</w:t>
      </w:r>
      <w:r w:rsidRPr="00FD4E54">
        <w:t xml:space="preserve"> </w:t>
      </w:r>
      <w:r w:rsidRPr="00FB3CAC">
        <w:rPr>
          <w:i/>
          <w:iCs/>
        </w:rPr>
        <w:t>k</w:t>
      </w:r>
      <w:r w:rsidRPr="00FD4E54">
        <w:t xml:space="preserve"> = number of studies; β = unstandardized regression coefficient (slope); </w:t>
      </w:r>
      <w:r w:rsidRPr="00FB3CAC">
        <w:rPr>
          <w:i/>
          <w:iCs/>
        </w:rPr>
        <w:t>SE</w:t>
      </w:r>
      <w:r w:rsidRPr="00FD4E54">
        <w:t xml:space="preserve"> = standard error; CI = confidence interval; R² = proportion of between-study heterogeneity explained by the predictor; residual τ² = between-study variance remaining after inclusion of the predictor. The number of CBT components was pre-specified as a moderator in Section 3.8.3 and was </w:t>
      </w:r>
      <w:proofErr w:type="gramStart"/>
      <w:r w:rsidRPr="00FD4E54">
        <w:t>mean-</w:t>
      </w:r>
      <w:proofErr w:type="spellStart"/>
      <w:r w:rsidRPr="00FD4E54">
        <w:t>centred</w:t>
      </w:r>
      <w:proofErr w:type="spellEnd"/>
      <w:proofErr w:type="gramEnd"/>
      <w:r w:rsidRPr="00FD4E54">
        <w:t xml:space="preserve"> prior to analysis. The model was estimated using a random-effects (mixed-effects) meta-regression with the restricted maximum-likelihood (REML) estimator and Hartung-Knapp adjustment, consistent with the main analysis. A non-significant slope and an R² of </w:t>
      </w:r>
      <w:r w:rsidR="00F85F14">
        <w:rPr>
          <w:rFonts w:hint="eastAsia"/>
        </w:rPr>
        <w:t>11.8</w:t>
      </w:r>
      <w:r w:rsidRPr="00FD4E54">
        <w:t>% indicate that the number of components did not account for the observed between-study heterogeneity</w:t>
      </w:r>
    </w:p>
    <w:p w14:paraId="5789A1D9" w14:textId="77777777" w:rsidR="00673B5F" w:rsidRDefault="00673B5F" w:rsidP="00BC39C2"/>
    <w:p w14:paraId="30405A9A" w14:textId="77777777" w:rsidR="002D4AB1" w:rsidRPr="007502ED" w:rsidRDefault="002D4AB1" w:rsidP="00BC39C2"/>
    <w:p w14:paraId="28A8738F" w14:textId="491940DD" w:rsidR="002060A8" w:rsidRPr="006E03C5" w:rsidRDefault="00D450DC">
      <w:pPr>
        <w:pStyle w:val="2"/>
      </w:pPr>
      <w:bookmarkStart w:id="81" w:name="OLE_LINK60"/>
      <w:r>
        <w:t>4.</w:t>
      </w:r>
      <w:r w:rsidR="007C77E2">
        <w:rPr>
          <w:rFonts w:eastAsiaTheme="minorEastAsia" w:hint="eastAsia"/>
        </w:rPr>
        <w:t>6</w:t>
      </w:r>
      <w:r>
        <w:t xml:space="preserve">. </w:t>
      </w:r>
      <w:bookmarkStart w:id="82" w:name="OLE_LINK57"/>
      <w:r>
        <w:t>Sensitivity</w:t>
      </w:r>
      <w:r w:rsidR="002060A8" w:rsidRPr="002060A8">
        <w:t xml:space="preserve"> and Robustness</w:t>
      </w:r>
      <w:r>
        <w:t xml:space="preserve"> Analyses</w:t>
      </w:r>
    </w:p>
    <w:p w14:paraId="2FA13EA4" w14:textId="77777777" w:rsidR="00DF4A32" w:rsidRPr="00684D51" w:rsidRDefault="00DF4A32" w:rsidP="002060A8">
      <w:pPr>
        <w:pStyle w:val="3"/>
        <w:rPr>
          <w:rFonts w:eastAsiaTheme="minorEastAsia"/>
        </w:rPr>
      </w:pPr>
      <w:bookmarkStart w:id="83" w:name="OLE_LINK10"/>
      <w:r w:rsidRPr="002060A8">
        <w:rPr>
          <w:rFonts w:eastAsiaTheme="minorEastAsia"/>
        </w:rPr>
        <w:t>4.</w:t>
      </w:r>
      <w:r>
        <w:rPr>
          <w:rFonts w:eastAsiaTheme="minorEastAsia" w:hint="eastAsia"/>
        </w:rPr>
        <w:t>6</w:t>
      </w:r>
      <w:r w:rsidRPr="002060A8">
        <w:rPr>
          <w:rFonts w:eastAsiaTheme="minorEastAsia"/>
        </w:rPr>
        <w:t>.1 Outlier detection</w:t>
      </w:r>
      <w:r>
        <w:rPr>
          <w:rFonts w:eastAsiaTheme="minorEastAsia" w:hint="eastAsia"/>
        </w:rPr>
        <w:t xml:space="preserve"> and l</w:t>
      </w:r>
      <w:r w:rsidRPr="002060A8">
        <w:rPr>
          <w:rFonts w:eastAsiaTheme="minorEastAsia"/>
        </w:rPr>
        <w:t>eave-one-out influence analysis</w:t>
      </w:r>
    </w:p>
    <w:p w14:paraId="51F33E35" w14:textId="77777777" w:rsidR="00DF4A32" w:rsidRDefault="00DF4A32" w:rsidP="00DF4A32">
      <w:pPr>
        <w:spacing w:after="120" w:line="360" w:lineRule="auto"/>
        <w:ind w:firstLine="360"/>
        <w:jc w:val="both"/>
      </w:pPr>
      <w:bookmarkStart w:id="84" w:name="OLE_LINK45"/>
      <w:r>
        <w:rPr>
          <w:rFonts w:hint="eastAsia"/>
        </w:rPr>
        <w:t xml:space="preserve">Sensitivity analyses were conducted to assess the robustness of the post-intervention pooled estimate. </w:t>
      </w:r>
      <w:r>
        <w:t>O</w:t>
      </w:r>
      <w:r>
        <w:rPr>
          <w:rFonts w:hint="eastAsia"/>
        </w:rPr>
        <w:t>nly one study, Fleming et al. (2012), was identified as an outlier (</w:t>
      </w:r>
      <w:r w:rsidRPr="00637C8D">
        <w:rPr>
          <w:rFonts w:hint="eastAsia"/>
          <w:i/>
          <w:iCs/>
        </w:rPr>
        <w:t>g</w:t>
      </w:r>
      <w:r>
        <w:rPr>
          <w:rFonts w:hint="eastAsia"/>
        </w:rPr>
        <w:t xml:space="preserve"> = 1.50, 95% CI [0.67, 2.34]). </w:t>
      </w:r>
    </w:p>
    <w:p w14:paraId="0B586ECD" w14:textId="51F00CAE" w:rsidR="006E6672" w:rsidRDefault="00DF4A32" w:rsidP="00EE20F4">
      <w:pPr>
        <w:spacing w:after="120" w:line="360" w:lineRule="auto"/>
        <w:ind w:firstLine="360"/>
        <w:jc w:val="both"/>
      </w:pPr>
      <w:r>
        <w:rPr>
          <w:rFonts w:hint="eastAsia"/>
        </w:rPr>
        <w:t xml:space="preserve">The leave-one-out analysis showed that omitting any single study, including the outlier, did not overturn the main result. </w:t>
      </w:r>
      <w:r>
        <w:t>The</w:t>
      </w:r>
      <w:r>
        <w:rPr>
          <w:rFonts w:hint="eastAsia"/>
        </w:rPr>
        <w:t xml:space="preserve"> pooled effect size </w:t>
      </w:r>
      <w:r>
        <w:t>remained</w:t>
      </w:r>
      <w:r>
        <w:rPr>
          <w:rFonts w:hint="eastAsia"/>
        </w:rPr>
        <w:t xml:space="preserve"> close to the original estimate (</w:t>
      </w:r>
      <w:r w:rsidRPr="00637C8D">
        <w:rPr>
          <w:rFonts w:hint="eastAsia"/>
          <w:i/>
          <w:iCs/>
        </w:rPr>
        <w:t>g</w:t>
      </w:r>
      <w:r>
        <w:rPr>
          <w:rFonts w:hint="eastAsia"/>
        </w:rPr>
        <w:t xml:space="preserve"> =0.27), ranging from g = 0.20 (omitting Smith 2015) to </w:t>
      </w:r>
      <w:r w:rsidRPr="00637C8D">
        <w:rPr>
          <w:rFonts w:hint="eastAsia"/>
          <w:i/>
          <w:iCs/>
        </w:rPr>
        <w:t>g</w:t>
      </w:r>
      <w:r>
        <w:rPr>
          <w:rFonts w:hint="eastAsia"/>
        </w:rPr>
        <w:t xml:space="preserve"> = 0.30 (omitting O</w:t>
      </w:r>
      <w:r>
        <w:t>’</w:t>
      </w:r>
      <w:r>
        <w:rPr>
          <w:rFonts w:hint="eastAsia"/>
        </w:rPr>
        <w:t>Dea 2020), and all 95% confidence intervals continued to exclude zero (smallest lower bound = 0.03, omitting Smith 2015). These result support the robustness of the main post-intervention analysis.</w:t>
      </w:r>
    </w:p>
    <w:p w14:paraId="4359F683" w14:textId="77777777" w:rsidR="00EE20F4" w:rsidRDefault="00EE20F4" w:rsidP="00EE20F4">
      <w:pPr>
        <w:spacing w:after="120" w:line="360" w:lineRule="auto"/>
        <w:ind w:firstLine="360"/>
        <w:jc w:val="both"/>
      </w:pPr>
    </w:p>
    <w:p w14:paraId="2F553AC3" w14:textId="4AAE3211" w:rsidR="006E6672" w:rsidRDefault="005A6079" w:rsidP="005A6079">
      <w:r w:rsidRPr="00204817">
        <w:rPr>
          <w:rFonts w:hint="eastAsia"/>
          <w:b/>
          <w:bCs/>
        </w:rPr>
        <w:t xml:space="preserve">Table X. </w:t>
      </w:r>
      <w:r>
        <w:rPr>
          <w:rFonts w:hint="eastAsia"/>
          <w:b/>
          <w:bCs/>
        </w:rPr>
        <w:t>Leave-One-Out</w:t>
      </w:r>
      <w:r w:rsidRPr="00204817">
        <w:rPr>
          <w:rFonts w:hint="eastAsia"/>
          <w:b/>
          <w:bCs/>
        </w:rPr>
        <w:t xml:space="preserve"> </w:t>
      </w:r>
      <w:r w:rsidRPr="00204817">
        <w:rPr>
          <w:b/>
          <w:bCs/>
        </w:rPr>
        <w:t>Analyses of the Pooled Post-Intervention Effect</w:t>
      </w:r>
    </w:p>
    <w:p w14:paraId="5DB8CF5A" w14:textId="77777777" w:rsidR="005A6079" w:rsidRPr="005A6079" w:rsidRDefault="005A6079" w:rsidP="005A6079"/>
    <w:tbl>
      <w:tblPr>
        <w:tblStyle w:val="af1"/>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7"/>
        <w:gridCol w:w="2337"/>
        <w:gridCol w:w="2338"/>
        <w:gridCol w:w="2338"/>
      </w:tblGrid>
      <w:tr w:rsidR="006E6672" w14:paraId="1E9FD2D5" w14:textId="77777777" w:rsidTr="000F7A64">
        <w:trPr>
          <w:jc w:val="center"/>
        </w:trPr>
        <w:tc>
          <w:tcPr>
            <w:tcW w:w="2337" w:type="dxa"/>
            <w:tcBorders>
              <w:top w:val="single" w:sz="8" w:space="0" w:color="auto"/>
              <w:bottom w:val="single" w:sz="4" w:space="0" w:color="auto"/>
            </w:tcBorders>
            <w:vAlign w:val="center"/>
          </w:tcPr>
          <w:p w14:paraId="22F7EBA1" w14:textId="012E0399" w:rsidR="006E6672" w:rsidRPr="006E6672" w:rsidRDefault="006E6672" w:rsidP="006E6672">
            <w:pPr>
              <w:spacing w:after="120" w:line="360" w:lineRule="auto"/>
              <w:jc w:val="both"/>
              <w:rPr>
                <w:b/>
                <w:bCs/>
              </w:rPr>
            </w:pPr>
            <w:r w:rsidRPr="006E6672">
              <w:rPr>
                <w:rFonts w:hint="eastAsia"/>
                <w:b/>
                <w:bCs/>
              </w:rPr>
              <w:t>Omitting study</w:t>
            </w:r>
          </w:p>
        </w:tc>
        <w:tc>
          <w:tcPr>
            <w:tcW w:w="2337" w:type="dxa"/>
            <w:tcBorders>
              <w:top w:val="single" w:sz="8" w:space="0" w:color="auto"/>
              <w:bottom w:val="single" w:sz="4" w:space="0" w:color="auto"/>
            </w:tcBorders>
            <w:vAlign w:val="center"/>
          </w:tcPr>
          <w:p w14:paraId="1C17331E" w14:textId="7CD2B6BB" w:rsidR="006E6672" w:rsidRPr="006E6672" w:rsidRDefault="000F7A64" w:rsidP="006E6672">
            <w:pPr>
              <w:spacing w:after="120" w:line="360" w:lineRule="auto"/>
              <w:jc w:val="both"/>
              <w:rPr>
                <w:b/>
                <w:bCs/>
              </w:rPr>
            </w:pPr>
            <w:r>
              <w:rPr>
                <w:rFonts w:hint="eastAsia"/>
                <w:b/>
                <w:bCs/>
              </w:rPr>
              <w:t>Hedges</w:t>
            </w:r>
            <w:r>
              <w:rPr>
                <w:b/>
                <w:bCs/>
              </w:rPr>
              <w:t>’</w:t>
            </w:r>
            <w:r>
              <w:rPr>
                <w:rFonts w:hint="eastAsia"/>
                <w:b/>
                <w:bCs/>
              </w:rPr>
              <w:t xml:space="preserve"> </w:t>
            </w:r>
            <w:r w:rsidR="006E6672" w:rsidRPr="000F7A64">
              <w:rPr>
                <w:rFonts w:hint="eastAsia"/>
                <w:b/>
                <w:bCs/>
                <w:i/>
                <w:iCs/>
              </w:rPr>
              <w:t>g</w:t>
            </w:r>
          </w:p>
        </w:tc>
        <w:tc>
          <w:tcPr>
            <w:tcW w:w="2338" w:type="dxa"/>
            <w:tcBorders>
              <w:top w:val="single" w:sz="8" w:space="0" w:color="auto"/>
              <w:bottom w:val="single" w:sz="4" w:space="0" w:color="auto"/>
            </w:tcBorders>
            <w:vAlign w:val="center"/>
          </w:tcPr>
          <w:p w14:paraId="4110BF25" w14:textId="22F76B5E" w:rsidR="006E6672" w:rsidRPr="006E6672" w:rsidRDefault="006E6672" w:rsidP="006E6672">
            <w:pPr>
              <w:spacing w:after="120" w:line="360" w:lineRule="auto"/>
              <w:jc w:val="both"/>
              <w:rPr>
                <w:b/>
                <w:bCs/>
              </w:rPr>
            </w:pPr>
            <w:r>
              <w:rPr>
                <w:rFonts w:hint="eastAsia"/>
                <w:b/>
                <w:bCs/>
              </w:rPr>
              <w:t>CI lower</w:t>
            </w:r>
          </w:p>
        </w:tc>
        <w:tc>
          <w:tcPr>
            <w:tcW w:w="2338" w:type="dxa"/>
            <w:tcBorders>
              <w:top w:val="single" w:sz="8" w:space="0" w:color="auto"/>
              <w:bottom w:val="single" w:sz="4" w:space="0" w:color="auto"/>
            </w:tcBorders>
            <w:vAlign w:val="center"/>
          </w:tcPr>
          <w:p w14:paraId="3A81BF97" w14:textId="7D20CF4E" w:rsidR="006E6672" w:rsidRPr="006E6672" w:rsidRDefault="006E6672" w:rsidP="006E6672">
            <w:pPr>
              <w:spacing w:after="120" w:line="360" w:lineRule="auto"/>
              <w:jc w:val="both"/>
              <w:rPr>
                <w:b/>
                <w:bCs/>
              </w:rPr>
            </w:pPr>
            <w:r>
              <w:rPr>
                <w:rFonts w:hint="eastAsia"/>
                <w:b/>
                <w:bCs/>
              </w:rPr>
              <w:t>CI upper</w:t>
            </w:r>
          </w:p>
        </w:tc>
      </w:tr>
      <w:tr w:rsidR="006E6672" w14:paraId="7D3B055B" w14:textId="77777777" w:rsidTr="000F7A64">
        <w:trPr>
          <w:jc w:val="center"/>
        </w:trPr>
        <w:tc>
          <w:tcPr>
            <w:tcW w:w="2337" w:type="dxa"/>
            <w:tcBorders>
              <w:top w:val="single" w:sz="4" w:space="0" w:color="auto"/>
            </w:tcBorders>
            <w:vAlign w:val="center"/>
          </w:tcPr>
          <w:p w14:paraId="7467FA16" w14:textId="1DAC28DD" w:rsidR="006E6672" w:rsidRDefault="006E6672" w:rsidP="006E6672">
            <w:pPr>
              <w:spacing w:after="120" w:line="360" w:lineRule="auto"/>
              <w:jc w:val="both"/>
            </w:pPr>
            <w:r>
              <w:rPr>
                <w:rFonts w:hint="eastAsia"/>
              </w:rPr>
              <w:t>Smith 2015</w:t>
            </w:r>
          </w:p>
        </w:tc>
        <w:tc>
          <w:tcPr>
            <w:tcW w:w="2337" w:type="dxa"/>
            <w:tcBorders>
              <w:top w:val="single" w:sz="4" w:space="0" w:color="auto"/>
            </w:tcBorders>
            <w:vAlign w:val="center"/>
          </w:tcPr>
          <w:p w14:paraId="53F20D7C" w14:textId="246A3D34" w:rsidR="006E6672" w:rsidRDefault="006E6672" w:rsidP="006E6672">
            <w:pPr>
              <w:spacing w:after="120" w:line="360" w:lineRule="auto"/>
              <w:jc w:val="both"/>
            </w:pPr>
            <w:r>
              <w:rPr>
                <w:rFonts w:hint="eastAsia"/>
              </w:rPr>
              <w:t>0.204</w:t>
            </w:r>
          </w:p>
        </w:tc>
        <w:tc>
          <w:tcPr>
            <w:tcW w:w="2338" w:type="dxa"/>
            <w:tcBorders>
              <w:top w:val="single" w:sz="4" w:space="0" w:color="auto"/>
            </w:tcBorders>
            <w:vAlign w:val="center"/>
          </w:tcPr>
          <w:p w14:paraId="07FC32AE" w14:textId="727AE016" w:rsidR="006E6672" w:rsidRDefault="006E6672" w:rsidP="006E6672">
            <w:pPr>
              <w:spacing w:after="120" w:line="360" w:lineRule="auto"/>
              <w:jc w:val="both"/>
            </w:pPr>
            <w:r>
              <w:rPr>
                <w:rFonts w:hint="eastAsia"/>
              </w:rPr>
              <w:t>0.03</w:t>
            </w:r>
          </w:p>
        </w:tc>
        <w:tc>
          <w:tcPr>
            <w:tcW w:w="2338" w:type="dxa"/>
            <w:tcBorders>
              <w:top w:val="single" w:sz="4" w:space="0" w:color="auto"/>
            </w:tcBorders>
            <w:vAlign w:val="center"/>
          </w:tcPr>
          <w:p w14:paraId="7130EE83" w14:textId="6FA9940F" w:rsidR="006E6672" w:rsidRDefault="006E6672" w:rsidP="006E6672">
            <w:pPr>
              <w:spacing w:after="120" w:line="360" w:lineRule="auto"/>
              <w:jc w:val="both"/>
            </w:pPr>
            <w:r>
              <w:rPr>
                <w:rFonts w:hint="eastAsia"/>
              </w:rPr>
              <w:t>0.38</w:t>
            </w:r>
          </w:p>
        </w:tc>
      </w:tr>
      <w:tr w:rsidR="006E6672" w14:paraId="612CEC86" w14:textId="77777777" w:rsidTr="000F7A64">
        <w:trPr>
          <w:jc w:val="center"/>
        </w:trPr>
        <w:tc>
          <w:tcPr>
            <w:tcW w:w="2337" w:type="dxa"/>
            <w:vAlign w:val="center"/>
          </w:tcPr>
          <w:p w14:paraId="5C49784E" w14:textId="69FEE730" w:rsidR="006E6672" w:rsidRDefault="006E6672" w:rsidP="006E6672">
            <w:pPr>
              <w:spacing w:after="120" w:line="360" w:lineRule="auto"/>
              <w:jc w:val="both"/>
            </w:pPr>
            <w:r>
              <w:rPr>
                <w:rFonts w:hint="eastAsia"/>
              </w:rPr>
              <w:t>Fleming 2012</w:t>
            </w:r>
          </w:p>
        </w:tc>
        <w:tc>
          <w:tcPr>
            <w:tcW w:w="2337" w:type="dxa"/>
            <w:vAlign w:val="center"/>
          </w:tcPr>
          <w:p w14:paraId="0999391B" w14:textId="008F5A3D" w:rsidR="006E6672" w:rsidRDefault="006E6672" w:rsidP="006E6672">
            <w:pPr>
              <w:spacing w:after="120" w:line="360" w:lineRule="auto"/>
              <w:jc w:val="both"/>
            </w:pPr>
            <w:r>
              <w:rPr>
                <w:rFonts w:hint="eastAsia"/>
              </w:rPr>
              <w:t>0.225</w:t>
            </w:r>
          </w:p>
        </w:tc>
        <w:tc>
          <w:tcPr>
            <w:tcW w:w="2338" w:type="dxa"/>
            <w:vAlign w:val="center"/>
          </w:tcPr>
          <w:p w14:paraId="56308272" w14:textId="2C8A0F32" w:rsidR="006E6672" w:rsidRDefault="006E6672" w:rsidP="006E6672">
            <w:pPr>
              <w:spacing w:after="120" w:line="360" w:lineRule="auto"/>
              <w:jc w:val="both"/>
            </w:pPr>
            <w:r>
              <w:rPr>
                <w:rFonts w:hint="eastAsia"/>
              </w:rPr>
              <w:t>0.06</w:t>
            </w:r>
          </w:p>
        </w:tc>
        <w:tc>
          <w:tcPr>
            <w:tcW w:w="2338" w:type="dxa"/>
            <w:vAlign w:val="center"/>
          </w:tcPr>
          <w:p w14:paraId="1E092DC0" w14:textId="45D6F50A" w:rsidR="006E6672" w:rsidRDefault="006E6672" w:rsidP="006E6672">
            <w:pPr>
              <w:spacing w:after="120" w:line="360" w:lineRule="auto"/>
              <w:jc w:val="both"/>
            </w:pPr>
            <w:r>
              <w:rPr>
                <w:rFonts w:hint="eastAsia"/>
              </w:rPr>
              <w:t>0.</w:t>
            </w:r>
            <w:r w:rsidR="000F7A64">
              <w:rPr>
                <w:rFonts w:hint="eastAsia"/>
              </w:rPr>
              <w:t>39</w:t>
            </w:r>
          </w:p>
        </w:tc>
      </w:tr>
      <w:tr w:rsidR="006E6672" w14:paraId="1FDEE8DD" w14:textId="77777777" w:rsidTr="000F7A64">
        <w:trPr>
          <w:jc w:val="center"/>
        </w:trPr>
        <w:tc>
          <w:tcPr>
            <w:tcW w:w="2337" w:type="dxa"/>
            <w:vAlign w:val="center"/>
          </w:tcPr>
          <w:p w14:paraId="137ABF5A" w14:textId="2F7A7A01" w:rsidR="006E6672" w:rsidRDefault="004E1362" w:rsidP="006E6672">
            <w:pPr>
              <w:spacing w:after="120" w:line="360" w:lineRule="auto"/>
              <w:jc w:val="both"/>
            </w:pPr>
            <w:r>
              <w:rPr>
                <w:rFonts w:hint="eastAsia"/>
              </w:rPr>
              <w:t>Ackerson 1998</w:t>
            </w:r>
          </w:p>
        </w:tc>
        <w:tc>
          <w:tcPr>
            <w:tcW w:w="2337" w:type="dxa"/>
            <w:vAlign w:val="center"/>
          </w:tcPr>
          <w:p w14:paraId="670B9E09" w14:textId="26EDF5C3" w:rsidR="006E6672" w:rsidRDefault="004E1362" w:rsidP="006E6672">
            <w:pPr>
              <w:spacing w:after="120" w:line="360" w:lineRule="auto"/>
              <w:jc w:val="both"/>
            </w:pPr>
            <w:r>
              <w:rPr>
                <w:rFonts w:hint="eastAsia"/>
              </w:rPr>
              <w:t>0.246</w:t>
            </w:r>
          </w:p>
        </w:tc>
        <w:tc>
          <w:tcPr>
            <w:tcW w:w="2338" w:type="dxa"/>
            <w:vAlign w:val="center"/>
          </w:tcPr>
          <w:p w14:paraId="43BA9DE7" w14:textId="60C7A576" w:rsidR="006E6672" w:rsidRDefault="004E1362" w:rsidP="006E6672">
            <w:pPr>
              <w:spacing w:after="120" w:line="360" w:lineRule="auto"/>
              <w:jc w:val="both"/>
            </w:pPr>
            <w:r>
              <w:rPr>
                <w:rFonts w:hint="eastAsia"/>
              </w:rPr>
              <w:t>0.04</w:t>
            </w:r>
          </w:p>
        </w:tc>
        <w:tc>
          <w:tcPr>
            <w:tcW w:w="2338" w:type="dxa"/>
            <w:vAlign w:val="center"/>
          </w:tcPr>
          <w:p w14:paraId="69489091" w14:textId="56FF9B1C" w:rsidR="006E6672" w:rsidRDefault="004E1362" w:rsidP="006E6672">
            <w:pPr>
              <w:spacing w:after="120" w:line="360" w:lineRule="auto"/>
              <w:jc w:val="both"/>
            </w:pPr>
            <w:r>
              <w:rPr>
                <w:rFonts w:hint="eastAsia"/>
              </w:rPr>
              <w:t>0.45</w:t>
            </w:r>
          </w:p>
        </w:tc>
      </w:tr>
      <w:tr w:rsidR="006E6672" w14:paraId="4B6F5B86" w14:textId="77777777" w:rsidTr="000F7A64">
        <w:trPr>
          <w:jc w:val="center"/>
        </w:trPr>
        <w:tc>
          <w:tcPr>
            <w:tcW w:w="2337" w:type="dxa"/>
            <w:vAlign w:val="center"/>
          </w:tcPr>
          <w:p w14:paraId="45982620" w14:textId="729A64ED" w:rsidR="006E6672" w:rsidRDefault="004E1362" w:rsidP="006E6672">
            <w:pPr>
              <w:spacing w:after="120" w:line="360" w:lineRule="auto"/>
              <w:jc w:val="both"/>
            </w:pPr>
            <w:r>
              <w:rPr>
                <w:rFonts w:hint="eastAsia"/>
              </w:rPr>
              <w:t>Stasiak 2014</w:t>
            </w:r>
          </w:p>
        </w:tc>
        <w:tc>
          <w:tcPr>
            <w:tcW w:w="2337" w:type="dxa"/>
            <w:vAlign w:val="center"/>
          </w:tcPr>
          <w:p w14:paraId="78FB6A2B" w14:textId="4731C35C" w:rsidR="006E6672" w:rsidRDefault="009D4DAB" w:rsidP="006E6672">
            <w:pPr>
              <w:spacing w:after="120" w:line="360" w:lineRule="auto"/>
              <w:jc w:val="both"/>
            </w:pPr>
            <w:r>
              <w:rPr>
                <w:rFonts w:hint="eastAsia"/>
              </w:rPr>
              <w:t>0.259</w:t>
            </w:r>
          </w:p>
        </w:tc>
        <w:tc>
          <w:tcPr>
            <w:tcW w:w="2338" w:type="dxa"/>
            <w:vAlign w:val="center"/>
          </w:tcPr>
          <w:p w14:paraId="6024FDF0" w14:textId="3B0CAC5E" w:rsidR="006E6672" w:rsidRDefault="009D4DAB" w:rsidP="006E6672">
            <w:pPr>
              <w:spacing w:after="120" w:line="360" w:lineRule="auto"/>
              <w:jc w:val="both"/>
            </w:pPr>
            <w:r>
              <w:rPr>
                <w:rFonts w:hint="eastAsia"/>
              </w:rPr>
              <w:t>0.04</w:t>
            </w:r>
          </w:p>
        </w:tc>
        <w:tc>
          <w:tcPr>
            <w:tcW w:w="2338" w:type="dxa"/>
            <w:vAlign w:val="center"/>
          </w:tcPr>
          <w:p w14:paraId="062EC605" w14:textId="76AB81B7" w:rsidR="006E6672" w:rsidRDefault="009D4DAB" w:rsidP="006E6672">
            <w:pPr>
              <w:spacing w:after="120" w:line="360" w:lineRule="auto"/>
              <w:jc w:val="both"/>
            </w:pPr>
            <w:r>
              <w:rPr>
                <w:rFonts w:hint="eastAsia"/>
              </w:rPr>
              <w:t>0.48</w:t>
            </w:r>
          </w:p>
        </w:tc>
      </w:tr>
      <w:tr w:rsidR="006E6672" w14:paraId="6423FBA4" w14:textId="77777777" w:rsidTr="000F7A64">
        <w:trPr>
          <w:jc w:val="center"/>
        </w:trPr>
        <w:tc>
          <w:tcPr>
            <w:tcW w:w="2337" w:type="dxa"/>
            <w:vAlign w:val="center"/>
          </w:tcPr>
          <w:p w14:paraId="0A16F5E1" w14:textId="0070BA7A" w:rsidR="006E6672" w:rsidRDefault="009D4DAB" w:rsidP="006E6672">
            <w:pPr>
              <w:spacing w:after="120" w:line="360" w:lineRule="auto"/>
              <w:jc w:val="both"/>
            </w:pPr>
            <w:proofErr w:type="spellStart"/>
            <w:r>
              <w:rPr>
                <w:rFonts w:hint="eastAsia"/>
              </w:rPr>
              <w:t>Makarushka</w:t>
            </w:r>
            <w:proofErr w:type="spellEnd"/>
            <w:r>
              <w:rPr>
                <w:rFonts w:hint="eastAsia"/>
              </w:rPr>
              <w:t xml:space="preserve"> 2011</w:t>
            </w:r>
          </w:p>
        </w:tc>
        <w:tc>
          <w:tcPr>
            <w:tcW w:w="2337" w:type="dxa"/>
            <w:vAlign w:val="center"/>
          </w:tcPr>
          <w:p w14:paraId="2DE3762E" w14:textId="6D4CFD82" w:rsidR="006E6672" w:rsidRDefault="009D4DAB" w:rsidP="006E6672">
            <w:pPr>
              <w:spacing w:after="120" w:line="360" w:lineRule="auto"/>
              <w:jc w:val="both"/>
            </w:pPr>
            <w:r>
              <w:rPr>
                <w:rFonts w:hint="eastAsia"/>
              </w:rPr>
              <w:t>0.265</w:t>
            </w:r>
          </w:p>
        </w:tc>
        <w:tc>
          <w:tcPr>
            <w:tcW w:w="2338" w:type="dxa"/>
            <w:vAlign w:val="center"/>
          </w:tcPr>
          <w:p w14:paraId="0A399A75" w14:textId="4E43F041" w:rsidR="006E6672" w:rsidRDefault="009D4DAB" w:rsidP="006E6672">
            <w:pPr>
              <w:spacing w:after="120" w:line="360" w:lineRule="auto"/>
              <w:jc w:val="both"/>
            </w:pPr>
            <w:r>
              <w:rPr>
                <w:rFonts w:hint="eastAsia"/>
              </w:rPr>
              <w:t>0.04</w:t>
            </w:r>
          </w:p>
        </w:tc>
        <w:tc>
          <w:tcPr>
            <w:tcW w:w="2338" w:type="dxa"/>
            <w:vAlign w:val="center"/>
          </w:tcPr>
          <w:p w14:paraId="5EE72284" w14:textId="61CD2E6A" w:rsidR="006E6672" w:rsidRDefault="009D4DAB" w:rsidP="006E6672">
            <w:pPr>
              <w:spacing w:after="120" w:line="360" w:lineRule="auto"/>
              <w:jc w:val="both"/>
            </w:pPr>
            <w:r>
              <w:rPr>
                <w:rFonts w:hint="eastAsia"/>
              </w:rPr>
              <w:t>0.49</w:t>
            </w:r>
          </w:p>
        </w:tc>
      </w:tr>
      <w:tr w:rsidR="006E6672" w14:paraId="1DC85DF2" w14:textId="77777777" w:rsidTr="000F7A64">
        <w:trPr>
          <w:jc w:val="center"/>
        </w:trPr>
        <w:tc>
          <w:tcPr>
            <w:tcW w:w="2337" w:type="dxa"/>
            <w:vAlign w:val="center"/>
          </w:tcPr>
          <w:p w14:paraId="5379ACAD" w14:textId="3E23751E" w:rsidR="006E6672" w:rsidRDefault="009D4DAB" w:rsidP="006E6672">
            <w:pPr>
              <w:spacing w:after="120" w:line="360" w:lineRule="auto"/>
              <w:jc w:val="both"/>
            </w:pPr>
            <w:r>
              <w:rPr>
                <w:rFonts w:hint="eastAsia"/>
              </w:rPr>
              <w:t>O</w:t>
            </w:r>
            <w:r>
              <w:t>’</w:t>
            </w:r>
            <w:r>
              <w:rPr>
                <w:rFonts w:hint="eastAsia"/>
              </w:rPr>
              <w:t>Dea 2025</w:t>
            </w:r>
          </w:p>
        </w:tc>
        <w:tc>
          <w:tcPr>
            <w:tcW w:w="2337" w:type="dxa"/>
            <w:vAlign w:val="center"/>
          </w:tcPr>
          <w:p w14:paraId="7DE24A7A" w14:textId="5B105AF6" w:rsidR="006E6672" w:rsidRDefault="009D4DAB" w:rsidP="006E6672">
            <w:pPr>
              <w:spacing w:after="120" w:line="360" w:lineRule="auto"/>
              <w:jc w:val="both"/>
            </w:pPr>
            <w:r>
              <w:rPr>
                <w:rFonts w:hint="eastAsia"/>
              </w:rPr>
              <w:t>0.267</w:t>
            </w:r>
          </w:p>
        </w:tc>
        <w:tc>
          <w:tcPr>
            <w:tcW w:w="2338" w:type="dxa"/>
            <w:vAlign w:val="center"/>
          </w:tcPr>
          <w:p w14:paraId="6D501E28" w14:textId="66D3C119" w:rsidR="006E6672" w:rsidRDefault="009D4DAB" w:rsidP="006E6672">
            <w:pPr>
              <w:spacing w:after="120" w:line="360" w:lineRule="auto"/>
              <w:jc w:val="both"/>
            </w:pPr>
            <w:r>
              <w:rPr>
                <w:rFonts w:hint="eastAsia"/>
              </w:rPr>
              <w:t>0.04</w:t>
            </w:r>
          </w:p>
        </w:tc>
        <w:tc>
          <w:tcPr>
            <w:tcW w:w="2338" w:type="dxa"/>
            <w:vAlign w:val="center"/>
          </w:tcPr>
          <w:p w14:paraId="35A1DDD7" w14:textId="257096D6" w:rsidR="006E6672" w:rsidRDefault="009D4DAB" w:rsidP="006E6672">
            <w:pPr>
              <w:spacing w:after="120" w:line="360" w:lineRule="auto"/>
              <w:jc w:val="both"/>
            </w:pPr>
            <w:r>
              <w:rPr>
                <w:rFonts w:hint="eastAsia"/>
              </w:rPr>
              <w:t>0.50</w:t>
            </w:r>
          </w:p>
        </w:tc>
      </w:tr>
      <w:tr w:rsidR="006E6672" w14:paraId="2518534E" w14:textId="77777777" w:rsidTr="000F7A64">
        <w:trPr>
          <w:jc w:val="center"/>
        </w:trPr>
        <w:tc>
          <w:tcPr>
            <w:tcW w:w="2337" w:type="dxa"/>
            <w:vAlign w:val="center"/>
          </w:tcPr>
          <w:p w14:paraId="2AC8C26A" w14:textId="1283CBFF" w:rsidR="006E6672" w:rsidRDefault="009D4DAB" w:rsidP="006E6672">
            <w:pPr>
              <w:spacing w:after="120" w:line="360" w:lineRule="auto"/>
              <w:jc w:val="both"/>
            </w:pPr>
            <w:r>
              <w:rPr>
                <w:rFonts w:hint="eastAsia"/>
              </w:rPr>
              <w:lastRenderedPageBreak/>
              <w:t>Stice 2008</w:t>
            </w:r>
          </w:p>
        </w:tc>
        <w:tc>
          <w:tcPr>
            <w:tcW w:w="2337" w:type="dxa"/>
            <w:vAlign w:val="center"/>
          </w:tcPr>
          <w:p w14:paraId="72D72A81" w14:textId="0F7B486F" w:rsidR="006E6672" w:rsidRDefault="009D4DAB" w:rsidP="006E6672">
            <w:pPr>
              <w:spacing w:after="120" w:line="360" w:lineRule="auto"/>
              <w:jc w:val="both"/>
            </w:pPr>
            <w:r>
              <w:rPr>
                <w:rFonts w:hint="eastAsia"/>
              </w:rPr>
              <w:t>0.277</w:t>
            </w:r>
          </w:p>
        </w:tc>
        <w:tc>
          <w:tcPr>
            <w:tcW w:w="2338" w:type="dxa"/>
            <w:vAlign w:val="center"/>
          </w:tcPr>
          <w:p w14:paraId="43869A70" w14:textId="7FE4BAA6" w:rsidR="006E6672" w:rsidRDefault="009D4DAB" w:rsidP="006E6672">
            <w:pPr>
              <w:spacing w:after="120" w:line="360" w:lineRule="auto"/>
              <w:jc w:val="both"/>
            </w:pPr>
            <w:r>
              <w:rPr>
                <w:rFonts w:hint="eastAsia"/>
              </w:rPr>
              <w:t>0.05</w:t>
            </w:r>
          </w:p>
        </w:tc>
        <w:tc>
          <w:tcPr>
            <w:tcW w:w="2338" w:type="dxa"/>
            <w:vAlign w:val="center"/>
          </w:tcPr>
          <w:p w14:paraId="1DDF9308" w14:textId="3E0DE061" w:rsidR="006E6672" w:rsidRDefault="009D4DAB" w:rsidP="006E6672">
            <w:pPr>
              <w:spacing w:after="120" w:line="360" w:lineRule="auto"/>
              <w:jc w:val="both"/>
            </w:pPr>
            <w:r>
              <w:rPr>
                <w:rFonts w:hint="eastAsia"/>
              </w:rPr>
              <w:t>0.51</w:t>
            </w:r>
          </w:p>
        </w:tc>
      </w:tr>
      <w:tr w:rsidR="006E6672" w14:paraId="5FDA367D" w14:textId="77777777" w:rsidTr="000F7A64">
        <w:trPr>
          <w:jc w:val="center"/>
        </w:trPr>
        <w:tc>
          <w:tcPr>
            <w:tcW w:w="2337" w:type="dxa"/>
            <w:vAlign w:val="center"/>
          </w:tcPr>
          <w:p w14:paraId="3140900F" w14:textId="09B86E7F" w:rsidR="006E6672" w:rsidRDefault="009D4DAB" w:rsidP="006E6672">
            <w:pPr>
              <w:spacing w:after="120" w:line="360" w:lineRule="auto"/>
              <w:jc w:val="both"/>
            </w:pPr>
            <w:r>
              <w:rPr>
                <w:rFonts w:hint="eastAsia"/>
              </w:rPr>
              <w:t>Stallard 2024</w:t>
            </w:r>
          </w:p>
        </w:tc>
        <w:tc>
          <w:tcPr>
            <w:tcW w:w="2337" w:type="dxa"/>
            <w:vAlign w:val="center"/>
          </w:tcPr>
          <w:p w14:paraId="14E3562F" w14:textId="0B27047B" w:rsidR="006E6672" w:rsidRDefault="009D4DAB" w:rsidP="006E6672">
            <w:pPr>
              <w:spacing w:after="120" w:line="360" w:lineRule="auto"/>
              <w:jc w:val="both"/>
            </w:pPr>
            <w:r>
              <w:rPr>
                <w:rFonts w:hint="eastAsia"/>
              </w:rPr>
              <w:t>0.281</w:t>
            </w:r>
          </w:p>
        </w:tc>
        <w:tc>
          <w:tcPr>
            <w:tcW w:w="2338" w:type="dxa"/>
            <w:vAlign w:val="center"/>
          </w:tcPr>
          <w:p w14:paraId="706E0E88" w14:textId="76BA58BD" w:rsidR="006E6672" w:rsidRDefault="009D4DAB" w:rsidP="006E6672">
            <w:pPr>
              <w:spacing w:after="120" w:line="360" w:lineRule="auto"/>
              <w:jc w:val="both"/>
            </w:pPr>
            <w:r>
              <w:rPr>
                <w:rFonts w:hint="eastAsia"/>
              </w:rPr>
              <w:t>0.05</w:t>
            </w:r>
          </w:p>
        </w:tc>
        <w:tc>
          <w:tcPr>
            <w:tcW w:w="2338" w:type="dxa"/>
            <w:vAlign w:val="center"/>
          </w:tcPr>
          <w:p w14:paraId="49305FDB" w14:textId="19333133" w:rsidR="006E6672" w:rsidRDefault="009D4DAB" w:rsidP="006E6672">
            <w:pPr>
              <w:spacing w:after="120" w:line="360" w:lineRule="auto"/>
              <w:jc w:val="both"/>
            </w:pPr>
            <w:r>
              <w:rPr>
                <w:rFonts w:hint="eastAsia"/>
              </w:rPr>
              <w:t>0.51</w:t>
            </w:r>
          </w:p>
        </w:tc>
      </w:tr>
      <w:tr w:rsidR="006E6672" w14:paraId="4EE40B54" w14:textId="77777777" w:rsidTr="000F7A64">
        <w:trPr>
          <w:jc w:val="center"/>
        </w:trPr>
        <w:tc>
          <w:tcPr>
            <w:tcW w:w="2337" w:type="dxa"/>
            <w:vAlign w:val="center"/>
          </w:tcPr>
          <w:p w14:paraId="516942C2" w14:textId="6531BFA8" w:rsidR="006E6672" w:rsidRDefault="009D4DAB" w:rsidP="006E6672">
            <w:pPr>
              <w:spacing w:after="120" w:line="360" w:lineRule="auto"/>
              <w:jc w:val="both"/>
            </w:pPr>
            <w:r>
              <w:rPr>
                <w:rFonts w:hint="eastAsia"/>
              </w:rPr>
              <w:t>Ip 2016</w:t>
            </w:r>
          </w:p>
        </w:tc>
        <w:tc>
          <w:tcPr>
            <w:tcW w:w="2337" w:type="dxa"/>
            <w:vAlign w:val="center"/>
          </w:tcPr>
          <w:p w14:paraId="4E32F527" w14:textId="3A9BD6B1" w:rsidR="006E6672" w:rsidRDefault="009D4DAB" w:rsidP="006E6672">
            <w:pPr>
              <w:spacing w:after="120" w:line="360" w:lineRule="auto"/>
              <w:jc w:val="both"/>
            </w:pPr>
            <w:r>
              <w:rPr>
                <w:rFonts w:hint="eastAsia"/>
              </w:rPr>
              <w:t>0.282</w:t>
            </w:r>
          </w:p>
        </w:tc>
        <w:tc>
          <w:tcPr>
            <w:tcW w:w="2338" w:type="dxa"/>
            <w:vAlign w:val="center"/>
          </w:tcPr>
          <w:p w14:paraId="13F3A97E" w14:textId="28F5075B" w:rsidR="006E6672" w:rsidRDefault="009D4DAB" w:rsidP="006E6672">
            <w:pPr>
              <w:spacing w:after="120" w:line="360" w:lineRule="auto"/>
              <w:jc w:val="both"/>
            </w:pPr>
            <w:r>
              <w:rPr>
                <w:rFonts w:hint="eastAsia"/>
              </w:rPr>
              <w:t>0.05</w:t>
            </w:r>
          </w:p>
        </w:tc>
        <w:tc>
          <w:tcPr>
            <w:tcW w:w="2338" w:type="dxa"/>
            <w:vAlign w:val="center"/>
          </w:tcPr>
          <w:p w14:paraId="05BA15D4" w14:textId="1819E851" w:rsidR="006E6672" w:rsidRDefault="009D4DAB" w:rsidP="006E6672">
            <w:pPr>
              <w:spacing w:after="120" w:line="360" w:lineRule="auto"/>
              <w:jc w:val="both"/>
            </w:pPr>
            <w:r>
              <w:rPr>
                <w:rFonts w:hint="eastAsia"/>
              </w:rPr>
              <w:t>0.5</w:t>
            </w:r>
            <w:r w:rsidR="000F7A64">
              <w:rPr>
                <w:rFonts w:hint="eastAsia"/>
              </w:rPr>
              <w:t>1</w:t>
            </w:r>
          </w:p>
        </w:tc>
      </w:tr>
      <w:tr w:rsidR="006E6672" w14:paraId="4764B156" w14:textId="77777777" w:rsidTr="000F7A64">
        <w:trPr>
          <w:jc w:val="center"/>
        </w:trPr>
        <w:tc>
          <w:tcPr>
            <w:tcW w:w="2337" w:type="dxa"/>
            <w:vAlign w:val="center"/>
          </w:tcPr>
          <w:p w14:paraId="1D9380E4" w14:textId="1B284CF1" w:rsidR="006E6672" w:rsidRDefault="000F7A64" w:rsidP="006E6672">
            <w:pPr>
              <w:spacing w:after="120" w:line="360" w:lineRule="auto"/>
              <w:jc w:val="both"/>
            </w:pPr>
            <w:r>
              <w:t>W</w:t>
            </w:r>
            <w:r>
              <w:rPr>
                <w:rFonts w:hint="eastAsia"/>
              </w:rPr>
              <w:t>right 2020</w:t>
            </w:r>
          </w:p>
        </w:tc>
        <w:tc>
          <w:tcPr>
            <w:tcW w:w="2337" w:type="dxa"/>
            <w:vAlign w:val="center"/>
          </w:tcPr>
          <w:p w14:paraId="3EC46978" w14:textId="60BABD91" w:rsidR="006E6672" w:rsidRDefault="000F7A64" w:rsidP="006E6672">
            <w:pPr>
              <w:spacing w:after="120" w:line="360" w:lineRule="auto"/>
              <w:jc w:val="both"/>
            </w:pPr>
            <w:r>
              <w:rPr>
                <w:rFonts w:hint="eastAsia"/>
              </w:rPr>
              <w:t>0.285</w:t>
            </w:r>
          </w:p>
        </w:tc>
        <w:tc>
          <w:tcPr>
            <w:tcW w:w="2338" w:type="dxa"/>
            <w:vAlign w:val="center"/>
          </w:tcPr>
          <w:p w14:paraId="100EF4BE" w14:textId="224438B5" w:rsidR="006E6672" w:rsidRDefault="000F7A64" w:rsidP="006E6672">
            <w:pPr>
              <w:spacing w:after="120" w:line="360" w:lineRule="auto"/>
              <w:jc w:val="both"/>
            </w:pPr>
            <w:r>
              <w:rPr>
                <w:rFonts w:hint="eastAsia"/>
              </w:rPr>
              <w:t>0.06</w:t>
            </w:r>
          </w:p>
        </w:tc>
        <w:tc>
          <w:tcPr>
            <w:tcW w:w="2338" w:type="dxa"/>
            <w:vAlign w:val="center"/>
          </w:tcPr>
          <w:p w14:paraId="28CFCFD4" w14:textId="48C62803" w:rsidR="006E6672" w:rsidRDefault="000F7A64" w:rsidP="006E6672">
            <w:pPr>
              <w:spacing w:after="120" w:line="360" w:lineRule="auto"/>
              <w:jc w:val="both"/>
            </w:pPr>
            <w:r>
              <w:rPr>
                <w:rFonts w:hint="eastAsia"/>
              </w:rPr>
              <w:t>0.51</w:t>
            </w:r>
          </w:p>
        </w:tc>
      </w:tr>
      <w:tr w:rsidR="006E6672" w14:paraId="6E920D3E" w14:textId="77777777" w:rsidTr="000F7A64">
        <w:trPr>
          <w:jc w:val="center"/>
        </w:trPr>
        <w:tc>
          <w:tcPr>
            <w:tcW w:w="2337" w:type="dxa"/>
            <w:vAlign w:val="center"/>
          </w:tcPr>
          <w:p w14:paraId="7CF4085B" w14:textId="15183AC4" w:rsidR="006E6672" w:rsidRDefault="000F7A64" w:rsidP="006E6672">
            <w:pPr>
              <w:spacing w:after="120" w:line="360" w:lineRule="auto"/>
              <w:jc w:val="both"/>
            </w:pPr>
            <w:r>
              <w:rPr>
                <w:rFonts w:hint="eastAsia"/>
              </w:rPr>
              <w:t>Ranney 2018</w:t>
            </w:r>
          </w:p>
        </w:tc>
        <w:tc>
          <w:tcPr>
            <w:tcW w:w="2337" w:type="dxa"/>
            <w:vAlign w:val="center"/>
          </w:tcPr>
          <w:p w14:paraId="38F17C47" w14:textId="44BEBE87" w:rsidR="006E6672" w:rsidRDefault="000F7A64" w:rsidP="006E6672">
            <w:pPr>
              <w:spacing w:after="120" w:line="360" w:lineRule="auto"/>
              <w:jc w:val="both"/>
            </w:pPr>
            <w:r>
              <w:rPr>
                <w:rFonts w:hint="eastAsia"/>
              </w:rPr>
              <w:t>0.292</w:t>
            </w:r>
          </w:p>
        </w:tc>
        <w:tc>
          <w:tcPr>
            <w:tcW w:w="2338" w:type="dxa"/>
            <w:vAlign w:val="center"/>
          </w:tcPr>
          <w:p w14:paraId="233974F4" w14:textId="6A069C9F" w:rsidR="006E6672" w:rsidRDefault="000F7A64" w:rsidP="006E6672">
            <w:pPr>
              <w:spacing w:after="120" w:line="360" w:lineRule="auto"/>
              <w:jc w:val="both"/>
            </w:pPr>
            <w:r>
              <w:rPr>
                <w:rFonts w:hint="eastAsia"/>
              </w:rPr>
              <w:t>0.07</w:t>
            </w:r>
          </w:p>
        </w:tc>
        <w:tc>
          <w:tcPr>
            <w:tcW w:w="2338" w:type="dxa"/>
            <w:vAlign w:val="center"/>
          </w:tcPr>
          <w:p w14:paraId="6E488137" w14:textId="0A2A85E9" w:rsidR="006E6672" w:rsidRDefault="000F7A64" w:rsidP="006E6672">
            <w:pPr>
              <w:spacing w:after="120" w:line="360" w:lineRule="auto"/>
              <w:jc w:val="both"/>
            </w:pPr>
            <w:r>
              <w:rPr>
                <w:rFonts w:hint="eastAsia"/>
              </w:rPr>
              <w:t>0.51</w:t>
            </w:r>
          </w:p>
        </w:tc>
      </w:tr>
      <w:tr w:rsidR="006E6672" w14:paraId="4D6E9861" w14:textId="77777777" w:rsidTr="000F7A64">
        <w:trPr>
          <w:jc w:val="center"/>
        </w:trPr>
        <w:tc>
          <w:tcPr>
            <w:tcW w:w="2337" w:type="dxa"/>
            <w:tcBorders>
              <w:bottom w:val="nil"/>
            </w:tcBorders>
            <w:vAlign w:val="center"/>
          </w:tcPr>
          <w:p w14:paraId="741303DF" w14:textId="738D455B" w:rsidR="006E6672" w:rsidRDefault="000F7A64" w:rsidP="006E6672">
            <w:pPr>
              <w:spacing w:after="120" w:line="360" w:lineRule="auto"/>
              <w:jc w:val="both"/>
            </w:pPr>
            <w:proofErr w:type="spellStart"/>
            <w:r>
              <w:rPr>
                <w:rFonts w:hint="eastAsia"/>
              </w:rPr>
              <w:t>Poppelaars</w:t>
            </w:r>
            <w:proofErr w:type="spellEnd"/>
            <w:r>
              <w:rPr>
                <w:rFonts w:hint="eastAsia"/>
              </w:rPr>
              <w:t xml:space="preserve"> 2016</w:t>
            </w:r>
          </w:p>
        </w:tc>
        <w:tc>
          <w:tcPr>
            <w:tcW w:w="2337" w:type="dxa"/>
            <w:tcBorders>
              <w:bottom w:val="nil"/>
            </w:tcBorders>
            <w:vAlign w:val="center"/>
          </w:tcPr>
          <w:p w14:paraId="18888810" w14:textId="7F18F2E7" w:rsidR="006E6672" w:rsidRDefault="000F7A64" w:rsidP="006E6672">
            <w:pPr>
              <w:spacing w:after="120" w:line="360" w:lineRule="auto"/>
              <w:jc w:val="both"/>
            </w:pPr>
            <w:r>
              <w:rPr>
                <w:rFonts w:hint="eastAsia"/>
              </w:rPr>
              <w:t>0.293</w:t>
            </w:r>
          </w:p>
        </w:tc>
        <w:tc>
          <w:tcPr>
            <w:tcW w:w="2338" w:type="dxa"/>
            <w:tcBorders>
              <w:bottom w:val="nil"/>
            </w:tcBorders>
            <w:vAlign w:val="center"/>
          </w:tcPr>
          <w:p w14:paraId="48D87FA4" w14:textId="6C81D14D" w:rsidR="006E6672" w:rsidRDefault="000F7A64" w:rsidP="006E6672">
            <w:pPr>
              <w:spacing w:after="120" w:line="360" w:lineRule="auto"/>
              <w:jc w:val="both"/>
            </w:pPr>
            <w:r>
              <w:rPr>
                <w:rFonts w:hint="eastAsia"/>
              </w:rPr>
              <w:t>0.07</w:t>
            </w:r>
          </w:p>
        </w:tc>
        <w:tc>
          <w:tcPr>
            <w:tcW w:w="2338" w:type="dxa"/>
            <w:tcBorders>
              <w:bottom w:val="nil"/>
            </w:tcBorders>
            <w:vAlign w:val="center"/>
          </w:tcPr>
          <w:p w14:paraId="34A58867" w14:textId="386AB44B" w:rsidR="006E6672" w:rsidRDefault="000F7A64" w:rsidP="006E6672">
            <w:pPr>
              <w:spacing w:after="120" w:line="360" w:lineRule="auto"/>
              <w:jc w:val="both"/>
            </w:pPr>
            <w:r>
              <w:rPr>
                <w:rFonts w:hint="eastAsia"/>
              </w:rPr>
              <w:t>0.51</w:t>
            </w:r>
          </w:p>
        </w:tc>
      </w:tr>
      <w:tr w:rsidR="006E6672" w14:paraId="2F3FC22B" w14:textId="77777777" w:rsidTr="000F7A64">
        <w:trPr>
          <w:jc w:val="center"/>
        </w:trPr>
        <w:tc>
          <w:tcPr>
            <w:tcW w:w="2337" w:type="dxa"/>
            <w:tcBorders>
              <w:top w:val="nil"/>
              <w:bottom w:val="nil"/>
            </w:tcBorders>
            <w:vAlign w:val="center"/>
          </w:tcPr>
          <w:p w14:paraId="26D8AD96" w14:textId="43E77A1C" w:rsidR="006E6672" w:rsidRDefault="000F7A64" w:rsidP="006E6672">
            <w:pPr>
              <w:spacing w:after="120" w:line="360" w:lineRule="auto"/>
              <w:jc w:val="both"/>
            </w:pPr>
            <w:r>
              <w:rPr>
                <w:rFonts w:hint="eastAsia"/>
              </w:rPr>
              <w:t>Rohde 2015</w:t>
            </w:r>
          </w:p>
        </w:tc>
        <w:tc>
          <w:tcPr>
            <w:tcW w:w="2337" w:type="dxa"/>
            <w:tcBorders>
              <w:top w:val="nil"/>
              <w:bottom w:val="nil"/>
            </w:tcBorders>
            <w:vAlign w:val="center"/>
          </w:tcPr>
          <w:p w14:paraId="61881FFE" w14:textId="3E39088E" w:rsidR="006E6672" w:rsidRDefault="000F7A64" w:rsidP="006E6672">
            <w:pPr>
              <w:spacing w:after="120" w:line="360" w:lineRule="auto"/>
              <w:jc w:val="both"/>
            </w:pPr>
            <w:r>
              <w:rPr>
                <w:rFonts w:hint="eastAsia"/>
              </w:rPr>
              <w:t>0.296</w:t>
            </w:r>
          </w:p>
        </w:tc>
        <w:tc>
          <w:tcPr>
            <w:tcW w:w="2338" w:type="dxa"/>
            <w:tcBorders>
              <w:top w:val="nil"/>
              <w:bottom w:val="nil"/>
            </w:tcBorders>
            <w:vAlign w:val="center"/>
          </w:tcPr>
          <w:p w14:paraId="3E403E92" w14:textId="16672798" w:rsidR="006E6672" w:rsidRDefault="000F7A64" w:rsidP="006E6672">
            <w:pPr>
              <w:spacing w:after="120" w:line="360" w:lineRule="auto"/>
              <w:jc w:val="both"/>
            </w:pPr>
            <w:r>
              <w:rPr>
                <w:rFonts w:hint="eastAsia"/>
              </w:rPr>
              <w:t>0.07</w:t>
            </w:r>
          </w:p>
        </w:tc>
        <w:tc>
          <w:tcPr>
            <w:tcW w:w="2338" w:type="dxa"/>
            <w:tcBorders>
              <w:top w:val="nil"/>
              <w:bottom w:val="nil"/>
            </w:tcBorders>
            <w:vAlign w:val="center"/>
          </w:tcPr>
          <w:p w14:paraId="41AD4513" w14:textId="4D7D5BB1" w:rsidR="006E6672" w:rsidRDefault="000F7A64" w:rsidP="006E6672">
            <w:pPr>
              <w:spacing w:after="120" w:line="360" w:lineRule="auto"/>
              <w:jc w:val="both"/>
            </w:pPr>
            <w:r>
              <w:rPr>
                <w:rFonts w:hint="eastAsia"/>
              </w:rPr>
              <w:t>0.52</w:t>
            </w:r>
          </w:p>
        </w:tc>
      </w:tr>
      <w:tr w:rsidR="000F7A64" w14:paraId="67170EB6" w14:textId="77777777" w:rsidTr="000F7A64">
        <w:trPr>
          <w:jc w:val="center"/>
        </w:trPr>
        <w:tc>
          <w:tcPr>
            <w:tcW w:w="2337" w:type="dxa"/>
            <w:tcBorders>
              <w:top w:val="nil"/>
              <w:bottom w:val="single" w:sz="8" w:space="0" w:color="auto"/>
            </w:tcBorders>
            <w:vAlign w:val="center"/>
          </w:tcPr>
          <w:p w14:paraId="456CBCAC" w14:textId="6347B9FE" w:rsidR="000F7A64" w:rsidRDefault="000F7A64" w:rsidP="006E6672">
            <w:pPr>
              <w:spacing w:after="120" w:line="360" w:lineRule="auto"/>
              <w:jc w:val="both"/>
            </w:pPr>
            <w:r>
              <w:rPr>
                <w:rFonts w:hint="eastAsia"/>
              </w:rPr>
              <w:t>O</w:t>
            </w:r>
            <w:r>
              <w:t>’</w:t>
            </w:r>
            <w:r>
              <w:rPr>
                <w:rFonts w:hint="eastAsia"/>
              </w:rPr>
              <w:t>Dea 202</w:t>
            </w:r>
            <w:r w:rsidR="001F70E3">
              <w:rPr>
                <w:rFonts w:hint="eastAsia"/>
              </w:rPr>
              <w:t>0</w:t>
            </w:r>
          </w:p>
        </w:tc>
        <w:tc>
          <w:tcPr>
            <w:tcW w:w="2337" w:type="dxa"/>
            <w:tcBorders>
              <w:top w:val="nil"/>
              <w:bottom w:val="single" w:sz="8" w:space="0" w:color="auto"/>
            </w:tcBorders>
            <w:vAlign w:val="center"/>
          </w:tcPr>
          <w:p w14:paraId="778EFD2E" w14:textId="23029E5F" w:rsidR="000F7A64" w:rsidRDefault="000F7A64" w:rsidP="006E6672">
            <w:pPr>
              <w:spacing w:after="120" w:line="360" w:lineRule="auto"/>
              <w:jc w:val="both"/>
            </w:pPr>
            <w:r>
              <w:rPr>
                <w:rFonts w:hint="eastAsia"/>
              </w:rPr>
              <w:t>0.298</w:t>
            </w:r>
          </w:p>
        </w:tc>
        <w:tc>
          <w:tcPr>
            <w:tcW w:w="2338" w:type="dxa"/>
            <w:tcBorders>
              <w:top w:val="nil"/>
              <w:bottom w:val="single" w:sz="8" w:space="0" w:color="auto"/>
            </w:tcBorders>
            <w:vAlign w:val="center"/>
          </w:tcPr>
          <w:p w14:paraId="4393C0BA" w14:textId="654CD1DD" w:rsidR="000F7A64" w:rsidRDefault="000F7A64" w:rsidP="006E6672">
            <w:pPr>
              <w:spacing w:after="120" w:line="360" w:lineRule="auto"/>
              <w:jc w:val="both"/>
            </w:pPr>
            <w:r>
              <w:rPr>
                <w:rFonts w:hint="eastAsia"/>
              </w:rPr>
              <w:t>0.10</w:t>
            </w:r>
          </w:p>
        </w:tc>
        <w:tc>
          <w:tcPr>
            <w:tcW w:w="2338" w:type="dxa"/>
            <w:tcBorders>
              <w:top w:val="nil"/>
              <w:bottom w:val="single" w:sz="8" w:space="0" w:color="auto"/>
            </w:tcBorders>
            <w:vAlign w:val="center"/>
          </w:tcPr>
          <w:p w14:paraId="16557285" w14:textId="79446BD1" w:rsidR="000F7A64" w:rsidRDefault="000F7A64" w:rsidP="006E6672">
            <w:pPr>
              <w:spacing w:after="120" w:line="360" w:lineRule="auto"/>
              <w:jc w:val="both"/>
            </w:pPr>
            <w:r>
              <w:rPr>
                <w:rFonts w:hint="eastAsia"/>
              </w:rPr>
              <w:t>0.50</w:t>
            </w:r>
          </w:p>
        </w:tc>
      </w:tr>
    </w:tbl>
    <w:p w14:paraId="5FB12DD4" w14:textId="77777777" w:rsidR="00660811" w:rsidRDefault="00660811" w:rsidP="00660811">
      <w:pPr>
        <w:rPr>
          <w:i/>
          <w:iCs/>
        </w:rPr>
      </w:pPr>
    </w:p>
    <w:p w14:paraId="74FED95E" w14:textId="4299B7C5" w:rsidR="00660811" w:rsidRDefault="00660811" w:rsidP="00660811">
      <w:r w:rsidRPr="0008077C">
        <w:rPr>
          <w:i/>
          <w:iCs/>
        </w:rPr>
        <w:t>Note</w:t>
      </w:r>
      <w:r w:rsidRPr="0008077C">
        <w:t xml:space="preserve">. All models used a random-effects model with restricted maximum likelihood estimation and Hartung-Knapp adjustment. Positive Hedges’ </w:t>
      </w:r>
      <w:r w:rsidRPr="0008077C">
        <w:rPr>
          <w:i/>
          <w:iCs/>
        </w:rPr>
        <w:t>g</w:t>
      </w:r>
      <w:r w:rsidRPr="0008077C">
        <w:t xml:space="preserve"> values indicate effects favoring unguided self-help CBT over control conditions. CI = confidence interval; </w:t>
      </w:r>
      <w:r w:rsidRPr="0008077C">
        <w:rPr>
          <w:i/>
          <w:iCs/>
        </w:rPr>
        <w:t>I</w:t>
      </w:r>
      <w:r w:rsidRPr="0008077C">
        <w:t>² = percentage of total variability attributable to between-study heterogeneity. The main analysis refers to the post-intervention model.</w:t>
      </w:r>
    </w:p>
    <w:p w14:paraId="56342C4F" w14:textId="77777777" w:rsidR="006E6672" w:rsidRPr="00684D51" w:rsidRDefault="006E6672" w:rsidP="006E6672">
      <w:pPr>
        <w:spacing w:after="120" w:line="360" w:lineRule="auto"/>
        <w:jc w:val="both"/>
      </w:pPr>
    </w:p>
    <w:bookmarkEnd w:id="83"/>
    <w:bookmarkEnd w:id="84"/>
    <w:p w14:paraId="06BADE12" w14:textId="13BD78F5" w:rsidR="002706F0" w:rsidRPr="006312E9" w:rsidRDefault="002060A8" w:rsidP="006312E9">
      <w:pPr>
        <w:pStyle w:val="3"/>
        <w:rPr>
          <w:rFonts w:eastAsiaTheme="minorEastAsia"/>
        </w:rPr>
      </w:pPr>
      <w:r w:rsidRPr="002060A8">
        <w:rPr>
          <w:rFonts w:eastAsiaTheme="minorEastAsia"/>
        </w:rPr>
        <w:t>4.</w:t>
      </w:r>
      <w:r w:rsidR="007C77E2">
        <w:rPr>
          <w:rFonts w:eastAsiaTheme="minorEastAsia" w:hint="eastAsia"/>
        </w:rPr>
        <w:t>6</w:t>
      </w:r>
      <w:r w:rsidRPr="002060A8">
        <w:rPr>
          <w:rFonts w:eastAsiaTheme="minorEastAsia"/>
        </w:rPr>
        <w:t>.</w:t>
      </w:r>
      <w:r w:rsidR="00684D51">
        <w:rPr>
          <w:rFonts w:eastAsiaTheme="minorEastAsia" w:hint="eastAsia"/>
        </w:rPr>
        <w:t>2</w:t>
      </w:r>
      <w:r w:rsidRPr="002060A8">
        <w:rPr>
          <w:rFonts w:eastAsiaTheme="minorEastAsia"/>
        </w:rPr>
        <w:t xml:space="preserve"> Planned sensitivity analyses</w:t>
      </w:r>
    </w:p>
    <w:p w14:paraId="456AA6F0" w14:textId="5DA0C12D" w:rsidR="002706F0" w:rsidRDefault="00AD6DC9" w:rsidP="00AD6DC9">
      <w:pPr>
        <w:spacing w:after="120" w:line="360" w:lineRule="auto"/>
        <w:ind w:firstLine="360"/>
        <w:jc w:val="both"/>
      </w:pPr>
      <w:r w:rsidRPr="00AD6DC9">
        <w:t>The planned sensitivity analyses did not materially alter the main post-intervention result. Across the sensitivity analyses, the point estimates remained close to the main estimate, and the pooled effects consistently remained small and positive. The 95% confidence intervals were broadly comparable to that of the main analysis, with no sensitivity model showing a substantial shift away from the original estimate. However, the lower bounds of the 95% confidence intervals were generally close to the null, and all 95% prediction intervals continued to span zero. Heterogeneity also remained evident, with I² values remaining close to the main analysis estimate of 63.3%.</w:t>
      </w:r>
    </w:p>
    <w:p w14:paraId="7B555562" w14:textId="77777777" w:rsidR="00204817" w:rsidRDefault="00204817" w:rsidP="00FA670F"/>
    <w:p w14:paraId="3B5A53D0" w14:textId="1CEAEB65" w:rsidR="00204817" w:rsidRDefault="00204817" w:rsidP="00FA670F">
      <w:bookmarkStart w:id="85" w:name="OLE_LINK50"/>
      <w:r w:rsidRPr="00204817">
        <w:rPr>
          <w:rFonts w:hint="eastAsia"/>
          <w:b/>
          <w:bCs/>
        </w:rPr>
        <w:t xml:space="preserve">Table X. Sensitivity </w:t>
      </w:r>
      <w:r w:rsidRPr="00204817">
        <w:rPr>
          <w:b/>
          <w:bCs/>
        </w:rPr>
        <w:t>Analyses of the Pooled Post-Intervention Effect</w:t>
      </w:r>
    </w:p>
    <w:bookmarkEnd w:id="85"/>
    <w:p w14:paraId="2D436AAA" w14:textId="77777777" w:rsidR="002706F0" w:rsidRDefault="002706F0" w:rsidP="00FA670F"/>
    <w:tbl>
      <w:tblPr>
        <w:tblStyle w:val="af1"/>
        <w:tblW w:w="9634"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9"/>
        <w:gridCol w:w="1441"/>
        <w:gridCol w:w="1684"/>
        <w:gridCol w:w="1574"/>
        <w:gridCol w:w="1630"/>
        <w:gridCol w:w="1516"/>
      </w:tblGrid>
      <w:tr w:rsidR="00B2388E" w14:paraId="4CFC6172" w14:textId="77777777" w:rsidTr="0008077C">
        <w:trPr>
          <w:trHeight w:val="721"/>
          <w:jc w:val="center"/>
        </w:trPr>
        <w:tc>
          <w:tcPr>
            <w:tcW w:w="1789" w:type="dxa"/>
            <w:tcBorders>
              <w:top w:val="single" w:sz="8" w:space="0" w:color="auto"/>
              <w:bottom w:val="single" w:sz="4" w:space="0" w:color="auto"/>
            </w:tcBorders>
            <w:vAlign w:val="center"/>
          </w:tcPr>
          <w:p w14:paraId="68E17B32" w14:textId="2BBB3FEB" w:rsidR="00B2388E" w:rsidRPr="00B2388E" w:rsidRDefault="00B2388E" w:rsidP="00B2388E">
            <w:pPr>
              <w:jc w:val="center"/>
              <w:rPr>
                <w:b/>
                <w:bCs/>
              </w:rPr>
            </w:pPr>
            <w:r w:rsidRPr="00B2388E">
              <w:rPr>
                <w:rFonts w:hint="eastAsia"/>
                <w:b/>
                <w:bCs/>
              </w:rPr>
              <w:t>Analysis</w:t>
            </w:r>
          </w:p>
        </w:tc>
        <w:tc>
          <w:tcPr>
            <w:tcW w:w="1441" w:type="dxa"/>
            <w:tcBorders>
              <w:top w:val="single" w:sz="8" w:space="0" w:color="auto"/>
              <w:bottom w:val="single" w:sz="4" w:space="0" w:color="auto"/>
            </w:tcBorders>
            <w:vAlign w:val="center"/>
          </w:tcPr>
          <w:p w14:paraId="2D4013AB" w14:textId="5004DF43" w:rsidR="00B2388E" w:rsidRPr="00B2388E" w:rsidRDefault="00B2388E" w:rsidP="00B2388E">
            <w:pPr>
              <w:jc w:val="center"/>
              <w:rPr>
                <w:b/>
                <w:bCs/>
                <w:i/>
                <w:iCs/>
              </w:rPr>
            </w:pPr>
            <w:r w:rsidRPr="00B2388E">
              <w:rPr>
                <w:rFonts w:hint="eastAsia"/>
                <w:b/>
                <w:bCs/>
                <w:i/>
                <w:iCs/>
              </w:rPr>
              <w:t>k</w:t>
            </w:r>
          </w:p>
        </w:tc>
        <w:tc>
          <w:tcPr>
            <w:tcW w:w="1684" w:type="dxa"/>
            <w:tcBorders>
              <w:top w:val="single" w:sz="8" w:space="0" w:color="auto"/>
              <w:bottom w:val="single" w:sz="4" w:space="0" w:color="auto"/>
            </w:tcBorders>
            <w:vAlign w:val="center"/>
          </w:tcPr>
          <w:p w14:paraId="0E3F4D2F" w14:textId="580E23A1" w:rsidR="00B2388E" w:rsidRPr="00B2388E" w:rsidRDefault="00B2388E" w:rsidP="00B2388E">
            <w:pPr>
              <w:jc w:val="center"/>
              <w:rPr>
                <w:b/>
                <w:bCs/>
              </w:rPr>
            </w:pPr>
            <w:r w:rsidRPr="00B2388E">
              <w:rPr>
                <w:rFonts w:hint="eastAsia"/>
                <w:b/>
                <w:bCs/>
              </w:rPr>
              <w:t>Hedges</w:t>
            </w:r>
            <w:r w:rsidRPr="00B2388E">
              <w:rPr>
                <w:b/>
                <w:bCs/>
              </w:rPr>
              <w:t>’</w:t>
            </w:r>
            <w:r w:rsidRPr="00B2388E">
              <w:rPr>
                <w:rFonts w:hint="eastAsia"/>
                <w:b/>
                <w:bCs/>
                <w:i/>
                <w:iCs/>
              </w:rPr>
              <w:t xml:space="preserve"> g</w:t>
            </w:r>
          </w:p>
        </w:tc>
        <w:tc>
          <w:tcPr>
            <w:tcW w:w="1574" w:type="dxa"/>
            <w:tcBorders>
              <w:top w:val="single" w:sz="8" w:space="0" w:color="auto"/>
              <w:bottom w:val="single" w:sz="4" w:space="0" w:color="auto"/>
            </w:tcBorders>
            <w:vAlign w:val="center"/>
          </w:tcPr>
          <w:p w14:paraId="2D80B12F" w14:textId="5E129239" w:rsidR="00B2388E" w:rsidRPr="00B2388E" w:rsidRDefault="00B2388E" w:rsidP="00B2388E">
            <w:pPr>
              <w:jc w:val="center"/>
              <w:rPr>
                <w:b/>
                <w:bCs/>
              </w:rPr>
            </w:pPr>
            <w:r w:rsidRPr="00B2388E">
              <w:rPr>
                <w:rFonts w:hint="eastAsia"/>
                <w:b/>
                <w:bCs/>
              </w:rPr>
              <w:t>95% CI</w:t>
            </w:r>
          </w:p>
        </w:tc>
        <w:tc>
          <w:tcPr>
            <w:tcW w:w="1630" w:type="dxa"/>
            <w:tcBorders>
              <w:top w:val="single" w:sz="8" w:space="0" w:color="auto"/>
              <w:bottom w:val="single" w:sz="4" w:space="0" w:color="auto"/>
            </w:tcBorders>
            <w:vAlign w:val="center"/>
          </w:tcPr>
          <w:p w14:paraId="2D399AE0" w14:textId="7E04AB25" w:rsidR="00B2388E" w:rsidRPr="00B2388E" w:rsidRDefault="00B2388E" w:rsidP="00B2388E">
            <w:pPr>
              <w:jc w:val="center"/>
              <w:rPr>
                <w:b/>
                <w:bCs/>
              </w:rPr>
            </w:pPr>
            <w:r w:rsidRPr="00B2388E">
              <w:rPr>
                <w:rFonts w:hint="eastAsia"/>
                <w:b/>
                <w:bCs/>
              </w:rPr>
              <w:t>95% PI</w:t>
            </w:r>
          </w:p>
        </w:tc>
        <w:tc>
          <w:tcPr>
            <w:tcW w:w="1516" w:type="dxa"/>
            <w:tcBorders>
              <w:top w:val="single" w:sz="8" w:space="0" w:color="auto"/>
              <w:bottom w:val="single" w:sz="4" w:space="0" w:color="auto"/>
            </w:tcBorders>
            <w:vAlign w:val="center"/>
          </w:tcPr>
          <w:p w14:paraId="15F7581F" w14:textId="789D976D" w:rsidR="00B2388E" w:rsidRPr="00B2388E" w:rsidRDefault="00B2388E" w:rsidP="00B2388E">
            <w:pPr>
              <w:jc w:val="center"/>
              <w:rPr>
                <w:b/>
                <w:bCs/>
              </w:rPr>
            </w:pPr>
            <w:r w:rsidRPr="00B2388E">
              <w:rPr>
                <w:rFonts w:hint="eastAsia"/>
                <w:b/>
                <w:bCs/>
                <w:i/>
                <w:iCs/>
              </w:rPr>
              <w:t>I</w:t>
            </w:r>
            <w:r w:rsidRPr="00B2388E">
              <w:rPr>
                <w:rFonts w:hint="eastAsia"/>
                <w:b/>
                <w:bCs/>
                <w:vertAlign w:val="superscript"/>
              </w:rPr>
              <w:t>2</w:t>
            </w:r>
            <w:r>
              <w:rPr>
                <w:rFonts w:hint="eastAsia"/>
                <w:b/>
                <w:bCs/>
                <w:vertAlign w:val="superscript"/>
              </w:rPr>
              <w:t xml:space="preserve"> </w:t>
            </w:r>
            <w:r>
              <w:rPr>
                <w:rFonts w:hint="eastAsia"/>
                <w:b/>
                <w:bCs/>
              </w:rPr>
              <w:t>(%)</w:t>
            </w:r>
          </w:p>
        </w:tc>
      </w:tr>
      <w:tr w:rsidR="00B2388E" w14:paraId="58C09A18" w14:textId="77777777" w:rsidTr="0008077C">
        <w:trPr>
          <w:trHeight w:val="1134"/>
          <w:jc w:val="center"/>
        </w:trPr>
        <w:tc>
          <w:tcPr>
            <w:tcW w:w="1789" w:type="dxa"/>
            <w:tcBorders>
              <w:top w:val="single" w:sz="4" w:space="0" w:color="auto"/>
              <w:bottom w:val="nil"/>
            </w:tcBorders>
            <w:vAlign w:val="center"/>
          </w:tcPr>
          <w:p w14:paraId="0933377F" w14:textId="7F463122" w:rsidR="00B2388E" w:rsidRDefault="00B2388E" w:rsidP="00B2388E">
            <w:pPr>
              <w:jc w:val="center"/>
            </w:pPr>
            <w:r>
              <w:rPr>
                <w:rFonts w:hint="eastAsia"/>
              </w:rPr>
              <w:t>Main analysis</w:t>
            </w:r>
          </w:p>
        </w:tc>
        <w:tc>
          <w:tcPr>
            <w:tcW w:w="1441" w:type="dxa"/>
            <w:tcBorders>
              <w:top w:val="single" w:sz="4" w:space="0" w:color="auto"/>
              <w:bottom w:val="nil"/>
            </w:tcBorders>
            <w:vAlign w:val="center"/>
          </w:tcPr>
          <w:p w14:paraId="0CE4B7E4" w14:textId="7E98C35B" w:rsidR="00B2388E" w:rsidRDefault="00B2388E" w:rsidP="00B2388E">
            <w:pPr>
              <w:jc w:val="center"/>
            </w:pPr>
            <w:r>
              <w:rPr>
                <w:rFonts w:hint="eastAsia"/>
              </w:rPr>
              <w:t>14</w:t>
            </w:r>
          </w:p>
        </w:tc>
        <w:tc>
          <w:tcPr>
            <w:tcW w:w="1684" w:type="dxa"/>
            <w:tcBorders>
              <w:top w:val="single" w:sz="4" w:space="0" w:color="auto"/>
              <w:bottom w:val="nil"/>
            </w:tcBorders>
            <w:vAlign w:val="center"/>
          </w:tcPr>
          <w:p w14:paraId="3D6F5482" w14:textId="358CCF1E" w:rsidR="00B2388E" w:rsidRDefault="00B2388E" w:rsidP="00B2388E">
            <w:pPr>
              <w:jc w:val="center"/>
            </w:pPr>
            <w:r w:rsidRPr="00B2388E">
              <w:t>0.2</w:t>
            </w:r>
            <w:r w:rsidR="00BD41D3">
              <w:rPr>
                <w:rFonts w:hint="eastAsia"/>
              </w:rPr>
              <w:t>68</w:t>
            </w:r>
          </w:p>
        </w:tc>
        <w:tc>
          <w:tcPr>
            <w:tcW w:w="1574" w:type="dxa"/>
            <w:tcBorders>
              <w:top w:val="single" w:sz="4" w:space="0" w:color="auto"/>
              <w:bottom w:val="nil"/>
            </w:tcBorders>
            <w:vAlign w:val="center"/>
          </w:tcPr>
          <w:p w14:paraId="7309DF48" w14:textId="5C991BE9" w:rsidR="00B2388E" w:rsidRDefault="00B2388E" w:rsidP="00B2388E">
            <w:pPr>
              <w:jc w:val="center"/>
            </w:pPr>
            <w:r w:rsidRPr="00B2388E">
              <w:t>[0.06, 0.47]</w:t>
            </w:r>
          </w:p>
        </w:tc>
        <w:tc>
          <w:tcPr>
            <w:tcW w:w="1630" w:type="dxa"/>
            <w:tcBorders>
              <w:top w:val="single" w:sz="4" w:space="0" w:color="auto"/>
              <w:bottom w:val="nil"/>
            </w:tcBorders>
            <w:vAlign w:val="center"/>
          </w:tcPr>
          <w:p w14:paraId="7754DD38" w14:textId="51E90593" w:rsidR="00B2388E" w:rsidRDefault="00B2388E" w:rsidP="00B2388E">
            <w:pPr>
              <w:jc w:val="center"/>
            </w:pPr>
            <w:r w:rsidRPr="00573723">
              <w:t>[−0.27, 0.80]</w:t>
            </w:r>
          </w:p>
        </w:tc>
        <w:tc>
          <w:tcPr>
            <w:tcW w:w="1516" w:type="dxa"/>
            <w:tcBorders>
              <w:top w:val="single" w:sz="4" w:space="0" w:color="auto"/>
              <w:bottom w:val="nil"/>
            </w:tcBorders>
            <w:vAlign w:val="center"/>
          </w:tcPr>
          <w:p w14:paraId="0DB7A1A3" w14:textId="0C4B63AF" w:rsidR="00B2388E" w:rsidRDefault="00B2388E" w:rsidP="00B2388E">
            <w:pPr>
              <w:jc w:val="center"/>
            </w:pPr>
            <w:r>
              <w:rPr>
                <w:rFonts w:hint="eastAsia"/>
              </w:rPr>
              <w:t>63.3</w:t>
            </w:r>
          </w:p>
        </w:tc>
      </w:tr>
      <w:tr w:rsidR="00DC2A38" w14:paraId="2B08BF1D" w14:textId="77777777" w:rsidTr="0008077C">
        <w:trPr>
          <w:trHeight w:val="1134"/>
          <w:jc w:val="center"/>
        </w:trPr>
        <w:tc>
          <w:tcPr>
            <w:tcW w:w="1789" w:type="dxa"/>
            <w:tcBorders>
              <w:top w:val="nil"/>
              <w:bottom w:val="nil"/>
            </w:tcBorders>
            <w:vAlign w:val="center"/>
          </w:tcPr>
          <w:p w14:paraId="6FE4672D" w14:textId="4077EA9A" w:rsidR="00B2388E" w:rsidRDefault="00B2388E" w:rsidP="00B2388E">
            <w:pPr>
              <w:jc w:val="center"/>
            </w:pPr>
            <w:r>
              <w:rPr>
                <w:rFonts w:hint="eastAsia"/>
              </w:rPr>
              <w:lastRenderedPageBreak/>
              <w:t>Excluding studies at high risk of bias</w:t>
            </w:r>
          </w:p>
        </w:tc>
        <w:tc>
          <w:tcPr>
            <w:tcW w:w="1441" w:type="dxa"/>
            <w:tcBorders>
              <w:top w:val="nil"/>
              <w:bottom w:val="nil"/>
            </w:tcBorders>
            <w:vAlign w:val="center"/>
          </w:tcPr>
          <w:p w14:paraId="28572F19" w14:textId="30D52FA9" w:rsidR="00B2388E" w:rsidRDefault="00B2388E" w:rsidP="00B2388E">
            <w:pPr>
              <w:jc w:val="center"/>
            </w:pPr>
            <w:r>
              <w:rPr>
                <w:rFonts w:hint="eastAsia"/>
              </w:rPr>
              <w:t>12</w:t>
            </w:r>
          </w:p>
        </w:tc>
        <w:tc>
          <w:tcPr>
            <w:tcW w:w="1684" w:type="dxa"/>
            <w:tcBorders>
              <w:top w:val="nil"/>
              <w:bottom w:val="nil"/>
            </w:tcBorders>
            <w:vAlign w:val="center"/>
          </w:tcPr>
          <w:p w14:paraId="33B68E66" w14:textId="64E38F13" w:rsidR="00B2388E" w:rsidRDefault="00DC2A38" w:rsidP="00B2388E">
            <w:pPr>
              <w:jc w:val="center"/>
            </w:pPr>
            <w:r>
              <w:rPr>
                <w:rFonts w:hint="eastAsia"/>
              </w:rPr>
              <w:t>0.</w:t>
            </w:r>
            <w:r w:rsidR="00A40860">
              <w:rPr>
                <w:rFonts w:hint="eastAsia"/>
              </w:rPr>
              <w:t>217</w:t>
            </w:r>
          </w:p>
        </w:tc>
        <w:tc>
          <w:tcPr>
            <w:tcW w:w="1574" w:type="dxa"/>
            <w:tcBorders>
              <w:top w:val="nil"/>
              <w:bottom w:val="nil"/>
            </w:tcBorders>
            <w:vAlign w:val="center"/>
          </w:tcPr>
          <w:p w14:paraId="7D81C15B" w14:textId="3F9618FA" w:rsidR="00B2388E" w:rsidRDefault="00DC2A38" w:rsidP="00B2388E">
            <w:pPr>
              <w:jc w:val="center"/>
            </w:pPr>
            <w:r>
              <w:rPr>
                <w:rFonts w:hint="eastAsia"/>
              </w:rPr>
              <w:t>[0.0</w:t>
            </w:r>
            <w:r w:rsidR="00A40860">
              <w:rPr>
                <w:rFonts w:hint="eastAsia"/>
              </w:rPr>
              <w:t>2</w:t>
            </w:r>
            <w:r>
              <w:rPr>
                <w:rFonts w:hint="eastAsia"/>
              </w:rPr>
              <w:t>, 0.4</w:t>
            </w:r>
            <w:r w:rsidR="00A40860">
              <w:rPr>
                <w:rFonts w:hint="eastAsia"/>
              </w:rPr>
              <w:t>2</w:t>
            </w:r>
            <w:r>
              <w:rPr>
                <w:rFonts w:hint="eastAsia"/>
              </w:rPr>
              <w:t>]</w:t>
            </w:r>
          </w:p>
        </w:tc>
        <w:tc>
          <w:tcPr>
            <w:tcW w:w="1630" w:type="dxa"/>
            <w:tcBorders>
              <w:top w:val="nil"/>
              <w:bottom w:val="nil"/>
            </w:tcBorders>
            <w:vAlign w:val="center"/>
          </w:tcPr>
          <w:p w14:paraId="3F1F8765" w14:textId="40DF4547" w:rsidR="00B2388E" w:rsidRDefault="00DC2A38" w:rsidP="00B2388E">
            <w:pPr>
              <w:jc w:val="center"/>
            </w:pPr>
            <w:r>
              <w:rPr>
                <w:rFonts w:hint="eastAsia"/>
              </w:rPr>
              <w:t>[</w:t>
            </w:r>
            <w:r w:rsidR="001F70E3" w:rsidRPr="001F70E3">
              <w:t>−0.30</w:t>
            </w:r>
            <w:r>
              <w:rPr>
                <w:rFonts w:hint="eastAsia"/>
              </w:rPr>
              <w:t>, 0.</w:t>
            </w:r>
            <w:r w:rsidR="00A40860">
              <w:rPr>
                <w:rFonts w:hint="eastAsia"/>
              </w:rPr>
              <w:t>73</w:t>
            </w:r>
            <w:r>
              <w:rPr>
                <w:rFonts w:hint="eastAsia"/>
              </w:rPr>
              <w:t>]</w:t>
            </w:r>
          </w:p>
        </w:tc>
        <w:tc>
          <w:tcPr>
            <w:tcW w:w="1516" w:type="dxa"/>
            <w:tcBorders>
              <w:top w:val="nil"/>
              <w:bottom w:val="nil"/>
            </w:tcBorders>
            <w:vAlign w:val="center"/>
          </w:tcPr>
          <w:p w14:paraId="379A06EF" w14:textId="304E64F4" w:rsidR="00B2388E" w:rsidRDefault="00DC2A38" w:rsidP="00B2388E">
            <w:pPr>
              <w:jc w:val="center"/>
            </w:pPr>
            <w:r>
              <w:rPr>
                <w:rFonts w:hint="eastAsia"/>
              </w:rPr>
              <w:t>6</w:t>
            </w:r>
            <w:r w:rsidR="00A40860">
              <w:rPr>
                <w:rFonts w:hint="eastAsia"/>
              </w:rPr>
              <w:t>0</w:t>
            </w:r>
            <w:r>
              <w:rPr>
                <w:rFonts w:hint="eastAsia"/>
              </w:rPr>
              <w:t>.7</w:t>
            </w:r>
          </w:p>
        </w:tc>
      </w:tr>
      <w:tr w:rsidR="00B2388E" w14:paraId="4FC8FBCC" w14:textId="77777777" w:rsidTr="0008077C">
        <w:trPr>
          <w:trHeight w:val="1134"/>
          <w:jc w:val="center"/>
        </w:trPr>
        <w:tc>
          <w:tcPr>
            <w:tcW w:w="1789" w:type="dxa"/>
            <w:tcBorders>
              <w:top w:val="nil"/>
              <w:bottom w:val="nil"/>
            </w:tcBorders>
            <w:vAlign w:val="center"/>
          </w:tcPr>
          <w:p w14:paraId="54907E80" w14:textId="0B6031BC" w:rsidR="00B2388E" w:rsidRPr="00B2388E" w:rsidRDefault="00B2388E" w:rsidP="00B2388E">
            <w:pPr>
              <w:jc w:val="center"/>
            </w:pPr>
            <w:r>
              <w:rPr>
                <w:rFonts w:hint="eastAsia"/>
              </w:rPr>
              <w:t>Peer-reviewed journal articles only</w:t>
            </w:r>
          </w:p>
        </w:tc>
        <w:tc>
          <w:tcPr>
            <w:tcW w:w="1441" w:type="dxa"/>
            <w:tcBorders>
              <w:top w:val="nil"/>
              <w:bottom w:val="nil"/>
            </w:tcBorders>
            <w:vAlign w:val="center"/>
          </w:tcPr>
          <w:p w14:paraId="4651E62B" w14:textId="51E3DAC0" w:rsidR="00B2388E" w:rsidRDefault="00DC2A38" w:rsidP="00B2388E">
            <w:pPr>
              <w:jc w:val="center"/>
            </w:pPr>
            <w:r>
              <w:rPr>
                <w:rFonts w:hint="eastAsia"/>
              </w:rPr>
              <w:t>12</w:t>
            </w:r>
          </w:p>
        </w:tc>
        <w:tc>
          <w:tcPr>
            <w:tcW w:w="1684" w:type="dxa"/>
            <w:tcBorders>
              <w:top w:val="nil"/>
              <w:bottom w:val="nil"/>
            </w:tcBorders>
            <w:vAlign w:val="center"/>
          </w:tcPr>
          <w:p w14:paraId="4EF7C827" w14:textId="3768A8FC" w:rsidR="00B2388E" w:rsidRDefault="00DC2A38" w:rsidP="00B2388E">
            <w:pPr>
              <w:jc w:val="center"/>
            </w:pPr>
            <w:r>
              <w:rPr>
                <w:rFonts w:hint="eastAsia"/>
              </w:rPr>
              <w:t>0.26</w:t>
            </w:r>
            <w:r w:rsidR="001F70E3">
              <w:rPr>
                <w:rFonts w:hint="eastAsia"/>
              </w:rPr>
              <w:t>5</w:t>
            </w:r>
          </w:p>
        </w:tc>
        <w:tc>
          <w:tcPr>
            <w:tcW w:w="1574" w:type="dxa"/>
            <w:tcBorders>
              <w:top w:val="nil"/>
              <w:bottom w:val="nil"/>
            </w:tcBorders>
            <w:vAlign w:val="center"/>
          </w:tcPr>
          <w:p w14:paraId="12C6536B" w14:textId="22AECE84" w:rsidR="00B2388E" w:rsidRDefault="00DC2A38" w:rsidP="00B2388E">
            <w:pPr>
              <w:jc w:val="center"/>
            </w:pPr>
            <w:r>
              <w:rPr>
                <w:rFonts w:hint="eastAsia"/>
              </w:rPr>
              <w:t>[0.00, 0.53]</w:t>
            </w:r>
          </w:p>
        </w:tc>
        <w:tc>
          <w:tcPr>
            <w:tcW w:w="1630" w:type="dxa"/>
            <w:tcBorders>
              <w:top w:val="nil"/>
              <w:bottom w:val="nil"/>
            </w:tcBorders>
            <w:vAlign w:val="center"/>
          </w:tcPr>
          <w:p w14:paraId="5D7ADBC7" w14:textId="5D29B85F" w:rsidR="00B2388E" w:rsidRDefault="00DC2A38" w:rsidP="00B2388E">
            <w:pPr>
              <w:jc w:val="center"/>
            </w:pPr>
            <w:r>
              <w:rPr>
                <w:rFonts w:hint="eastAsia"/>
              </w:rPr>
              <w:t>[</w:t>
            </w:r>
            <w:r w:rsidRPr="00573723">
              <w:t>−0</w:t>
            </w:r>
            <w:r>
              <w:rPr>
                <w:rFonts w:hint="eastAsia"/>
              </w:rPr>
              <w:t>.41, 0.94]</w:t>
            </w:r>
          </w:p>
        </w:tc>
        <w:tc>
          <w:tcPr>
            <w:tcW w:w="1516" w:type="dxa"/>
            <w:tcBorders>
              <w:top w:val="nil"/>
              <w:bottom w:val="nil"/>
            </w:tcBorders>
            <w:vAlign w:val="center"/>
          </w:tcPr>
          <w:p w14:paraId="4D4E4C11" w14:textId="2E5045FF" w:rsidR="00B2388E" w:rsidRDefault="00DC2A38" w:rsidP="00B2388E">
            <w:pPr>
              <w:jc w:val="center"/>
            </w:pPr>
            <w:r>
              <w:rPr>
                <w:rFonts w:hint="eastAsia"/>
              </w:rPr>
              <w:t>66.5</w:t>
            </w:r>
          </w:p>
        </w:tc>
      </w:tr>
      <w:tr w:rsidR="00DC2A38" w14:paraId="7CE16777" w14:textId="77777777" w:rsidTr="0008077C">
        <w:trPr>
          <w:trHeight w:val="1134"/>
          <w:jc w:val="center"/>
        </w:trPr>
        <w:tc>
          <w:tcPr>
            <w:tcW w:w="1789" w:type="dxa"/>
            <w:tcBorders>
              <w:top w:val="nil"/>
              <w:bottom w:val="single" w:sz="8" w:space="0" w:color="auto"/>
            </w:tcBorders>
            <w:vAlign w:val="center"/>
          </w:tcPr>
          <w:p w14:paraId="45069377" w14:textId="4ABE6846" w:rsidR="00DC2A38" w:rsidRDefault="00DC2A38" w:rsidP="00B2388E">
            <w:pPr>
              <w:jc w:val="center"/>
            </w:pPr>
            <w:r>
              <w:rPr>
                <w:rFonts w:hint="eastAsia"/>
              </w:rPr>
              <w:t>Depression as primary target</w:t>
            </w:r>
          </w:p>
        </w:tc>
        <w:tc>
          <w:tcPr>
            <w:tcW w:w="1441" w:type="dxa"/>
            <w:tcBorders>
              <w:top w:val="nil"/>
              <w:bottom w:val="single" w:sz="8" w:space="0" w:color="auto"/>
            </w:tcBorders>
            <w:vAlign w:val="center"/>
          </w:tcPr>
          <w:p w14:paraId="2854116D" w14:textId="44560525" w:rsidR="00DC2A38" w:rsidRDefault="00DC2A38" w:rsidP="00B2388E">
            <w:pPr>
              <w:jc w:val="center"/>
            </w:pPr>
            <w:r>
              <w:rPr>
                <w:rFonts w:hint="eastAsia"/>
              </w:rPr>
              <w:t>11</w:t>
            </w:r>
          </w:p>
        </w:tc>
        <w:tc>
          <w:tcPr>
            <w:tcW w:w="1684" w:type="dxa"/>
            <w:tcBorders>
              <w:top w:val="nil"/>
              <w:bottom w:val="single" w:sz="8" w:space="0" w:color="auto"/>
            </w:tcBorders>
            <w:vAlign w:val="center"/>
          </w:tcPr>
          <w:p w14:paraId="3C2D4A3B" w14:textId="03B46DDD" w:rsidR="00DC2A38" w:rsidRDefault="00DC2A38" w:rsidP="00B2388E">
            <w:pPr>
              <w:jc w:val="center"/>
            </w:pPr>
            <w:r>
              <w:rPr>
                <w:rFonts w:hint="eastAsia"/>
              </w:rPr>
              <w:t>0.348</w:t>
            </w:r>
          </w:p>
        </w:tc>
        <w:tc>
          <w:tcPr>
            <w:tcW w:w="1574" w:type="dxa"/>
            <w:tcBorders>
              <w:top w:val="nil"/>
              <w:bottom w:val="single" w:sz="8" w:space="0" w:color="auto"/>
            </w:tcBorders>
            <w:vAlign w:val="center"/>
          </w:tcPr>
          <w:p w14:paraId="308585C9" w14:textId="257B2472" w:rsidR="00DC2A38" w:rsidRDefault="00DC2A38" w:rsidP="00B2388E">
            <w:pPr>
              <w:jc w:val="center"/>
            </w:pPr>
            <w:r>
              <w:rPr>
                <w:rFonts w:hint="eastAsia"/>
              </w:rPr>
              <w:t>[0.1, 0.59]</w:t>
            </w:r>
          </w:p>
        </w:tc>
        <w:tc>
          <w:tcPr>
            <w:tcW w:w="1630" w:type="dxa"/>
            <w:tcBorders>
              <w:top w:val="nil"/>
              <w:bottom w:val="single" w:sz="8" w:space="0" w:color="auto"/>
            </w:tcBorders>
            <w:vAlign w:val="center"/>
          </w:tcPr>
          <w:p w14:paraId="0D6A4D62" w14:textId="185CDCAF" w:rsidR="00DC2A38" w:rsidRDefault="00DC2A38" w:rsidP="00B2388E">
            <w:pPr>
              <w:jc w:val="center"/>
            </w:pPr>
            <w:r>
              <w:rPr>
                <w:rFonts w:hint="eastAsia"/>
              </w:rPr>
              <w:t>[</w:t>
            </w:r>
            <w:r w:rsidRPr="00573723">
              <w:t>−</w:t>
            </w:r>
            <w:r>
              <w:rPr>
                <w:rFonts w:hint="eastAsia"/>
              </w:rPr>
              <w:t>0.22, 0.92]</w:t>
            </w:r>
          </w:p>
        </w:tc>
        <w:tc>
          <w:tcPr>
            <w:tcW w:w="1516" w:type="dxa"/>
            <w:tcBorders>
              <w:top w:val="nil"/>
              <w:bottom w:val="single" w:sz="8" w:space="0" w:color="auto"/>
            </w:tcBorders>
            <w:vAlign w:val="center"/>
          </w:tcPr>
          <w:p w14:paraId="42276884" w14:textId="7BE7E826" w:rsidR="00DC2A38" w:rsidRDefault="00DC2A38" w:rsidP="00B2388E">
            <w:pPr>
              <w:jc w:val="center"/>
            </w:pPr>
            <w:r>
              <w:rPr>
                <w:rFonts w:hint="eastAsia"/>
              </w:rPr>
              <w:t>62.3</w:t>
            </w:r>
          </w:p>
        </w:tc>
      </w:tr>
    </w:tbl>
    <w:p w14:paraId="7E2530D3" w14:textId="77777777" w:rsidR="0008077C" w:rsidRDefault="0008077C" w:rsidP="0008077C"/>
    <w:p w14:paraId="56636448" w14:textId="73938A15" w:rsidR="0008077C" w:rsidRDefault="0008077C" w:rsidP="0008077C">
      <w:bookmarkStart w:id="86" w:name="OLE_LINK51"/>
      <w:r w:rsidRPr="0008077C">
        <w:rPr>
          <w:i/>
          <w:iCs/>
        </w:rPr>
        <w:t>Note</w:t>
      </w:r>
      <w:r w:rsidRPr="0008077C">
        <w:t xml:space="preserve">. All models used a random-effects model with restricted maximum likelihood estimation and Hartung-Knapp adjustment. Positive Hedges’ </w:t>
      </w:r>
      <w:r w:rsidRPr="0008077C">
        <w:rPr>
          <w:i/>
          <w:iCs/>
        </w:rPr>
        <w:t>g</w:t>
      </w:r>
      <w:r w:rsidRPr="0008077C">
        <w:t xml:space="preserve"> values indicate effects favoring unguided self-help CBT over control conditions. CI = confidence interval; PI = prediction interval; </w:t>
      </w:r>
      <w:r w:rsidRPr="0008077C">
        <w:rPr>
          <w:i/>
          <w:iCs/>
        </w:rPr>
        <w:t>I</w:t>
      </w:r>
      <w:r w:rsidRPr="0008077C">
        <w:t>² = percentage of total variability attributable to between-study heterogeneity. The main analysis refers to the post-intervention model.</w:t>
      </w:r>
    </w:p>
    <w:bookmarkEnd w:id="86"/>
    <w:p w14:paraId="664A92A5" w14:textId="045531C4" w:rsidR="005918D0" w:rsidRDefault="005918D0" w:rsidP="005918D0">
      <w:pPr>
        <w:pStyle w:val="3"/>
        <w:rPr>
          <w:rFonts w:eastAsiaTheme="minorEastAsia"/>
        </w:rPr>
      </w:pPr>
      <w:r w:rsidRPr="002060A8">
        <w:rPr>
          <w:rFonts w:eastAsiaTheme="minorEastAsia"/>
        </w:rPr>
        <w:t>4.</w:t>
      </w:r>
      <w:r>
        <w:rPr>
          <w:rFonts w:eastAsiaTheme="minorEastAsia" w:hint="eastAsia"/>
        </w:rPr>
        <w:t>6</w:t>
      </w:r>
      <w:r w:rsidRPr="002060A8">
        <w:rPr>
          <w:rFonts w:eastAsiaTheme="minorEastAsia"/>
        </w:rPr>
        <w:t>.</w:t>
      </w:r>
      <w:r>
        <w:rPr>
          <w:rFonts w:eastAsiaTheme="minorEastAsia" w:hint="eastAsia"/>
        </w:rPr>
        <w:t>3</w:t>
      </w:r>
      <w:r w:rsidRPr="002060A8">
        <w:rPr>
          <w:rFonts w:eastAsiaTheme="minorEastAsia"/>
        </w:rPr>
        <w:t xml:space="preserve"> </w:t>
      </w:r>
      <w:proofErr w:type="gramStart"/>
      <w:r w:rsidRPr="002060A8">
        <w:rPr>
          <w:rFonts w:eastAsiaTheme="minorEastAsia"/>
        </w:rPr>
        <w:t>P</w:t>
      </w:r>
      <w:r>
        <w:rPr>
          <w:rFonts w:eastAsiaTheme="minorEastAsia" w:hint="eastAsia"/>
        </w:rPr>
        <w:t>ost-hoc</w:t>
      </w:r>
      <w:proofErr w:type="gramEnd"/>
      <w:r w:rsidRPr="002060A8">
        <w:rPr>
          <w:rFonts w:eastAsiaTheme="minorEastAsia"/>
        </w:rPr>
        <w:t xml:space="preserve"> sensitivity analyses</w:t>
      </w:r>
      <w:r>
        <w:rPr>
          <w:rFonts w:eastAsiaTheme="minorEastAsia" w:hint="eastAsia"/>
        </w:rPr>
        <w:t xml:space="preserve">: </w:t>
      </w:r>
      <w:r w:rsidR="005B1742">
        <w:rPr>
          <w:rFonts w:eastAsiaTheme="minorEastAsia" w:hint="eastAsia"/>
        </w:rPr>
        <w:t xml:space="preserve">two </w:t>
      </w:r>
      <w:r>
        <w:rPr>
          <w:rFonts w:eastAsiaTheme="minorEastAsia" w:hint="eastAsia"/>
        </w:rPr>
        <w:t>methodological concerns</w:t>
      </w:r>
    </w:p>
    <w:p w14:paraId="61400124" w14:textId="77777777" w:rsidR="005B1742" w:rsidRDefault="00AD6DC9" w:rsidP="00AD6DC9">
      <w:pPr>
        <w:spacing w:after="120" w:line="360" w:lineRule="auto"/>
        <w:ind w:firstLine="360"/>
        <w:jc w:val="both"/>
      </w:pPr>
      <w:r w:rsidRPr="00AD6DC9">
        <w:t xml:space="preserve">Two additional sensitivity analyses were conducted to address methodological issues identified during data extraction: the use of both endpoint and change-score effect sizes across studies, and the inclusion of one cluster-randomized trial that did not report an intraclass correlation coefficient (ICC). </w:t>
      </w:r>
    </w:p>
    <w:p w14:paraId="607174C1" w14:textId="7AE93FC2" w:rsidR="00AD6DC9" w:rsidRPr="00AD6DC9" w:rsidRDefault="00AD6DC9" w:rsidP="00AD6DC9">
      <w:pPr>
        <w:spacing w:after="120" w:line="360" w:lineRule="auto"/>
        <w:ind w:firstLine="360"/>
        <w:jc w:val="both"/>
      </w:pPr>
      <w:r w:rsidRPr="00AD6DC9">
        <w:t xml:space="preserve">Neither issue materially altered the main post-intervention result. Restricting the analysis to endpoint-based effect sizes reduced the pooled estimate slightly but left the effect small and positive (k = 11, g = 0.217, 95% CI [0.01, 0.43]), with heterogeneity remaining </w:t>
      </w:r>
      <w:proofErr w:type="gramStart"/>
      <w:r w:rsidRPr="00AD6DC9">
        <w:t>similar to</w:t>
      </w:r>
      <w:proofErr w:type="gramEnd"/>
      <w:r w:rsidRPr="00AD6DC9">
        <w:t xml:space="preserve"> the main model. Including the cluster-randomized trial by applying design-effect corrections under assumed ICC values of 0.01, 0.03, 0.05, and 0.10 also produced virtually unchanged estimates (</w:t>
      </w:r>
      <w:r w:rsidRPr="00637C8D">
        <w:rPr>
          <w:i/>
          <w:iCs/>
        </w:rPr>
        <w:t>k</w:t>
      </w:r>
      <w:r w:rsidRPr="00AD6DC9">
        <w:t xml:space="preserve"> = 15, </w:t>
      </w:r>
      <w:r w:rsidRPr="00637C8D">
        <w:rPr>
          <w:i/>
          <w:iCs/>
        </w:rPr>
        <w:t xml:space="preserve">g </w:t>
      </w:r>
      <w:r w:rsidRPr="00AD6DC9">
        <w:t>≈ 0.258–0.259, 95% CI approximately [0.07, 0.45]), with I² remaining around 61%.</w:t>
      </w:r>
    </w:p>
    <w:bookmarkEnd w:id="81"/>
    <w:bookmarkEnd w:id="82"/>
    <w:p w14:paraId="1CE82519" w14:textId="18FBB3E6" w:rsidR="007C77E2" w:rsidRDefault="007C77E2" w:rsidP="007C77E2">
      <w:pPr>
        <w:pStyle w:val="2"/>
        <w:rPr>
          <w:rFonts w:eastAsiaTheme="minorEastAsia"/>
        </w:rPr>
      </w:pPr>
      <w:r>
        <w:t>4.</w:t>
      </w:r>
      <w:r w:rsidR="00806594">
        <w:rPr>
          <w:rFonts w:eastAsiaTheme="minorEastAsia" w:hint="eastAsia"/>
        </w:rPr>
        <w:t>7</w:t>
      </w:r>
      <w:r>
        <w:t>. Publication Bias</w:t>
      </w:r>
    </w:p>
    <w:p w14:paraId="13D7C28E" w14:textId="77777777" w:rsidR="00D8153E" w:rsidRDefault="00D8153E" w:rsidP="00D8153E">
      <w:pPr>
        <w:spacing w:after="120" w:line="360" w:lineRule="auto"/>
        <w:ind w:firstLine="360"/>
        <w:jc w:val="both"/>
      </w:pPr>
      <w:r w:rsidRPr="00D8153E">
        <w:t xml:space="preserve">A contour-enhanced funnel plot was constructed to assess potential small-study effects at post-intervention (Figure X). Visual inspection suggested some asymmetry: the more precise studies clustered around the pooled estimate, whereas the least precise trials, particularly Fleming (2012), Ackerson (1998), and Stasiak (2014), were located on the positive side of the plot, with </w:t>
      </w:r>
      <w:proofErr w:type="gramStart"/>
      <w:r w:rsidRPr="00D8153E">
        <w:t>no</w:t>
      </w:r>
      <w:proofErr w:type="gramEnd"/>
      <w:r w:rsidRPr="00D8153E">
        <w:t xml:space="preserve"> clearly comparable small-sample studies on the negative side. The contour shading indicated that the corresponding mirror region on the left would fall mainly within the non-significant zone (</w:t>
      </w:r>
      <w:r w:rsidRPr="00D8153E">
        <w:rPr>
          <w:i/>
          <w:iCs/>
        </w:rPr>
        <w:t>p</w:t>
      </w:r>
      <w:r w:rsidRPr="00D8153E">
        <w:t xml:space="preserve"> &gt; .10). If studies were missing from this region, such a pattern would be consistent with selective non-publication of small, non-significant trials, although </w:t>
      </w:r>
      <w:r w:rsidRPr="00D8153E">
        <w:lastRenderedPageBreak/>
        <w:t>alternative explanations such as heterogeneity or methodological differences could not be ruled out.</w:t>
      </w:r>
    </w:p>
    <w:p w14:paraId="7701B1EC" w14:textId="688A11BF" w:rsidR="00806594" w:rsidRDefault="00D8153E" w:rsidP="00D8153E">
      <w:pPr>
        <w:spacing w:after="120" w:line="360" w:lineRule="auto"/>
        <w:ind w:firstLine="360"/>
        <w:jc w:val="both"/>
      </w:pPr>
      <w:r w:rsidRPr="00D8153E">
        <w:t xml:space="preserve">Egger’s regression test indicated a non-significant trend toward funnel plot asymmetry, </w:t>
      </w:r>
      <w:proofErr w:type="gramStart"/>
      <w:r w:rsidRPr="00D8153E">
        <w:rPr>
          <w:i/>
          <w:iCs/>
        </w:rPr>
        <w:t>t</w:t>
      </w:r>
      <w:r w:rsidRPr="00D8153E">
        <w:t>(</w:t>
      </w:r>
      <w:proofErr w:type="gramEnd"/>
      <w:r w:rsidRPr="00D8153E">
        <w:t xml:space="preserve">12) = 1.82, </w:t>
      </w:r>
      <w:r w:rsidRPr="00D8153E">
        <w:rPr>
          <w:i/>
          <w:iCs/>
        </w:rPr>
        <w:t>p</w:t>
      </w:r>
      <w:r w:rsidRPr="00D8153E">
        <w:t xml:space="preserve"> = .093. Because the pooled effect size was a standardized mean difference (SMD), a modified test proposed by Pustejovsky and Rodgers (2019), which adjusts for the artifactual dependence between SMDs and their standard errors, was also conducted. This modified test was likewise non-significant, </w:t>
      </w:r>
      <w:proofErr w:type="gramStart"/>
      <w:r w:rsidRPr="00D8153E">
        <w:rPr>
          <w:i/>
          <w:iCs/>
        </w:rPr>
        <w:t>t</w:t>
      </w:r>
      <w:r w:rsidRPr="00D8153E">
        <w:t>(</w:t>
      </w:r>
      <w:proofErr w:type="gramEnd"/>
      <w:r w:rsidRPr="00D8153E">
        <w:t xml:space="preserve">12) = 1.66, </w:t>
      </w:r>
      <w:r w:rsidRPr="00D8153E">
        <w:rPr>
          <w:i/>
          <w:iCs/>
        </w:rPr>
        <w:t>p</w:t>
      </w:r>
      <w:r w:rsidRPr="00D8153E">
        <w:t xml:space="preserve"> = .123.</w:t>
      </w:r>
    </w:p>
    <w:p w14:paraId="1E8FB562" w14:textId="77777777" w:rsidR="00D8153E" w:rsidRDefault="00D8153E" w:rsidP="00D8153E">
      <w:pPr>
        <w:spacing w:after="120" w:line="360" w:lineRule="auto"/>
        <w:ind w:firstLine="360"/>
        <w:jc w:val="both"/>
      </w:pPr>
    </w:p>
    <w:p w14:paraId="05CBB10D" w14:textId="0F02BC62" w:rsidR="00533CFD" w:rsidRPr="007C77E2" w:rsidRDefault="00533CFD" w:rsidP="00533CFD">
      <w:pPr>
        <w:spacing w:after="120" w:line="360" w:lineRule="auto"/>
        <w:jc w:val="both"/>
        <w:rPr>
          <w:b/>
          <w:bCs/>
          <w:noProof/>
        </w:rPr>
      </w:pPr>
      <w:r w:rsidRPr="007C77E2">
        <w:rPr>
          <w:rFonts w:hint="eastAsia"/>
          <w:b/>
          <w:bCs/>
          <w:noProof/>
        </w:rPr>
        <w:t>Figure X. Contour-Enhanced Funnel Plot</w:t>
      </w:r>
    </w:p>
    <w:p w14:paraId="7254034E" w14:textId="092347FE" w:rsidR="00533CFD" w:rsidRDefault="00533CFD" w:rsidP="00533CFD">
      <w:pPr>
        <w:spacing w:after="120" w:line="360" w:lineRule="auto"/>
        <w:jc w:val="center"/>
      </w:pPr>
    </w:p>
    <w:p w14:paraId="6FE25E4C" w14:textId="27C57163" w:rsidR="00460835" w:rsidRDefault="00460835" w:rsidP="00533CFD">
      <w:pPr>
        <w:spacing w:after="120" w:line="360" w:lineRule="auto"/>
        <w:jc w:val="center"/>
      </w:pPr>
      <w:r>
        <w:rPr>
          <w:rFonts w:hint="eastAsia"/>
          <w:noProof/>
        </w:rPr>
        <w:drawing>
          <wp:inline distT="0" distB="0" distL="0" distR="0" wp14:anchorId="5C9BA0DB" wp14:editId="0345E88D">
            <wp:extent cx="5943600" cy="4953000"/>
            <wp:effectExtent l="0" t="0" r="0" b="0"/>
            <wp:docPr id="2036369271" name="图片 11"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69271" name="图片 11" descr="图表&#10;&#10;描述已自动生成"/>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3E16A52E" w14:textId="599B2FDF" w:rsidR="00533CFD" w:rsidRDefault="00E701EB" w:rsidP="00035A05">
      <w:pPr>
        <w:spacing w:after="120" w:line="276" w:lineRule="auto"/>
        <w:jc w:val="both"/>
      </w:pPr>
      <w:r w:rsidRPr="00E701EB">
        <w:rPr>
          <w:i/>
          <w:iCs/>
        </w:rPr>
        <w:t>Note</w:t>
      </w:r>
      <w:r w:rsidRPr="00E701EB">
        <w:t xml:space="preserve">. Each circle represents one study included in the post-intervention meta-analysis. The x-axis shows the standardized mean difference (Hedges’ g), with positive values indicating effects favoring unguided self-help CBT. The y-axis shows the standard error, with more precise studies appearing toward the top of the plot. The vertical dotted line represents the pooled random-effects estimate, and the diagonal dotted </w:t>
      </w:r>
      <w:r w:rsidRPr="00E701EB">
        <w:lastRenderedPageBreak/>
        <w:t>lines indicate the expected funnel around the pooled effect. Shaded contours indicate regions of statistical significance for a two-sided test against the null effect (p &lt; .10, p &lt; .05, and p &lt; .01).</w:t>
      </w:r>
    </w:p>
    <w:p w14:paraId="334782EA" w14:textId="77777777" w:rsidR="00533CFD" w:rsidRDefault="00533CFD" w:rsidP="00E701EB">
      <w:pPr>
        <w:spacing w:after="120" w:line="360" w:lineRule="auto"/>
        <w:jc w:val="both"/>
      </w:pPr>
    </w:p>
    <w:p w14:paraId="1DAB6445" w14:textId="1CD024A3" w:rsidR="003C3A12" w:rsidRDefault="00D8153E" w:rsidP="00D8153E">
      <w:pPr>
        <w:spacing w:after="120" w:line="360" w:lineRule="auto"/>
        <w:ind w:firstLine="360"/>
        <w:jc w:val="both"/>
      </w:pPr>
      <w:r w:rsidRPr="00D8153E">
        <w:t>Trim-and-fill analysis using the L₀ estimator imputed two potentially missing studies on the negative side of the funnel plot. The adjusted pooled estimate was attenuated from g = 0.27 to g = 0.21, and the confidence interval crossed zero, 95% CI [−0.04, 0.47] (Table X). The prediction interval widened from [−0.27, 0.80] to [−0.50, 0.92], and between-study heterogeneity increased (τ² = 0.055 to 0.102). Taken together, the formal regression tests did not provide statistically significant evidence of funnel plot asymmetry; however, the contour-enhanced funnel plot and trim-and-fill results suggest that small-study effects cannot be ruled out. Therefore, the pooled post-intervention effect should be interpreted cautiously.</w:t>
      </w:r>
    </w:p>
    <w:p w14:paraId="44E1D7A3" w14:textId="77777777" w:rsidR="00D8153E" w:rsidRPr="00D8153E" w:rsidRDefault="00D8153E" w:rsidP="00D8153E">
      <w:pPr>
        <w:spacing w:after="120" w:line="360" w:lineRule="auto"/>
        <w:ind w:firstLine="360"/>
        <w:jc w:val="both"/>
      </w:pPr>
    </w:p>
    <w:p w14:paraId="16DE25CA" w14:textId="43518356" w:rsidR="00FE5AF8" w:rsidRPr="008A3660" w:rsidRDefault="00FE5AF8" w:rsidP="00FE5AF8">
      <w:pPr>
        <w:spacing w:after="120" w:line="360" w:lineRule="auto"/>
        <w:jc w:val="both"/>
        <w:rPr>
          <w:b/>
          <w:bCs/>
        </w:rPr>
      </w:pPr>
      <w:r w:rsidRPr="008F4577">
        <w:rPr>
          <w:rFonts w:hint="eastAsia"/>
          <w:b/>
          <w:bCs/>
        </w:rPr>
        <w:t xml:space="preserve">Table </w:t>
      </w:r>
      <w:r>
        <w:rPr>
          <w:rFonts w:hint="eastAsia"/>
          <w:b/>
          <w:bCs/>
        </w:rPr>
        <w:t>X</w:t>
      </w:r>
      <w:r w:rsidRPr="008F4577">
        <w:rPr>
          <w:rFonts w:hint="eastAsia"/>
          <w:b/>
          <w:bCs/>
        </w:rPr>
        <w:t xml:space="preserve">. </w:t>
      </w:r>
      <w:r w:rsidR="008A3660" w:rsidRPr="008A3660">
        <w:rPr>
          <w:b/>
          <w:bCs/>
        </w:rPr>
        <w:t>Trim-and-Fill Sensitivity Analysis at Post-Intervention</w:t>
      </w:r>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1355"/>
        <w:gridCol w:w="1837"/>
        <w:gridCol w:w="1768"/>
        <w:gridCol w:w="1558"/>
        <w:gridCol w:w="1501"/>
        <w:gridCol w:w="1341"/>
      </w:tblGrid>
      <w:tr w:rsidR="00E701EB" w:rsidRPr="00533CFD" w14:paraId="13F95846" w14:textId="0CE3AF51" w:rsidTr="00227013">
        <w:trPr>
          <w:trHeight w:val="406"/>
        </w:trPr>
        <w:tc>
          <w:tcPr>
            <w:tcW w:w="1355" w:type="dxa"/>
            <w:tcBorders>
              <w:top w:val="single" w:sz="8" w:space="0" w:color="auto"/>
              <w:bottom w:val="single" w:sz="4" w:space="0" w:color="auto"/>
            </w:tcBorders>
          </w:tcPr>
          <w:p w14:paraId="635C6CDB" w14:textId="6BC42784" w:rsidR="00E701EB" w:rsidRPr="00E701EB" w:rsidRDefault="00F81E04" w:rsidP="00D450DC">
            <w:pPr>
              <w:spacing w:after="120" w:line="360" w:lineRule="auto"/>
              <w:jc w:val="center"/>
              <w:rPr>
                <w:b/>
                <w:bCs/>
              </w:rPr>
            </w:pPr>
            <w:r>
              <w:rPr>
                <w:rFonts w:hint="eastAsia"/>
                <w:b/>
                <w:bCs/>
              </w:rPr>
              <w:t>M</w:t>
            </w:r>
            <w:r w:rsidR="00E701EB" w:rsidRPr="00E701EB">
              <w:rPr>
                <w:rFonts w:hint="eastAsia"/>
                <w:b/>
                <w:bCs/>
              </w:rPr>
              <w:t>odel</w:t>
            </w:r>
          </w:p>
        </w:tc>
        <w:tc>
          <w:tcPr>
            <w:tcW w:w="1837" w:type="dxa"/>
            <w:tcBorders>
              <w:top w:val="single" w:sz="8" w:space="0" w:color="auto"/>
              <w:bottom w:val="single" w:sz="4" w:space="0" w:color="auto"/>
            </w:tcBorders>
          </w:tcPr>
          <w:p w14:paraId="6BC8E96B" w14:textId="27729F28" w:rsidR="00E701EB" w:rsidRPr="00533CFD" w:rsidRDefault="00E701EB" w:rsidP="00D450DC">
            <w:pPr>
              <w:spacing w:after="120" w:line="360" w:lineRule="auto"/>
              <w:jc w:val="center"/>
              <w:rPr>
                <w:b/>
                <w:bCs/>
                <w:i/>
                <w:iCs/>
              </w:rPr>
            </w:pPr>
            <w:r>
              <w:rPr>
                <w:b/>
                <w:bCs/>
              </w:rPr>
              <w:t>I</w:t>
            </w:r>
            <w:r>
              <w:rPr>
                <w:rFonts w:hint="eastAsia"/>
                <w:b/>
                <w:bCs/>
              </w:rPr>
              <w:t>mputed k</w:t>
            </w:r>
          </w:p>
        </w:tc>
        <w:tc>
          <w:tcPr>
            <w:tcW w:w="1768" w:type="dxa"/>
            <w:tcBorders>
              <w:top w:val="single" w:sz="8" w:space="0" w:color="auto"/>
              <w:bottom w:val="single" w:sz="4" w:space="0" w:color="auto"/>
            </w:tcBorders>
          </w:tcPr>
          <w:p w14:paraId="15AFA23D" w14:textId="16264741" w:rsidR="00E701EB" w:rsidRPr="00533CFD" w:rsidRDefault="00E701EB" w:rsidP="00D450DC">
            <w:pPr>
              <w:spacing w:after="120" w:line="360" w:lineRule="auto"/>
              <w:jc w:val="center"/>
              <w:rPr>
                <w:b/>
                <w:bCs/>
                <w:i/>
                <w:iCs/>
              </w:rPr>
            </w:pPr>
            <w:r w:rsidRPr="00E701EB">
              <w:rPr>
                <w:rFonts w:hint="eastAsia"/>
                <w:b/>
                <w:bCs/>
              </w:rPr>
              <w:t>Hedges</w:t>
            </w:r>
            <w:r w:rsidRPr="00E701EB">
              <w:rPr>
                <w:b/>
                <w:bCs/>
              </w:rPr>
              <w:t>’</w:t>
            </w:r>
            <w:r>
              <w:rPr>
                <w:rFonts w:hint="eastAsia"/>
                <w:b/>
                <w:bCs/>
                <w:i/>
                <w:iCs/>
              </w:rPr>
              <w:t xml:space="preserve"> g</w:t>
            </w:r>
          </w:p>
        </w:tc>
        <w:tc>
          <w:tcPr>
            <w:tcW w:w="1558" w:type="dxa"/>
            <w:tcBorders>
              <w:top w:val="single" w:sz="8" w:space="0" w:color="auto"/>
              <w:bottom w:val="single" w:sz="4" w:space="0" w:color="auto"/>
            </w:tcBorders>
          </w:tcPr>
          <w:p w14:paraId="03B2751D" w14:textId="749F3826" w:rsidR="00E701EB" w:rsidRPr="00533CFD" w:rsidRDefault="00E701EB" w:rsidP="00D450DC">
            <w:pPr>
              <w:spacing w:after="120" w:line="360" w:lineRule="auto"/>
              <w:jc w:val="center"/>
              <w:rPr>
                <w:b/>
                <w:bCs/>
              </w:rPr>
            </w:pPr>
            <w:r w:rsidRPr="00533CFD">
              <w:rPr>
                <w:b/>
                <w:bCs/>
              </w:rPr>
              <w:t>95% CI</w:t>
            </w:r>
          </w:p>
        </w:tc>
        <w:tc>
          <w:tcPr>
            <w:tcW w:w="1501" w:type="dxa"/>
            <w:tcBorders>
              <w:top w:val="single" w:sz="8" w:space="0" w:color="auto"/>
              <w:bottom w:val="single" w:sz="4" w:space="0" w:color="auto"/>
            </w:tcBorders>
          </w:tcPr>
          <w:p w14:paraId="6CE1229A" w14:textId="77777777" w:rsidR="00E701EB" w:rsidRPr="00533CFD" w:rsidRDefault="00E701EB" w:rsidP="00D450DC">
            <w:pPr>
              <w:spacing w:after="120" w:line="360" w:lineRule="auto"/>
              <w:jc w:val="center"/>
              <w:rPr>
                <w:b/>
                <w:bCs/>
              </w:rPr>
            </w:pPr>
            <w:r w:rsidRPr="00533CFD">
              <w:rPr>
                <w:b/>
                <w:bCs/>
              </w:rPr>
              <w:t>95% PI</w:t>
            </w:r>
          </w:p>
        </w:tc>
        <w:tc>
          <w:tcPr>
            <w:tcW w:w="1341" w:type="dxa"/>
            <w:tcBorders>
              <w:top w:val="single" w:sz="8" w:space="0" w:color="auto"/>
              <w:bottom w:val="single" w:sz="4" w:space="0" w:color="auto"/>
            </w:tcBorders>
          </w:tcPr>
          <w:p w14:paraId="15C96063" w14:textId="4C769AA6" w:rsidR="00E701EB" w:rsidRPr="00533CFD" w:rsidRDefault="00E701EB" w:rsidP="00D450DC">
            <w:pPr>
              <w:spacing w:after="120" w:line="360" w:lineRule="auto"/>
              <w:jc w:val="center"/>
              <w:rPr>
                <w:b/>
                <w:bCs/>
              </w:rPr>
            </w:pPr>
            <w:r w:rsidRPr="00E701EB">
              <w:rPr>
                <w:b/>
                <w:bCs/>
                <w:i/>
                <w:iCs/>
              </w:rPr>
              <w:t>Q</w:t>
            </w:r>
            <w:r w:rsidRPr="00E701EB">
              <w:rPr>
                <w:b/>
                <w:bCs/>
              </w:rPr>
              <w:t xml:space="preserve"> (</w:t>
            </w:r>
            <w:proofErr w:type="spellStart"/>
            <w:r w:rsidRPr="00E701EB">
              <w:rPr>
                <w:b/>
                <w:bCs/>
                <w:i/>
                <w:iCs/>
              </w:rPr>
              <w:t>df</w:t>
            </w:r>
            <w:proofErr w:type="spellEnd"/>
            <w:r w:rsidRPr="00E701EB">
              <w:rPr>
                <w:b/>
                <w:bCs/>
              </w:rPr>
              <w:t>)</w:t>
            </w:r>
          </w:p>
        </w:tc>
      </w:tr>
      <w:tr w:rsidR="00E701EB" w:rsidRPr="00573723" w14:paraId="1413F27E" w14:textId="69838503" w:rsidTr="00E701EB">
        <w:trPr>
          <w:trHeight w:val="577"/>
        </w:trPr>
        <w:tc>
          <w:tcPr>
            <w:tcW w:w="1355" w:type="dxa"/>
            <w:tcBorders>
              <w:top w:val="single" w:sz="4" w:space="0" w:color="auto"/>
              <w:bottom w:val="nil"/>
            </w:tcBorders>
          </w:tcPr>
          <w:p w14:paraId="5FBC1F50" w14:textId="0EE8A197" w:rsidR="00E701EB" w:rsidRPr="00573723" w:rsidRDefault="00E701EB" w:rsidP="00D450DC">
            <w:pPr>
              <w:spacing w:after="120" w:line="360" w:lineRule="auto"/>
              <w:jc w:val="center"/>
            </w:pPr>
            <w:r>
              <w:rPr>
                <w:rFonts w:hint="eastAsia"/>
              </w:rPr>
              <w:t>Observed</w:t>
            </w:r>
          </w:p>
        </w:tc>
        <w:tc>
          <w:tcPr>
            <w:tcW w:w="1837" w:type="dxa"/>
            <w:tcBorders>
              <w:top w:val="single" w:sz="4" w:space="0" w:color="auto"/>
              <w:bottom w:val="nil"/>
            </w:tcBorders>
          </w:tcPr>
          <w:p w14:paraId="4F0A2E82" w14:textId="79AD34E5" w:rsidR="00E701EB" w:rsidRPr="00573723" w:rsidRDefault="00E701EB" w:rsidP="00D450DC">
            <w:pPr>
              <w:spacing w:after="120" w:line="360" w:lineRule="auto"/>
              <w:jc w:val="center"/>
            </w:pPr>
            <w:r w:rsidRPr="00E701EB">
              <w:t>—</w:t>
            </w:r>
          </w:p>
        </w:tc>
        <w:tc>
          <w:tcPr>
            <w:tcW w:w="1768" w:type="dxa"/>
            <w:tcBorders>
              <w:top w:val="single" w:sz="4" w:space="0" w:color="auto"/>
              <w:bottom w:val="nil"/>
            </w:tcBorders>
          </w:tcPr>
          <w:p w14:paraId="54A70106" w14:textId="72158DA8" w:rsidR="00E701EB" w:rsidRPr="00573723" w:rsidRDefault="00E701EB" w:rsidP="00D450DC">
            <w:pPr>
              <w:spacing w:after="120" w:line="360" w:lineRule="auto"/>
              <w:jc w:val="center"/>
            </w:pPr>
            <w:r>
              <w:rPr>
                <w:rFonts w:hint="eastAsia"/>
              </w:rPr>
              <w:t>0.27</w:t>
            </w:r>
          </w:p>
        </w:tc>
        <w:tc>
          <w:tcPr>
            <w:tcW w:w="1558" w:type="dxa"/>
            <w:tcBorders>
              <w:top w:val="single" w:sz="4" w:space="0" w:color="auto"/>
              <w:bottom w:val="nil"/>
            </w:tcBorders>
          </w:tcPr>
          <w:p w14:paraId="64A62C23" w14:textId="18FAF6CA" w:rsidR="00E701EB" w:rsidRPr="00573723" w:rsidRDefault="00E701EB" w:rsidP="00D450DC">
            <w:pPr>
              <w:spacing w:after="120" w:line="360" w:lineRule="auto"/>
              <w:jc w:val="center"/>
            </w:pPr>
            <w:r w:rsidRPr="00E701EB">
              <w:t>[0.06, 0.47]</w:t>
            </w:r>
          </w:p>
        </w:tc>
        <w:tc>
          <w:tcPr>
            <w:tcW w:w="1501" w:type="dxa"/>
            <w:tcBorders>
              <w:top w:val="single" w:sz="4" w:space="0" w:color="auto"/>
              <w:bottom w:val="nil"/>
            </w:tcBorders>
          </w:tcPr>
          <w:p w14:paraId="2D864BBA" w14:textId="77777777" w:rsidR="00E701EB" w:rsidRPr="00573723" w:rsidRDefault="00E701EB" w:rsidP="00D450DC">
            <w:pPr>
              <w:spacing w:after="120" w:line="360" w:lineRule="auto"/>
              <w:jc w:val="center"/>
            </w:pPr>
            <w:r w:rsidRPr="00573723">
              <w:t>[−0.27, 0.80]</w:t>
            </w:r>
          </w:p>
        </w:tc>
        <w:tc>
          <w:tcPr>
            <w:tcW w:w="1341" w:type="dxa"/>
            <w:tcBorders>
              <w:top w:val="single" w:sz="4" w:space="0" w:color="auto"/>
              <w:bottom w:val="nil"/>
            </w:tcBorders>
          </w:tcPr>
          <w:p w14:paraId="7592B621" w14:textId="03A59237" w:rsidR="00E701EB" w:rsidRPr="00573723" w:rsidRDefault="00E701EB" w:rsidP="00D450DC">
            <w:pPr>
              <w:spacing w:after="120" w:line="360" w:lineRule="auto"/>
              <w:jc w:val="center"/>
            </w:pPr>
            <w:r w:rsidRPr="00E701EB">
              <w:t>35.</w:t>
            </w:r>
            <w:r w:rsidR="00D8153E">
              <w:rPr>
                <w:rFonts w:hint="eastAsia"/>
              </w:rPr>
              <w:t>19</w:t>
            </w:r>
            <w:r w:rsidRPr="00E701EB">
              <w:t xml:space="preserve"> (13)</w:t>
            </w:r>
          </w:p>
        </w:tc>
      </w:tr>
      <w:tr w:rsidR="00E701EB" w:rsidRPr="00573723" w14:paraId="1E926D02" w14:textId="1861FB5D" w:rsidTr="00A629B4">
        <w:trPr>
          <w:trHeight w:val="492"/>
        </w:trPr>
        <w:tc>
          <w:tcPr>
            <w:tcW w:w="1355" w:type="dxa"/>
            <w:tcBorders>
              <w:top w:val="nil"/>
              <w:bottom w:val="single" w:sz="8" w:space="0" w:color="auto"/>
            </w:tcBorders>
          </w:tcPr>
          <w:p w14:paraId="12AF1EF2" w14:textId="1463EFA3" w:rsidR="00E701EB" w:rsidRPr="00573723" w:rsidRDefault="00E701EB" w:rsidP="00D450DC">
            <w:pPr>
              <w:spacing w:after="120" w:line="360" w:lineRule="auto"/>
              <w:jc w:val="center"/>
            </w:pPr>
            <w:r>
              <w:rPr>
                <w:rFonts w:hint="eastAsia"/>
              </w:rPr>
              <w:t>Adjusted</w:t>
            </w:r>
          </w:p>
        </w:tc>
        <w:tc>
          <w:tcPr>
            <w:tcW w:w="1837" w:type="dxa"/>
            <w:tcBorders>
              <w:top w:val="nil"/>
              <w:bottom w:val="single" w:sz="8" w:space="0" w:color="auto"/>
            </w:tcBorders>
          </w:tcPr>
          <w:p w14:paraId="6342EEEC" w14:textId="28030E56" w:rsidR="00E701EB" w:rsidRPr="00573723" w:rsidRDefault="00E701EB" w:rsidP="00D450DC">
            <w:pPr>
              <w:spacing w:after="120" w:line="360" w:lineRule="auto"/>
              <w:jc w:val="center"/>
            </w:pPr>
            <w:r>
              <w:rPr>
                <w:rFonts w:hint="eastAsia"/>
              </w:rPr>
              <w:t>2</w:t>
            </w:r>
          </w:p>
        </w:tc>
        <w:tc>
          <w:tcPr>
            <w:tcW w:w="1768" w:type="dxa"/>
            <w:tcBorders>
              <w:top w:val="nil"/>
              <w:bottom w:val="single" w:sz="8" w:space="0" w:color="auto"/>
            </w:tcBorders>
          </w:tcPr>
          <w:p w14:paraId="19D4B8BE" w14:textId="7D3BE298" w:rsidR="00E701EB" w:rsidRPr="00573723" w:rsidRDefault="00E701EB" w:rsidP="00D450DC">
            <w:pPr>
              <w:spacing w:after="120" w:line="360" w:lineRule="auto"/>
              <w:jc w:val="center"/>
            </w:pPr>
            <w:r>
              <w:rPr>
                <w:rFonts w:hint="eastAsia"/>
              </w:rPr>
              <w:t>0.21</w:t>
            </w:r>
          </w:p>
        </w:tc>
        <w:tc>
          <w:tcPr>
            <w:tcW w:w="1558" w:type="dxa"/>
            <w:tcBorders>
              <w:top w:val="nil"/>
              <w:bottom w:val="single" w:sz="8" w:space="0" w:color="auto"/>
            </w:tcBorders>
          </w:tcPr>
          <w:p w14:paraId="684982B0" w14:textId="19C38CA4" w:rsidR="00E701EB" w:rsidRPr="00573723" w:rsidRDefault="00E701EB" w:rsidP="00D450DC">
            <w:pPr>
              <w:spacing w:after="120" w:line="360" w:lineRule="auto"/>
              <w:jc w:val="center"/>
            </w:pPr>
            <w:r w:rsidRPr="00E701EB">
              <w:t>[−0.04, 0.47]</w:t>
            </w:r>
          </w:p>
        </w:tc>
        <w:tc>
          <w:tcPr>
            <w:tcW w:w="1501" w:type="dxa"/>
            <w:tcBorders>
              <w:top w:val="nil"/>
              <w:bottom w:val="single" w:sz="8" w:space="0" w:color="auto"/>
            </w:tcBorders>
          </w:tcPr>
          <w:p w14:paraId="7312429D" w14:textId="791DAF44" w:rsidR="00E701EB" w:rsidRPr="00573723" w:rsidRDefault="00E701EB" w:rsidP="00D450DC">
            <w:pPr>
              <w:spacing w:after="120" w:line="360" w:lineRule="auto"/>
              <w:jc w:val="center"/>
            </w:pPr>
            <w:r w:rsidRPr="00E701EB">
              <w:t>[−0.50, 0.9</w:t>
            </w:r>
            <w:r w:rsidR="00D8153E">
              <w:rPr>
                <w:rFonts w:hint="eastAsia"/>
              </w:rPr>
              <w:t>2</w:t>
            </w:r>
            <w:r w:rsidRPr="00E701EB">
              <w:t>]</w:t>
            </w:r>
          </w:p>
        </w:tc>
        <w:tc>
          <w:tcPr>
            <w:tcW w:w="1341" w:type="dxa"/>
            <w:tcBorders>
              <w:top w:val="nil"/>
              <w:bottom w:val="single" w:sz="8" w:space="0" w:color="auto"/>
            </w:tcBorders>
          </w:tcPr>
          <w:p w14:paraId="01F4DD81" w14:textId="0723D3EB" w:rsidR="00E701EB" w:rsidRPr="00E701EB" w:rsidRDefault="00E701EB" w:rsidP="00D450DC">
            <w:pPr>
              <w:spacing w:after="120" w:line="360" w:lineRule="auto"/>
              <w:jc w:val="center"/>
            </w:pPr>
            <w:r w:rsidRPr="00E701EB">
              <w:t>4</w:t>
            </w:r>
            <w:r w:rsidR="00D8153E">
              <w:rPr>
                <w:rFonts w:hint="eastAsia"/>
              </w:rPr>
              <w:t>7</w:t>
            </w:r>
            <w:r w:rsidRPr="00E701EB">
              <w:t>.</w:t>
            </w:r>
            <w:r w:rsidR="00D8153E">
              <w:rPr>
                <w:rFonts w:hint="eastAsia"/>
              </w:rPr>
              <w:t>97</w:t>
            </w:r>
            <w:r w:rsidRPr="00E701EB">
              <w:t xml:space="preserve"> (15)</w:t>
            </w:r>
          </w:p>
        </w:tc>
      </w:tr>
    </w:tbl>
    <w:p w14:paraId="5C4A9008" w14:textId="77777777" w:rsidR="00FE5AF8" w:rsidRDefault="00FE5AF8" w:rsidP="00FE5AF8">
      <w:pPr>
        <w:spacing w:after="120" w:line="360" w:lineRule="auto"/>
        <w:jc w:val="both"/>
        <w:rPr>
          <w:b/>
          <w:bCs/>
          <w:sz w:val="24"/>
          <w:szCs w:val="24"/>
        </w:rPr>
      </w:pPr>
    </w:p>
    <w:p w14:paraId="56E99093" w14:textId="7D88B01B" w:rsidR="007C0E99" w:rsidRDefault="00E701EB" w:rsidP="007C77E2">
      <w:pPr>
        <w:spacing w:after="120" w:line="360" w:lineRule="auto"/>
        <w:jc w:val="both"/>
        <w:rPr>
          <w:b/>
          <w:bCs/>
          <w:noProof/>
        </w:rPr>
      </w:pPr>
      <w:r w:rsidRPr="00E701EB">
        <w:rPr>
          <w:i/>
          <w:iCs/>
        </w:rPr>
        <w:t xml:space="preserve">Note. </w:t>
      </w:r>
      <w:r w:rsidR="00840E40" w:rsidRPr="00840E40">
        <w:t>Trim-and-fill (L₀ estimator) imputed two hypothetical studies on the negative tail (g = −0.61, mirror of Ackerson 1998; g = −1.10, mirror of Fleming 2012). Adjusted estimates were based on a random-effects model with the REML estimator and Hartung–Knapp adjustment. PI = prediction interval.</w:t>
      </w:r>
    </w:p>
    <w:p w14:paraId="25E9AFE2" w14:textId="5631FDFC" w:rsidR="007C77E2" w:rsidRPr="007C77E2" w:rsidRDefault="007C77E2" w:rsidP="007C77E2">
      <w:pPr>
        <w:spacing w:after="120" w:line="360" w:lineRule="auto"/>
        <w:jc w:val="both"/>
        <w:rPr>
          <w:b/>
          <w:bCs/>
          <w:noProof/>
        </w:rPr>
      </w:pPr>
      <w:r w:rsidRPr="007C77E2">
        <w:rPr>
          <w:rFonts w:hint="eastAsia"/>
          <w:b/>
          <w:bCs/>
          <w:noProof/>
        </w:rPr>
        <w:t xml:space="preserve">Figure X. </w:t>
      </w:r>
      <w:r>
        <w:rPr>
          <w:rFonts w:hint="eastAsia"/>
          <w:b/>
          <w:bCs/>
          <w:noProof/>
        </w:rPr>
        <w:t>Trim-and-Fill Funnel Plot</w:t>
      </w:r>
    </w:p>
    <w:p w14:paraId="4CAB6134" w14:textId="0FCEE3FA" w:rsidR="007C77E2" w:rsidRDefault="00460835" w:rsidP="00E701EB">
      <w:pPr>
        <w:spacing w:after="120" w:line="360" w:lineRule="auto"/>
        <w:jc w:val="center"/>
      </w:pPr>
      <w:r>
        <w:rPr>
          <w:noProof/>
        </w:rPr>
        <w:lastRenderedPageBreak/>
        <w:drawing>
          <wp:inline distT="0" distB="0" distL="0" distR="0" wp14:anchorId="0F0CB9F3" wp14:editId="55F5867F">
            <wp:extent cx="5943600" cy="4953000"/>
            <wp:effectExtent l="0" t="0" r="0" b="0"/>
            <wp:docPr id="232148321" name="图片 12"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48321" name="图片 12" descr="图表&#10;&#10;描述已自动生成"/>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7B86E055" w14:textId="7E4FFACE" w:rsidR="00835B35" w:rsidRPr="004B693E" w:rsidRDefault="00835B35" w:rsidP="005C752D">
      <w:pPr>
        <w:spacing w:after="120"/>
        <w:rPr>
          <w:sz w:val="16"/>
          <w:szCs w:val="16"/>
        </w:rPr>
      </w:pPr>
      <w:r w:rsidRPr="004B693E">
        <w:rPr>
          <w:i/>
          <w:iCs/>
          <w:sz w:val="16"/>
          <w:szCs w:val="16"/>
        </w:rPr>
        <w:t>Note</w:t>
      </w:r>
      <w:r w:rsidRPr="004B693E">
        <w:rPr>
          <w:sz w:val="16"/>
          <w:szCs w:val="16"/>
        </w:rPr>
        <w:t>. Grey circles indicate observed studies, and open circles indicate studies imputed by the trim-and-fill procedure. The x-axis shows the standardized mean difference, with positive values favoring unguided self-help CBT; the y-axis shows the standard error. The vertical dotted line represents the trim-and-fill adjusted pooled estimate. Shaded contours indicate regions of statistical significance for a two-sided test against the null effect.</w:t>
      </w:r>
    </w:p>
    <w:bookmarkEnd w:id="71"/>
    <w:p w14:paraId="66C87F6C" w14:textId="77777777" w:rsidR="00806594" w:rsidRDefault="00806594" w:rsidP="00835B35">
      <w:pPr>
        <w:spacing w:after="120" w:line="360" w:lineRule="auto"/>
      </w:pPr>
    </w:p>
    <w:p w14:paraId="25BA83DC" w14:textId="6275E6C7" w:rsidR="000B0963" w:rsidRPr="00894D18" w:rsidRDefault="00806594" w:rsidP="00894D18">
      <w:pPr>
        <w:pStyle w:val="2"/>
        <w:rPr>
          <w:rFonts w:eastAsiaTheme="minorEastAsia"/>
        </w:rPr>
      </w:pPr>
      <w:bookmarkStart w:id="87" w:name="OLE_LINK56"/>
      <w:bookmarkStart w:id="88" w:name="OLE_LINK41"/>
      <w:bookmarkStart w:id="89" w:name="OLE_LINK58"/>
      <w:bookmarkEnd w:id="72"/>
      <w:r>
        <w:t>4.</w:t>
      </w:r>
      <w:r>
        <w:rPr>
          <w:rFonts w:eastAsiaTheme="minorEastAsia" w:hint="eastAsia"/>
        </w:rPr>
        <w:t>8</w:t>
      </w:r>
      <w:r>
        <w:t xml:space="preserve">. </w:t>
      </w:r>
      <w:r w:rsidRPr="00C35D16">
        <w:t xml:space="preserve">Acceptability </w:t>
      </w:r>
    </w:p>
    <w:p w14:paraId="428A2B56" w14:textId="77777777" w:rsidR="00894D18" w:rsidRPr="00894D18" w:rsidRDefault="00894D18" w:rsidP="00894D18">
      <w:pPr>
        <w:spacing w:after="120" w:line="360" w:lineRule="auto"/>
        <w:ind w:firstLine="360"/>
        <w:jc w:val="both"/>
      </w:pPr>
      <w:r w:rsidRPr="00894D18">
        <w:t xml:space="preserve">All fifteen included studies contributed to the acceptability analysis using risk ratio (RR), with all-cause dropout at post-intervention as the event of interest. Three of the fifteen studies (Ip 2016; </w:t>
      </w:r>
      <w:proofErr w:type="spellStart"/>
      <w:r w:rsidRPr="00894D18">
        <w:t>Poppelaars</w:t>
      </w:r>
      <w:proofErr w:type="spellEnd"/>
      <w:r w:rsidRPr="00894D18">
        <w:t xml:space="preserve"> 2016; Smith 2015) reported zero dropout events in one arm, while dropout rates varied substantially across the remaining studies (from 0% to over 80%). This pattern indicates that adolescent unguided self-help CBT dropout should not be treated as a rare-event outcome in the strict sense, but as a sparse-but-heterogeneous outcome warranting careful zero-cell handling and explicit heterogeneity investigation.</w:t>
      </w:r>
    </w:p>
    <w:p w14:paraId="28F238E3" w14:textId="77310323" w:rsidR="009B23F1" w:rsidRPr="00894D18" w:rsidRDefault="00894D18" w:rsidP="00894D18">
      <w:pPr>
        <w:spacing w:after="120" w:line="360" w:lineRule="auto"/>
        <w:ind w:firstLine="360"/>
        <w:jc w:val="both"/>
      </w:pPr>
      <w:r w:rsidRPr="00894D18">
        <w:t xml:space="preserve">Inspection of the forest plot (Figure </w:t>
      </w:r>
      <w:r w:rsidR="00032BF3">
        <w:rPr>
          <w:rFonts w:hint="eastAsia"/>
        </w:rPr>
        <w:t>X</w:t>
      </w:r>
      <w:r w:rsidRPr="00894D18">
        <w:t xml:space="preserve">) showed a pooled RR &gt; 1 across </w:t>
      </w:r>
      <w:proofErr w:type="gramStart"/>
      <w:r w:rsidRPr="00894D18">
        <w:t>the majority of</w:t>
      </w:r>
      <w:proofErr w:type="gramEnd"/>
      <w:r w:rsidRPr="00894D18">
        <w:t xml:space="preserve"> studies, </w:t>
      </w:r>
      <w:r w:rsidRPr="00894D18">
        <w:lastRenderedPageBreak/>
        <w:t xml:space="preserve">indicating directionally higher dropout in the intervention arm. The random-effects estimate under the prespecified MH exact + REML + Hartung-Knapp model was RR = 1.32 (95% CI [0.96, 1.82], p = .086), with moderate between-study heterogeneity (τ² = 0.068, </w:t>
      </w:r>
      <w:r w:rsidRPr="00894D18">
        <w:rPr>
          <w:i/>
          <w:iCs/>
        </w:rPr>
        <w:t>I</w:t>
      </w:r>
      <w:r w:rsidRPr="00894D18">
        <w:t xml:space="preserve">² = 40.5%, Q = 23.54, </w:t>
      </w:r>
      <w:proofErr w:type="spellStart"/>
      <w:r w:rsidRPr="00894D18">
        <w:t>df</w:t>
      </w:r>
      <w:proofErr w:type="spellEnd"/>
      <w:r w:rsidRPr="00894D18">
        <w:t xml:space="preserve"> = 14, p = .052) and a 95% prediction interval ranging from 0.70 to 2.49. The corresponding common-effect estimate (MH exact, RR = 1.49, 95%</w:t>
      </w:r>
      <w:r w:rsidRPr="00894D18">
        <w:rPr>
          <w:b/>
          <w:bCs/>
        </w:rPr>
        <w:t xml:space="preserve"> </w:t>
      </w:r>
      <w:r w:rsidRPr="00894D18">
        <w:t>CI [1.24, 1.80], p &lt; .001) was substantially larger and statistically significant; this attenuation under the random-effects model reflects the incorporation of between-study heterogeneity into the standard error via REML, together with the Hartung-Knapp degrees-of-freedom adjustment that yields wider confidence intervals.</w:t>
      </w:r>
    </w:p>
    <w:p w14:paraId="01B72C89" w14:textId="77777777" w:rsidR="00894D18" w:rsidRDefault="00894D18" w:rsidP="000B0963">
      <w:pPr>
        <w:spacing w:after="120" w:line="360" w:lineRule="auto"/>
        <w:ind w:firstLine="360"/>
        <w:jc w:val="both"/>
      </w:pPr>
    </w:p>
    <w:p w14:paraId="4B1BE15F" w14:textId="77777777" w:rsidR="00894D18" w:rsidRDefault="00894D18" w:rsidP="000B0963">
      <w:pPr>
        <w:spacing w:after="120" w:line="360" w:lineRule="auto"/>
        <w:ind w:firstLine="360"/>
        <w:jc w:val="both"/>
      </w:pPr>
    </w:p>
    <w:p w14:paraId="6607F76F" w14:textId="77777777" w:rsidR="00894D18" w:rsidRPr="00894D18" w:rsidRDefault="00894D18" w:rsidP="000B0963">
      <w:pPr>
        <w:spacing w:after="120" w:line="360" w:lineRule="auto"/>
        <w:ind w:firstLine="360"/>
        <w:jc w:val="both"/>
      </w:pPr>
    </w:p>
    <w:p w14:paraId="548E7545" w14:textId="77777777" w:rsidR="00BC673A" w:rsidRDefault="00BC673A" w:rsidP="00835B35">
      <w:pPr>
        <w:spacing w:after="120" w:line="360" w:lineRule="auto"/>
      </w:pPr>
    </w:p>
    <w:p w14:paraId="4194A4D2" w14:textId="5BCCE880" w:rsidR="00BC673A" w:rsidRPr="00AB4E79" w:rsidRDefault="00AB4E79" w:rsidP="00AB4E79">
      <w:pPr>
        <w:spacing w:after="120" w:line="360" w:lineRule="auto"/>
        <w:jc w:val="both"/>
        <w:rPr>
          <w:b/>
          <w:bCs/>
          <w:noProof/>
        </w:rPr>
      </w:pPr>
      <w:r w:rsidRPr="00843F05">
        <w:rPr>
          <w:rFonts w:hint="eastAsia"/>
          <w:b/>
          <w:bCs/>
          <w:noProof/>
        </w:rPr>
        <w:t xml:space="preserve">Figure </w:t>
      </w:r>
      <w:r>
        <w:rPr>
          <w:rFonts w:hint="eastAsia"/>
          <w:b/>
          <w:bCs/>
          <w:noProof/>
        </w:rPr>
        <w:t>6</w:t>
      </w:r>
      <w:r w:rsidRPr="00843F05">
        <w:rPr>
          <w:rFonts w:hint="eastAsia"/>
          <w:b/>
          <w:bCs/>
          <w:noProof/>
        </w:rPr>
        <w:t xml:space="preserve">. </w:t>
      </w:r>
      <w:r>
        <w:rPr>
          <w:rFonts w:hint="eastAsia"/>
          <w:b/>
          <w:bCs/>
          <w:noProof/>
        </w:rPr>
        <w:t xml:space="preserve"> </w:t>
      </w:r>
      <w:r w:rsidRPr="00843F05">
        <w:rPr>
          <w:b/>
          <w:bCs/>
          <w:noProof/>
        </w:rPr>
        <w:t xml:space="preserve">Forest Plot of </w:t>
      </w:r>
      <w:r>
        <w:rPr>
          <w:rFonts w:hint="eastAsia"/>
          <w:b/>
          <w:bCs/>
          <w:noProof/>
        </w:rPr>
        <w:t>Acceptability of Included Studies</w:t>
      </w:r>
    </w:p>
    <w:p w14:paraId="24E6D440" w14:textId="51CCFDEE" w:rsidR="00BC673A" w:rsidRDefault="00BC673A" w:rsidP="00835B35">
      <w:pPr>
        <w:spacing w:after="120" w:line="360" w:lineRule="auto"/>
      </w:pPr>
      <w:r>
        <w:rPr>
          <w:rFonts w:hint="eastAsia"/>
          <w:noProof/>
        </w:rPr>
        <w:lastRenderedPageBreak/>
        <w:drawing>
          <wp:inline distT="0" distB="0" distL="0" distR="0" wp14:anchorId="4036770A" wp14:editId="7876C205">
            <wp:extent cx="5943600" cy="4754880"/>
            <wp:effectExtent l="0" t="0" r="0" b="7620"/>
            <wp:docPr id="1768322724" name="图片 5"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322724" name="图片 5" descr="图示&#10;&#10;描述已自动生成"/>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65258E1E" w14:textId="64CB88A6" w:rsidR="00AB4E79" w:rsidRDefault="00AB4E79" w:rsidP="00AB4E79">
      <w:pPr>
        <w:spacing w:after="120" w:line="276" w:lineRule="auto"/>
        <w:jc w:val="both"/>
      </w:pPr>
      <w:r>
        <w:rPr>
          <w:rFonts w:hint="eastAsia"/>
          <w:i/>
          <w:iCs/>
        </w:rPr>
        <w:t xml:space="preserve">Note. </w:t>
      </w:r>
      <w:r w:rsidRPr="005B656D">
        <w:t xml:space="preserve">Forest plot of </w:t>
      </w:r>
      <w:r>
        <w:rPr>
          <w:rFonts w:hint="eastAsia"/>
        </w:rPr>
        <w:t xml:space="preserve">acceptability of </w:t>
      </w:r>
      <w:r w:rsidRPr="005B656D">
        <w:t>unguided self-help CBT for adolescent depressive symptoms</w:t>
      </w:r>
      <w:r>
        <w:rPr>
          <w:rFonts w:hint="eastAsia"/>
        </w:rPr>
        <w:t>, which is calculated by risk ratio (RR) of dropouts</w:t>
      </w:r>
      <w:r w:rsidRPr="005B656D">
        <w:t xml:space="preserve"> at post-intervention. Studies are ordered by ascending </w:t>
      </w:r>
      <w:r>
        <w:rPr>
          <w:rFonts w:hint="eastAsia"/>
        </w:rPr>
        <w:t>RR</w:t>
      </w:r>
      <w:r w:rsidRPr="005B656D">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The red bar represents the 95% prediction interval. CI = confidence interval;</w:t>
      </w:r>
      <w:r>
        <w:rPr>
          <w:rFonts w:hint="eastAsia"/>
        </w:rPr>
        <w:t xml:space="preserve"> RR = risk ratio.</w:t>
      </w:r>
    </w:p>
    <w:p w14:paraId="4407ED41" w14:textId="77777777" w:rsidR="00290689" w:rsidRDefault="00290689" w:rsidP="00835B35">
      <w:pPr>
        <w:spacing w:after="120" w:line="360" w:lineRule="auto"/>
      </w:pPr>
    </w:p>
    <w:p w14:paraId="02D46D1C" w14:textId="77777777" w:rsidR="00032BF3" w:rsidRPr="00032BF3" w:rsidRDefault="00032BF3" w:rsidP="00032BF3">
      <w:pPr>
        <w:spacing w:after="120" w:line="360" w:lineRule="auto"/>
        <w:ind w:firstLine="360"/>
        <w:jc w:val="both"/>
      </w:pPr>
      <w:r w:rsidRPr="00032BF3">
        <w:t>Two sensitivity analyses examined the robustness of the primary estimate to zero-cell handling. Excluding the three single-zero studies yielded RR = 1.29, 95% CI [0.95, 1.75], p = .095, virtually unchanged from the primary result. Re-estimating the random-effects model under the Cochrane-style continuity correction (adding 0.5 to all four cells of zero-cell studies) produced an identical random-effects estimate (RR = 1.32, 95% CI [0.96, 1.82]), as the three zero-cell studies together contributed less than 3% of the total weight in the inverse-variance pool. Taken together, the choice of zero-cell handling was not decisive to the acceptability finding.</w:t>
      </w:r>
    </w:p>
    <w:p w14:paraId="7B8A8B71" w14:textId="26D881B0" w:rsidR="00032BF3" w:rsidRPr="00032BF3" w:rsidRDefault="00032BF3" w:rsidP="001D4FC3">
      <w:pPr>
        <w:spacing w:after="120" w:line="360" w:lineRule="auto"/>
        <w:ind w:firstLine="360"/>
        <w:jc w:val="both"/>
      </w:pPr>
      <w:r w:rsidRPr="00032BF3">
        <w:lastRenderedPageBreak/>
        <w:t xml:space="preserve">Exploratory influence diagnostics following </w:t>
      </w:r>
      <w:proofErr w:type="spellStart"/>
      <w:r w:rsidRPr="00032BF3">
        <w:t>Viechtbauer</w:t>
      </w:r>
      <w:proofErr w:type="spellEnd"/>
      <w:r w:rsidRPr="00032BF3">
        <w:t xml:space="preserve"> and Cheung (2010) identified O'Dea (2025) as the single high-influence study in the analysis, with an externally standardized residual of 2.91, DFFITS of 1.48, and Cook's distance of 0.65, all exceeding standard thresholds. The </w:t>
      </w:r>
      <w:proofErr w:type="spellStart"/>
      <w:r w:rsidRPr="00032BF3">
        <w:t>Baujat</w:t>
      </w:r>
      <w:proofErr w:type="spellEnd"/>
      <w:r w:rsidRPr="00032BF3">
        <w:t xml:space="preserve"> plot (</w:t>
      </w:r>
      <w:r>
        <w:rPr>
          <w:rFonts w:hint="eastAsia"/>
        </w:rPr>
        <w:t>Figure X</w:t>
      </w:r>
      <w:r w:rsidRPr="00032BF3">
        <w:t xml:space="preserve">) confirmed this finding visually, with O'Dea (2025) the sole study located in the upper-right quadrant. A post-hoc analysis removing this study yielded a substantially attenuated estimate (RR </w:t>
      </w:r>
      <w:r>
        <w:rPr>
          <w:rFonts w:hint="eastAsia"/>
        </w:rPr>
        <w:t>=</w:t>
      </w:r>
      <w:r w:rsidRPr="00032BF3">
        <w:t xml:space="preserve"> 1.</w:t>
      </w:r>
      <w:r>
        <w:rPr>
          <w:rFonts w:hint="eastAsia"/>
        </w:rPr>
        <w:t>18</w:t>
      </w:r>
      <w:r w:rsidRPr="00032BF3">
        <w:t>, 95% CI ≈ [0.</w:t>
      </w:r>
      <w:r>
        <w:rPr>
          <w:rFonts w:hint="eastAsia"/>
        </w:rPr>
        <w:t>91</w:t>
      </w:r>
      <w:r w:rsidRPr="00032BF3">
        <w:t>, 1.</w:t>
      </w:r>
      <w:r>
        <w:rPr>
          <w:rFonts w:hint="eastAsia"/>
        </w:rPr>
        <w:t>53</w:t>
      </w:r>
      <w:r w:rsidRPr="00032BF3">
        <w:t>]) with near-zero between-study variance (τ² &lt; 0.0001,</w:t>
      </w:r>
      <w:r w:rsidRPr="00032BF3">
        <w:rPr>
          <w:i/>
          <w:iCs/>
        </w:rPr>
        <w:t xml:space="preserve"> I</w:t>
      </w:r>
      <w:r w:rsidRPr="00032BF3">
        <w:t xml:space="preserve">² = </w:t>
      </w:r>
      <w:r>
        <w:rPr>
          <w:rFonts w:hint="eastAsia"/>
        </w:rPr>
        <w:t>13.6</w:t>
      </w:r>
      <w:r w:rsidRPr="00032BF3">
        <w:t>%), indicating that O'Dea (2025) was the principal source of the heterogeneity observed in the primary analysis.</w:t>
      </w:r>
    </w:p>
    <w:bookmarkEnd w:id="87"/>
    <w:p w14:paraId="7A5E765C" w14:textId="77777777" w:rsidR="00032BF3" w:rsidRDefault="00032BF3" w:rsidP="00032BF3">
      <w:pPr>
        <w:spacing w:after="120" w:line="360" w:lineRule="auto"/>
        <w:jc w:val="both"/>
      </w:pPr>
    </w:p>
    <w:p w14:paraId="462CF742" w14:textId="42344A8D" w:rsidR="00032BF3" w:rsidRPr="00032BF3" w:rsidRDefault="00032BF3" w:rsidP="00032BF3">
      <w:pPr>
        <w:spacing w:after="120" w:line="360" w:lineRule="auto"/>
        <w:jc w:val="both"/>
        <w:rPr>
          <w:b/>
          <w:bCs/>
          <w:noProof/>
        </w:rPr>
      </w:pPr>
      <w:r w:rsidRPr="00032BF3">
        <w:rPr>
          <w:b/>
          <w:bCs/>
          <w:noProof/>
        </w:rPr>
        <w:t xml:space="preserve">Figure </w:t>
      </w:r>
      <w:r>
        <w:rPr>
          <w:rFonts w:hint="eastAsia"/>
          <w:b/>
          <w:bCs/>
          <w:noProof/>
        </w:rPr>
        <w:t>X</w:t>
      </w:r>
      <w:r w:rsidRPr="00032BF3">
        <w:rPr>
          <w:b/>
          <w:bCs/>
          <w:noProof/>
        </w:rPr>
        <w:t>. Baujat Plot</w:t>
      </w:r>
    </w:p>
    <w:p w14:paraId="543E88BD" w14:textId="2FC05A63" w:rsidR="00290689" w:rsidRDefault="00A870EB" w:rsidP="00835B35">
      <w:pPr>
        <w:spacing w:after="120" w:line="360" w:lineRule="auto"/>
      </w:pPr>
      <w:r>
        <w:rPr>
          <w:rFonts w:hint="eastAsia"/>
          <w:noProof/>
        </w:rPr>
        <w:drawing>
          <wp:inline distT="0" distB="0" distL="0" distR="0" wp14:anchorId="01584DE1" wp14:editId="77B13C8F">
            <wp:extent cx="5943600" cy="4754880"/>
            <wp:effectExtent l="0" t="0" r="0" b="7620"/>
            <wp:docPr id="1682822614" name="图片 4"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22614" name="图片 4" descr="图表, 散点图&#10;&#10;描述已自动生成"/>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3264CD1E" w14:textId="298D16C5" w:rsidR="00D450DC" w:rsidRDefault="00032BF3" w:rsidP="00032BF3">
      <w:pPr>
        <w:spacing w:after="120"/>
        <w:jc w:val="both"/>
      </w:pPr>
      <w:r w:rsidRPr="00032BF3">
        <w:rPr>
          <w:i/>
          <w:iCs/>
        </w:rPr>
        <w:t>Note</w:t>
      </w:r>
      <w:r w:rsidRPr="00032BF3">
        <w:t xml:space="preserve">. </w:t>
      </w:r>
      <w:proofErr w:type="spellStart"/>
      <w:r w:rsidRPr="00032BF3">
        <w:t>Baujat</w:t>
      </w:r>
      <w:proofErr w:type="spellEnd"/>
      <w:r w:rsidRPr="00032BF3">
        <w:t xml:space="preserve"> plot (</w:t>
      </w:r>
      <w:proofErr w:type="spellStart"/>
      <w:r w:rsidRPr="00032BF3">
        <w:t>Baujat</w:t>
      </w:r>
      <w:proofErr w:type="spellEnd"/>
      <w:r w:rsidRPr="00032BF3">
        <w:t xml:space="preserve"> et al., 2002) for the acceptability meta-analysis, displaying each study's contribution to overall between-study heterogeneity (x-axis; squared Pearson residual) against its influence on the pooled risk ratio when removed from the analysis (y-axis). Studies located in the upper-right quadrant of the plot contribute substantially to both observed heterogeneity and the pooled estimate. O'Dea (2025) is the only study clearly separated from the origin, occupying the upper-right region; all other studies cluster </w:t>
      </w:r>
      <w:bookmarkEnd w:id="88"/>
      <w:r w:rsidRPr="00032BF3">
        <w:lastRenderedPageBreak/>
        <w:t>near the lower-left corner, indicating minimal individual contribution to either heterogeneity or pooled effect. This pattern identifies O'Dea (2025) as the principal source of between-study heterogeneity in the acceptability analysis.</w:t>
      </w:r>
    </w:p>
    <w:p w14:paraId="4E80CF84" w14:textId="77777777" w:rsidR="00032BF3" w:rsidRDefault="00032BF3" w:rsidP="00032BF3">
      <w:pPr>
        <w:spacing w:after="120" w:line="360" w:lineRule="auto"/>
        <w:jc w:val="both"/>
      </w:pPr>
    </w:p>
    <w:bookmarkEnd w:id="89"/>
    <w:p w14:paraId="0290E43C" w14:textId="77777777" w:rsidR="000C3784" w:rsidRPr="00454331" w:rsidRDefault="00D450DC">
      <w:pPr>
        <w:pStyle w:val="1"/>
        <w:pageBreakBefore/>
        <w:rPr>
          <w:rFonts w:eastAsiaTheme="minorEastAsia"/>
        </w:rPr>
      </w:pPr>
      <w:r>
        <w:lastRenderedPageBreak/>
        <w:t>Chapter 5. Discussion and Conclusion</w:t>
      </w:r>
    </w:p>
    <w:p w14:paraId="3528887F" w14:textId="1CABE71F" w:rsidR="004974B7" w:rsidRPr="00454331" w:rsidRDefault="00CB0E6D" w:rsidP="006D6210">
      <w:pPr>
        <w:spacing w:after="120" w:line="360" w:lineRule="auto"/>
        <w:ind w:firstLine="360"/>
        <w:jc w:val="both"/>
      </w:pPr>
      <w:bookmarkStart w:id="90" w:name="OLE_LINK21"/>
      <w:r w:rsidRPr="00CB0E6D">
        <w:t xml:space="preserve">This meta-analysis examined the effects of unguided self-help cognitive behavioral therapy (CBT) on depressive symptoms in adolescents, a population whose access to psychological support is often limited. Fifteen trials were eligible, fourteen of which contributed to the main post-intervention analysis (the cluster-randomized trial by Bohr et al., 2023, was reserved for sensitivity analysis). The number of eligible trials is small, which limits the strength of the conclusions that can be drawn. To address this, the present study added a series of post-hoc analyses, including outlier and leave-one-out diagnostics, planned and post-hoc sensitivity analyses, and an examination of publication bias, </w:t>
      </w:r>
      <w:proofErr w:type="gramStart"/>
      <w:r w:rsidRPr="00CB0E6D">
        <w:t>in order to</w:t>
      </w:r>
      <w:proofErr w:type="gramEnd"/>
      <w:r w:rsidRPr="00CB0E6D">
        <w:t xml:space="preserve"> give the reader a clearer picture of how robust each finding is.</w:t>
      </w:r>
    </w:p>
    <w:p w14:paraId="0D8FC25D" w14:textId="77777777" w:rsidR="00454331" w:rsidRDefault="00454331" w:rsidP="00454331">
      <w:pPr>
        <w:pStyle w:val="2"/>
        <w:rPr>
          <w:rFonts w:eastAsiaTheme="minorEastAsia"/>
        </w:rPr>
      </w:pPr>
      <w:bookmarkStart w:id="91" w:name="OLE_LINK59"/>
      <w:bookmarkEnd w:id="90"/>
      <w:r>
        <w:t>5.1. Summary of Findings</w:t>
      </w:r>
    </w:p>
    <w:p w14:paraId="53E6B978" w14:textId="77777777" w:rsidR="0006772F" w:rsidRPr="0006772F" w:rsidRDefault="0006772F" w:rsidP="0006772F">
      <w:pPr>
        <w:spacing w:after="120" w:line="360" w:lineRule="auto"/>
        <w:ind w:firstLine="360"/>
        <w:jc w:val="both"/>
      </w:pPr>
      <w:r w:rsidRPr="0006772F">
        <w:rPr>
          <w:b/>
          <w:bCs/>
        </w:rPr>
        <w:t>Research trends.</w:t>
      </w:r>
      <w:r w:rsidRPr="0006772F">
        <w:t xml:space="preserve"> Three broad trends emerged from the body of eligible trials. First, in terms of publication period, comparable trials were almost absent before the late 1990s. The number of trials rose around 2010 and has not increased substantially since then. Second, in terms of research design, the field appears to have moved through three phases. In the first phase, before and around 2010, samples were small but reported effects were large, and the dominant delivery format was the printed self-help book </w:t>
      </w:r>
      <w:r w:rsidRPr="0006772F">
        <w:rPr>
          <w:i/>
          <w:iCs/>
        </w:rPr>
        <w:t>Feeling Good</w:t>
      </w:r>
      <w:r w:rsidRPr="0006772F">
        <w:t xml:space="preserve"> (Ackerson et al., 1998; Stice et al., 2008, 2010). In the second phase, roughly between 2011 and 2019, delivery formats </w:t>
      </w:r>
      <w:proofErr w:type="gramStart"/>
      <w:r w:rsidRPr="0006772F">
        <w:t>diversified</w:t>
      </w:r>
      <w:proofErr w:type="gramEnd"/>
      <w:r w:rsidRPr="0006772F">
        <w:t xml:space="preserve"> and study designs moved closer to real-world conditions, each in a different way. This phase can be divided into three strands: trials that deliberately recruited from non-mainstream settings (Fleming et al., 2012; Ranney et al., 2018); a more heterogeneous group that took partial steps toward real-world conditions, for example by adopting a fully unguided format, by simplifying recruitment, or by recruiting a more diverse population (</w:t>
      </w:r>
      <w:proofErr w:type="spellStart"/>
      <w:r w:rsidRPr="0006772F">
        <w:t>Makarushka</w:t>
      </w:r>
      <w:proofErr w:type="spellEnd"/>
      <w:r w:rsidRPr="0006772F">
        <w:t xml:space="preserve">, 2011; Rohde et al., 2015; </w:t>
      </w:r>
      <w:proofErr w:type="spellStart"/>
      <w:r w:rsidRPr="0006772F">
        <w:t>Poppelaars</w:t>
      </w:r>
      <w:proofErr w:type="spellEnd"/>
      <w:r w:rsidRPr="0006772F">
        <w:t xml:space="preserve"> et al., 2016; Ip et al., 2016); and trials that screened help-seeking adolescents in mainstream schools, reproduced the supervision procedures used in routine service settings, and adopted a dose close to that of traditional face-to-face therapy (Stasiak et al., 2014; Smith et al., 2015). The third phase began after 2020. Setting aside the small cluster trial removed from the main analysis, mobile delivery became dominant, and sample sizes were larger than in any earlier phase. Trials in this phase also </w:t>
      </w:r>
      <w:proofErr w:type="gramStart"/>
      <w:r w:rsidRPr="0006772F">
        <w:t>opened up</w:t>
      </w:r>
      <w:proofErr w:type="gramEnd"/>
      <w:r w:rsidRPr="0006772F">
        <w:t xml:space="preserve"> their recruitment, no longer restricting it to specific settings. Researchers began to simulate adolescents' natural help-seeking pathways, and even the recruitment interactions were designed to occur as naturally as possible. At the same time, intervention dose was no longer modeled on face-to-face therapy, and signs of dose reduction began to appear.</w:t>
      </w:r>
    </w:p>
    <w:p w14:paraId="6111DE71" w14:textId="4CAD97C5" w:rsidR="0006772F" w:rsidRDefault="0006772F" w:rsidP="0006772F">
      <w:pPr>
        <w:spacing w:after="120" w:line="360" w:lineRule="auto"/>
        <w:ind w:firstLine="360"/>
        <w:jc w:val="both"/>
      </w:pPr>
      <w:r w:rsidRPr="0006772F">
        <w:t xml:space="preserve">This trend is closely tied to the distribution of effect sizes. The early, small trials produced the largest </w:t>
      </w:r>
      <w:r w:rsidRPr="0006772F">
        <w:lastRenderedPageBreak/>
        <w:t xml:space="preserve">effects in the present sample (for example, Fleming et al., 2012, g = 1.51; Ackerson et al., 1998, g = 1.01; Smith et al., 2015, g = 0.82). The recent, larger, and more naturalistic trials produced effects clustered near or below the small range (for example, O'Dea et al., 2020, g = −0.17; </w:t>
      </w:r>
      <w:proofErr w:type="spellStart"/>
      <w:r w:rsidRPr="0006772F">
        <w:t>Poppelaars</w:t>
      </w:r>
      <w:proofErr w:type="spellEnd"/>
      <w:r w:rsidRPr="0006772F">
        <w:t xml:space="preserve"> et al., 2016, g = −0.01; Ranney et al., 2018, g = 0.02; Stallard et al., 2024, g = 0.21; O'Dea et al., 2025, g = 0.35). The pooled estimate is therefore a weighted average of two contrasting regimes rather than a single homogeneous effect. This pattern is examined further in Section 5.2.</w:t>
      </w:r>
    </w:p>
    <w:p w14:paraId="6A495EF3" w14:textId="77777777" w:rsidR="0006772F" w:rsidRPr="0006772F" w:rsidRDefault="0006772F" w:rsidP="0006772F">
      <w:pPr>
        <w:spacing w:after="120" w:line="360" w:lineRule="auto"/>
        <w:ind w:firstLine="360"/>
        <w:jc w:val="both"/>
      </w:pPr>
      <w:r w:rsidRPr="0006772F">
        <w:rPr>
          <w:b/>
          <w:bCs/>
        </w:rPr>
        <w:t>Overall effect at post-intervention.</w:t>
      </w:r>
      <w:r w:rsidRPr="0006772F">
        <w:t xml:space="preserve"> Consistent with prior evidence on self-help CBT delivery modalities (Bjornstad et al., 2024), the present analysis found a small but statistically significant benefit of unguided self-help CBT over control conditions at post-intervention (g = 0.27, 95% CI [0.06, 0.47]). Against the empirically derived benchmarks for psychotherapy trials in children and adolescents (small = 0.21, medium = 0.34; Nordahl-Hansen et al., 2024), this effect falls in the upper part of the small range and approaches the medium threshold.</w:t>
      </w:r>
    </w:p>
    <w:p w14:paraId="1BCC8B16" w14:textId="77777777" w:rsidR="0006772F" w:rsidRPr="0006772F" w:rsidRDefault="0006772F" w:rsidP="0006772F">
      <w:pPr>
        <w:spacing w:after="120" w:line="360" w:lineRule="auto"/>
        <w:ind w:firstLine="360"/>
        <w:jc w:val="both"/>
      </w:pPr>
      <w:r w:rsidRPr="0006772F">
        <w:rPr>
          <w:b/>
          <w:bCs/>
        </w:rPr>
        <w:t>Durability at follow-up.</w:t>
      </w:r>
      <w:r w:rsidRPr="0006772F">
        <w:t xml:space="preserve"> At follow-up, the pooled estimates were smaller (g = 0.12 at short-term and g = 0.16 at long-term follow-up). At first reading, this might suggest that the intervention effect was broadly maintained over time. This interpretation requires caution for one structural reason: the follow-up analyses were not based on the same set of trials measured repeatedly. They were calculated from different and only partially overlapping subsets of trials. The pooled follow-up estimates therefore cannot show directly whether the effect of any specific intervention was sustained from post-intervention to follow-up.</w:t>
      </w:r>
    </w:p>
    <w:p w14:paraId="110099AC" w14:textId="77777777" w:rsidR="0006772F" w:rsidRPr="0006772F" w:rsidRDefault="0006772F" w:rsidP="0006772F">
      <w:pPr>
        <w:spacing w:after="120" w:line="360" w:lineRule="auto"/>
        <w:ind w:firstLine="360"/>
        <w:jc w:val="both"/>
      </w:pPr>
      <w:r w:rsidRPr="0006772F">
        <w:t xml:space="preserve">The trial-level trajectories also did not show a consistent temporal pattern. Among trials that reported more than one assessment, the effect in Ip et al. (2016) increased over time (from g = 0.21 at post-intervention to g = 0.36 at twelve months), the large Rohde et al. (2015) trial fluctuated only slightly around zero across its repeated assessments, and </w:t>
      </w:r>
      <w:proofErr w:type="spellStart"/>
      <w:r w:rsidRPr="0006772F">
        <w:t>Poppelaars</w:t>
      </w:r>
      <w:proofErr w:type="spellEnd"/>
      <w:r w:rsidRPr="0006772F">
        <w:t xml:space="preserve"> et al. (2016) showed a non-linear pattern across its assessments (−0.01, +0.11, −0.04, +0.28 from post-intervention through twelve months). Given the small number of trials and the wide confidence intervals at each timepoint, these inconsistent trajectories are more plausibly read as sampling variability than as a clear pattern of maintenance or decline. Taken together, unguided self-help CBT may produce a small post-intervention benefit, and that benefit may be at least partially maintained after the intervention ends. However, the follow-up evidence rests on a small number of contributing trials and the trial-level trajectories were not fully consistent, so these analyses were likely underpowered, and the durability of the effect is promising but not yet firmly established. This relative persistence is at least not inconsistent with Bjornstad et al. (2024), who reported that unguided self-help received the most favorable long-term ranking among the delivery modalities they compared, that is, it appeared to decline more slowly than other formats rather than to be larger in magnitude.</w:t>
      </w:r>
    </w:p>
    <w:p w14:paraId="5F140452" w14:textId="77777777" w:rsidR="0006772F" w:rsidRPr="0006772F" w:rsidRDefault="0006772F" w:rsidP="0006772F">
      <w:pPr>
        <w:spacing w:after="120" w:line="360" w:lineRule="auto"/>
        <w:ind w:firstLine="360"/>
        <w:jc w:val="both"/>
      </w:pPr>
      <w:r w:rsidRPr="0006772F">
        <w:rPr>
          <w:b/>
          <w:bCs/>
        </w:rPr>
        <w:t>Moderators of the post-intervention effect.</w:t>
      </w:r>
      <w:r w:rsidRPr="0006772F">
        <w:t xml:space="preserve"> Effect size was examined as a function of control type, </w:t>
      </w:r>
      <w:r w:rsidRPr="0006772F">
        <w:lastRenderedPageBreak/>
        <w:t>baseline severity, age group, non-therapeutic human contact, individual CBT components, dose, and delivery modality. Three of these could not be analyzed formally. Age group lost its usefulness because samples were tightly centered on mid-adolescence, with mean ages near fifteen years across trials. Dose could not be entered into meta-regression because too few trials reported intended dose transparently. Delivery modality could not be examined as a subgroup because the small number of trials was spread across too many distinct formats. These three were therefore summarized descriptively (Section 4.5.5).</w:t>
      </w:r>
    </w:p>
    <w:p w14:paraId="1DF69768" w14:textId="77777777" w:rsidR="0006772F" w:rsidRPr="0006772F" w:rsidRDefault="0006772F" w:rsidP="0006772F">
      <w:pPr>
        <w:spacing w:after="120" w:line="360" w:lineRule="auto"/>
        <w:ind w:firstLine="360"/>
        <w:jc w:val="both"/>
      </w:pPr>
      <w:r w:rsidRPr="0006772F">
        <w:t>For the moderators that were tested, none of the subgroup analyses produced a statistically significant between-group difference (all p for the between-group test &gt; .15). This should not be read as evidence that these characteristics are unimportant. Subgroup tests are substantially underpowered when only fourteen trials are divided across two levels, so the analyses lacked the power to detect between-group differences of plausible size. In addition, because subgroup membership was not randomized, these comparisons are observational and cannot support causal claims about any single intervention feature. With that caution in place, several patterns are worth noting and are interpreted in Section 5.2. In brief, the results converged with prior reviews on most dimensions. The control-type comparison showed similar pooled point estimates but a striking difference in within-group heterogeneity. The human-contact comparison showed nearly identical point estimates (g = 0.31 with human contact versus g = 0.26 without), echoing the adult finding of Tong et al. (2024) that support level did not meaningfully change outcomes. Baseline severity was the one dimension that diverged from prior work, as discussed below.</w:t>
      </w:r>
    </w:p>
    <w:p w14:paraId="181B2D8D" w14:textId="77777777" w:rsidR="0006772F" w:rsidRPr="0006772F" w:rsidRDefault="0006772F" w:rsidP="0006772F">
      <w:pPr>
        <w:spacing w:after="120" w:line="360" w:lineRule="auto"/>
        <w:ind w:firstLine="360"/>
        <w:jc w:val="both"/>
      </w:pPr>
      <w:r w:rsidRPr="0006772F">
        <w:rPr>
          <w:b/>
          <w:bCs/>
        </w:rPr>
        <w:t>Acceptability.</w:t>
      </w:r>
      <w:r w:rsidRPr="0006772F">
        <w:t xml:space="preserve"> Dropout in the intervention arm was higher than in the control arm overall (RR = 1.32, 95% CI [0.96, 1.82] under the random-effects model). Between-trial variation was very large: some trials showed substantial differential dropout, whereas several medium-to-large trials showed dropout close to zero in both arms. Influence diagnostics identified O'Dea et al. (2025) as the single high-influence trial, and removing it reduced the estimate to RR = 1.18 (95% CI [0.91, 1.53]) with near-zero between-trial variance. The trials with the highest differential dropout were generally the recent, large, naturalistic mobile trials, whereas trials conducted in clinical or school settings, especially those in which a venue was </w:t>
      </w:r>
      <w:proofErr w:type="gramStart"/>
      <w:r w:rsidRPr="0006772F">
        <w:t>provided</w:t>
      </w:r>
      <w:proofErr w:type="gramEnd"/>
      <w:r w:rsidRPr="0006772F">
        <w:t xml:space="preserve"> and a teacher or clinician was present, retained participants well even when their intended dose was relatively high. This pattern is interpreted in Section 5.2.4.</w:t>
      </w:r>
    </w:p>
    <w:p w14:paraId="5F697E56" w14:textId="77777777" w:rsidR="0006772F" w:rsidRDefault="0006772F" w:rsidP="0006772F">
      <w:pPr>
        <w:spacing w:after="120" w:line="360" w:lineRule="auto"/>
        <w:ind w:firstLine="360"/>
        <w:jc w:val="both"/>
      </w:pPr>
    </w:p>
    <w:p w14:paraId="4FDD0808" w14:textId="77777777" w:rsidR="0006772F" w:rsidRPr="0006772F" w:rsidRDefault="0006772F" w:rsidP="0006772F">
      <w:pPr>
        <w:spacing w:after="120" w:line="360" w:lineRule="auto"/>
        <w:ind w:firstLine="360"/>
        <w:jc w:val="both"/>
      </w:pPr>
    </w:p>
    <w:bookmarkEnd w:id="91"/>
    <w:p w14:paraId="02D7E571" w14:textId="4C1BFA07" w:rsidR="00D458F4" w:rsidRPr="003C565F" w:rsidRDefault="00D458F4" w:rsidP="00D458F4">
      <w:pPr>
        <w:spacing w:after="120" w:line="360" w:lineRule="auto"/>
        <w:ind w:firstLine="360"/>
        <w:jc w:val="both"/>
        <w:rPr>
          <w:b/>
          <w:bCs/>
        </w:rPr>
      </w:pPr>
    </w:p>
    <w:p w14:paraId="0E20D5A3" w14:textId="2984D02B" w:rsidR="00194998" w:rsidRPr="005E0A57" w:rsidRDefault="00194998" w:rsidP="003C565F">
      <w:pPr>
        <w:spacing w:after="120" w:line="360" w:lineRule="auto"/>
        <w:jc w:val="both"/>
      </w:pPr>
    </w:p>
    <w:p w14:paraId="1EDC5918" w14:textId="77777777" w:rsidR="005E0A57" w:rsidRPr="005E0A57" w:rsidRDefault="005E0A57" w:rsidP="0073323F">
      <w:pPr>
        <w:spacing w:after="120" w:line="360" w:lineRule="auto"/>
        <w:ind w:firstLine="360"/>
        <w:jc w:val="both"/>
      </w:pPr>
    </w:p>
    <w:p w14:paraId="246420E0" w14:textId="77777777" w:rsidR="00C9294D" w:rsidRPr="0073323F" w:rsidRDefault="00C9294D" w:rsidP="0073323F">
      <w:pPr>
        <w:spacing w:after="120" w:line="360" w:lineRule="auto"/>
        <w:jc w:val="both"/>
      </w:pPr>
    </w:p>
    <w:p w14:paraId="0BE2CB77" w14:textId="77777777" w:rsidR="0064448D" w:rsidRPr="006D6210" w:rsidRDefault="0064448D" w:rsidP="006D6210">
      <w:pPr>
        <w:spacing w:after="120" w:line="360" w:lineRule="auto"/>
        <w:ind w:firstLine="360"/>
        <w:jc w:val="both"/>
      </w:pPr>
    </w:p>
    <w:p w14:paraId="2314C40D" w14:textId="4EAC2D40" w:rsidR="000C3784" w:rsidRDefault="001F5182">
      <w:pPr>
        <w:pStyle w:val="2"/>
      </w:pPr>
      <w:r w:rsidRPr="001F5182">
        <w:t>5.3. Interpretation of Subgroup, Sensitivity, and Meta-Regression Findings</w:t>
      </w:r>
    </w:p>
    <w:p w14:paraId="355A16CF" w14:textId="77777777" w:rsidR="0006772F" w:rsidRDefault="00EE1AD5" w:rsidP="00EE1AD5">
      <w:pPr>
        <w:pStyle w:val="3"/>
        <w:rPr>
          <w:rFonts w:eastAsiaTheme="minorEastAsia"/>
        </w:rPr>
      </w:pPr>
      <w:bookmarkStart w:id="92" w:name="OLE_LINK17"/>
      <w:r w:rsidRPr="00EE1AD5">
        <w:t xml:space="preserve">5.3.1 </w:t>
      </w:r>
      <w:bookmarkEnd w:id="92"/>
      <w:r w:rsidR="0006772F" w:rsidRPr="0006772F">
        <w:t>A deployment gradient across the three research phases</w:t>
      </w:r>
    </w:p>
    <w:p w14:paraId="7C75A538" w14:textId="77777777" w:rsidR="0006772F" w:rsidRPr="0006772F" w:rsidRDefault="0006772F" w:rsidP="0006772F">
      <w:pPr>
        <w:spacing w:after="120" w:line="360" w:lineRule="auto"/>
        <w:ind w:firstLine="360"/>
        <w:jc w:val="both"/>
      </w:pPr>
      <w:r w:rsidRPr="0006772F">
        <w:t xml:space="preserve">The clearest organizing pattern is a gradient that runs alongside the three phases described in Section 5.1. As trials moved from early efficacy-style designs toward later effectiveness-style designs, three features changed together: sample size increased, delivery shifted from print to computer to mobile, and effect size fell. The early trials were small, were often conducted under closely supervised or selected conditions, and reported large effects. The recent trials were large, approximated autonomous real-world use, and reported small effects. The pooled post-intervention </w:t>
      </w:r>
      <w:proofErr w:type="gramStart"/>
      <w:r w:rsidRPr="0006772F">
        <w:t>estimate</w:t>
      </w:r>
      <w:proofErr w:type="gramEnd"/>
      <w:r w:rsidRPr="0006772F">
        <w:t xml:space="preserve"> of g = 0.27 sits between these two regimes and should be read as their weighted average rather than as a stable property of "unguided self-help CBT" in the abstract.</w:t>
      </w:r>
    </w:p>
    <w:p w14:paraId="48505253" w14:textId="77777777" w:rsidR="0006772F" w:rsidRPr="0006772F" w:rsidRDefault="0006772F" w:rsidP="0006772F">
      <w:pPr>
        <w:spacing w:after="120" w:line="360" w:lineRule="auto"/>
        <w:ind w:firstLine="360"/>
        <w:jc w:val="both"/>
      </w:pPr>
      <w:r w:rsidRPr="0006772F">
        <w:t xml:space="preserve">Two within-program comparisons make this point concrete, because they hold the intervention itself constant and vary only the deployment context. The first is Stressbusters, evaluated by both Smith et al. (2015) and Wright et al. (2020). Smith et al. recruited a school sample with mild-to-moderate symptoms, used a passive comparator, and reported a large effect (g = 0.82). Wright et al. recruited a clinically referred sample with severe symptoms through a child and adolescent mental health service, used an attention control (a self-help website), and reported a small effect (g = 0.11). The same program produced very different effects, and the difference tracks the comparator and the population rather than the program. The second is SPARX, evaluated by both Fleming et al. (2012) and </w:t>
      </w:r>
      <w:proofErr w:type="spellStart"/>
      <w:r w:rsidRPr="0006772F">
        <w:t>Poppelaars</w:t>
      </w:r>
      <w:proofErr w:type="spellEnd"/>
      <w:r w:rsidRPr="0006772F">
        <w:t xml:space="preserve"> et al. (2016). Fleming et al. recruited a small, high-need sample from alternative education settings and reported a very large effect (g = 1.51). </w:t>
      </w:r>
      <w:proofErr w:type="spellStart"/>
      <w:r w:rsidRPr="0006772F">
        <w:t>Poppelaars</w:t>
      </w:r>
      <w:proofErr w:type="spellEnd"/>
      <w:r w:rsidRPr="0006772F">
        <w:t xml:space="preserve"> et al. recruited a larger, milder, more preventively defined sample of adolescent girls from mainstream schools and reported a null effect (g = −0.01). Again, the program is </w:t>
      </w:r>
      <w:proofErr w:type="gramStart"/>
      <w:r w:rsidRPr="0006772F">
        <w:t>identical</w:t>
      </w:r>
      <w:proofErr w:type="gramEnd"/>
      <w:r w:rsidRPr="0006772F">
        <w:t xml:space="preserve"> and the effect is not, and the difference aligns with baseline need, sample size, and setting.</w:t>
      </w:r>
    </w:p>
    <w:p w14:paraId="4C731317" w14:textId="77777777" w:rsidR="0006772F" w:rsidRPr="0006772F" w:rsidRDefault="0006772F" w:rsidP="0006772F">
      <w:pPr>
        <w:spacing w:after="120" w:line="360" w:lineRule="auto"/>
        <w:ind w:firstLine="360"/>
        <w:jc w:val="both"/>
      </w:pPr>
      <w:r w:rsidRPr="0006772F">
        <w:t xml:space="preserve">These comparisons support the central interpretation that the effect of unguided self-help CBT is not a fixed quantity attached to a particular program or a particular component. It is conditioned by who is reached, how severe their symptoms are, what they are compared against, and how closely the trial reproduces real-world autonomous use. The descriptive treatment of delivery modality fits the same gradient: bibliotherapy dominated the early high-effect phase, stand-alone computer programs dominated the diversifying middle phase, and mobile applications dominated the recent low-effect phase. Delivery modality is therefore better understood as a marker of research era and deployment style than as an </w:t>
      </w:r>
      <w:r w:rsidRPr="0006772F">
        <w:lastRenderedPageBreak/>
        <w:t>independent cause of the effect.</w:t>
      </w:r>
    </w:p>
    <w:p w14:paraId="5A49DBC5" w14:textId="77777777" w:rsidR="0006772F" w:rsidRPr="0006772F" w:rsidRDefault="0006772F" w:rsidP="0006772F"/>
    <w:p w14:paraId="41476EEE" w14:textId="77777777" w:rsidR="0006772F" w:rsidRDefault="0006772F" w:rsidP="00EE1AD5">
      <w:pPr>
        <w:pStyle w:val="3"/>
        <w:rPr>
          <w:rFonts w:eastAsiaTheme="minorEastAsia"/>
        </w:rPr>
      </w:pPr>
      <w:r w:rsidRPr="0006772F">
        <w:t>5.2.2. Why no moderator reached significance, and what the heterogeneity reflects</w:t>
      </w:r>
    </w:p>
    <w:p w14:paraId="0BF7BF3D" w14:textId="6D221C25" w:rsidR="00C46AEA" w:rsidRPr="00C46AEA" w:rsidRDefault="00C46AEA" w:rsidP="00C46AEA">
      <w:pPr>
        <w:spacing w:after="120" w:line="360" w:lineRule="auto"/>
        <w:ind w:firstLine="360"/>
        <w:jc w:val="both"/>
      </w:pPr>
      <w:r w:rsidRPr="00C46AEA">
        <w:t>Two considerations explain why, given the gradient above, no subgroup contrast reached significance. They also caution against reading the contrasts too literally.</w:t>
      </w:r>
    </w:p>
    <w:p w14:paraId="3A7045A7" w14:textId="77777777" w:rsidR="00C46AEA" w:rsidRPr="00C46AEA" w:rsidRDefault="00C46AEA" w:rsidP="00C46AEA">
      <w:pPr>
        <w:spacing w:after="120" w:line="360" w:lineRule="auto"/>
        <w:ind w:firstLine="360"/>
        <w:jc w:val="both"/>
      </w:pPr>
      <w:r w:rsidRPr="00C46AEA">
        <w:t>The first and more important consideration is that subgroup membership was not randomized, so the subgrouping variables are not independently distributed. Passive control, problem-solving present, large effect size, and early small-sample status do not vary freely across the trials. They tend to occur together in the same small set of studies. As a result, a difference between two subgroups cannot be attributed to the defining variable itself, because that variable travels with several others at once. The second consideration is power: with fourteen trials split across two levels, the between-group test cannot detect differences of plausible size.</w:t>
      </w:r>
    </w:p>
    <w:p w14:paraId="002CDDE1" w14:textId="77777777" w:rsidR="00C46AEA" w:rsidRPr="00C46AEA" w:rsidRDefault="00C46AEA" w:rsidP="00C46AEA">
      <w:pPr>
        <w:spacing w:after="120" w:line="360" w:lineRule="auto"/>
        <w:ind w:firstLine="360"/>
        <w:jc w:val="both"/>
      </w:pPr>
      <w:r w:rsidRPr="00C46AEA">
        <w:t xml:space="preserve">A separate point concerns the passive comparator itself, independent of how the subgroups happened to fall. Prior methodological work has cautioned that a waitlist is not an inert comparator. By postponing any change and discouraging help-seeking during the waiting period, a waitlist can suppress the natural improvement that would otherwise occur in the control arm, which inflates the apparent treatment effect (Furukawa et al., 2014). This is a property of the comparator, not of the present sample, and it carries a direct implication for how the results should be read. Effects estimated against passive controls, which make up a substantial share of the trials here, are likely to overstate the benefit that the same intervention would show against a more realistic comparator. Future researchers should therefore lower their expectations for effects benchmarked against waitlist or no-treatment </w:t>
      </w:r>
      <w:proofErr w:type="gramStart"/>
      <w:r w:rsidRPr="00C46AEA">
        <w:t>conditions, and</w:t>
      </w:r>
      <w:proofErr w:type="gramEnd"/>
      <w:r w:rsidRPr="00C46AEA">
        <w:t xml:space="preserve"> should weight effects estimated against minimally active comparators more heavily when judging real-world benefit.</w:t>
      </w:r>
    </w:p>
    <w:p w14:paraId="5448BBC8" w14:textId="77777777" w:rsidR="00C46AEA" w:rsidRPr="00C46AEA" w:rsidRDefault="00C46AEA" w:rsidP="00C46AEA">
      <w:pPr>
        <w:spacing w:after="120" w:line="360" w:lineRule="auto"/>
        <w:ind w:firstLine="360"/>
        <w:jc w:val="both"/>
      </w:pPr>
      <w:r w:rsidRPr="00C46AEA">
        <w:t>Baseline severity was the one dimension on which the present results diverged from prior work. Tong et al. (2024) reported that severity mattered in adults, whereas here the two strata produced nearly identical point estimates (low g = 0.29 versus high g = 0.25) with no significant difference. The most likely explanation is structural rather than substantive. The high-severity stratum contained only five trials, several of which were the clinically recruited severe trials, and it carried high within-group heterogeneity (I² = 76.1%). The moderate-to-severe trials are simply far fewer than the mild-to-moderate trials, so the high-severity estimate is imprecise and may be biased by its small and heterogeneous membership. The finding is therefore best stated as an absence of evidence for severity moderation under low power, not as evidence that severity is irrelevant.</w:t>
      </w:r>
    </w:p>
    <w:p w14:paraId="0558C699" w14:textId="77777777" w:rsidR="00C46AEA" w:rsidRPr="00C46AEA" w:rsidRDefault="00C46AEA" w:rsidP="00C46AEA">
      <w:pPr>
        <w:spacing w:after="120" w:line="360" w:lineRule="auto"/>
        <w:ind w:firstLine="360"/>
        <w:jc w:val="both"/>
      </w:pPr>
      <w:r w:rsidRPr="00C46AEA">
        <w:t xml:space="preserve">The human-contact contrast converged with Tong et al. (2024). The point estimates were nearly </w:t>
      </w:r>
      <w:r w:rsidRPr="00C46AEA">
        <w:lastRenderedPageBreak/>
        <w:t>identical (with human contact g = 0.31, k = 5; without human contact g = 0.26, k = 9), and the fact that only the no-contact subgroup reached significance reflects the lower precision of the smaller and more heterogeneous human-contact subgroup, not a genuine difference in effect. The adult finding that non-therapeutic support level does not meaningfully change outcomes therefore appears to hold in the adolescent self-help context as well.</w:t>
      </w:r>
    </w:p>
    <w:p w14:paraId="39C77C67" w14:textId="77777777" w:rsidR="00C46AEA" w:rsidRPr="00C46AEA" w:rsidRDefault="00C46AEA" w:rsidP="00C46AEA">
      <w:pPr>
        <w:spacing w:after="120" w:line="360" w:lineRule="auto"/>
        <w:ind w:firstLine="360"/>
        <w:jc w:val="both"/>
      </w:pPr>
      <w:r w:rsidRPr="00C46AEA">
        <w:t xml:space="preserve">Finally, the component-count meta-regression was positive in direction but not significant (β = 0.082, 95% CI [−0.037, 0.200], p = .158), and the apparent variance explained (R² = 11.8%) should not be over-interpreted given the non-significant slope and the small number of trials. This positive but null result is consistent with the component-wise subgroup pattern, in which component-present subgroups tended to be slightly larger. It indicates only that adding more components does not reliably increase the effect. An important limitation of scope follows from this. Because the components co-occurred within multi-component packages, the present analysis can speak only to the </w:t>
      </w:r>
      <w:r w:rsidRPr="00C46AEA">
        <w:rPr>
          <w:i/>
          <w:iCs/>
        </w:rPr>
        <w:t>number</w:t>
      </w:r>
      <w:r w:rsidRPr="00C46AEA">
        <w:t xml:space="preserve"> of components, not to the effect of any individual component. It therefore cannot </w:t>
      </w:r>
      <w:proofErr w:type="gramStart"/>
      <w:r w:rsidRPr="00C46AEA">
        <w:t>enter into</w:t>
      </w:r>
      <w:proofErr w:type="gramEnd"/>
      <w:r w:rsidRPr="00C46AEA">
        <w:t xml:space="preserve"> the more fine-grained dialogue with Furukawa et al. (2021), whose component network meta-analysis was able to estimate the contribution of single components such as behavioral activation or relaxation.</w:t>
      </w:r>
    </w:p>
    <w:p w14:paraId="1551072C" w14:textId="34FC4453" w:rsidR="0006772F" w:rsidRPr="0006772F" w:rsidRDefault="0006772F" w:rsidP="00C46AEA">
      <w:pPr>
        <w:spacing w:after="120" w:line="360" w:lineRule="auto"/>
        <w:ind w:firstLine="360"/>
        <w:jc w:val="both"/>
      </w:pPr>
    </w:p>
    <w:p w14:paraId="21028A38" w14:textId="5CA0F6DA" w:rsidR="00EE1AD5" w:rsidRDefault="0006772F" w:rsidP="00EE1AD5">
      <w:pPr>
        <w:pStyle w:val="3"/>
        <w:rPr>
          <w:rFonts w:eastAsiaTheme="minorEastAsia"/>
        </w:rPr>
      </w:pPr>
      <w:r w:rsidRPr="0006772F">
        <w:t>5.2.3. Robustness, small-study effects, and the status of outlier trials</w:t>
      </w:r>
      <w:r w:rsidR="00EE1AD5" w:rsidRPr="00EE1AD5">
        <w:t xml:space="preserve"> </w:t>
      </w:r>
    </w:p>
    <w:p w14:paraId="05D4580C" w14:textId="77777777" w:rsidR="0006772F" w:rsidRPr="0006772F" w:rsidRDefault="0006772F" w:rsidP="0006772F">
      <w:pPr>
        <w:spacing w:after="120" w:line="360" w:lineRule="auto"/>
        <w:ind w:firstLine="360"/>
        <w:jc w:val="both"/>
      </w:pPr>
      <w:r w:rsidRPr="0006772F">
        <w:t>The main post-intervention result was robust to the planned and post-hoc checks. The leave-one-out analysis showed that omitting any single trial, including the outlier, left the pooled effect close to the original estimate (range g = 0.20 to 0.30), with all confidence intervals continuing to exclude zero. The planned sensitivity analyses pointed in the same direction: restricting to peer-reviewed journal articles (g = 0.27), excluding high-risk-of-bias trials (g = 0.22), and restricting to trials in which depression was the primary target (g = 0.35) all preserved a small positive effect. The two post-hoc checks, restricting to endpoint-based effect sizes (g = 0.22) and adding the cluster trial under a range of assumed intraclass correlation values (g ≈ 0.26), did not materially alter the result either.</w:t>
      </w:r>
    </w:p>
    <w:p w14:paraId="3E426A46" w14:textId="77777777" w:rsidR="0006772F" w:rsidRPr="0006772F" w:rsidRDefault="0006772F" w:rsidP="0006772F">
      <w:pPr>
        <w:spacing w:after="120" w:line="360" w:lineRule="auto"/>
        <w:ind w:firstLine="360"/>
        <w:jc w:val="both"/>
      </w:pPr>
      <w:r w:rsidRPr="0006772F">
        <w:t>Publication bias requires a more cautious reading. The formal tests were not significant: Egger's regression test (</w:t>
      </w:r>
      <w:proofErr w:type="gramStart"/>
      <w:r w:rsidRPr="0006772F">
        <w:t>t(</w:t>
      </w:r>
      <w:proofErr w:type="gramEnd"/>
      <w:r w:rsidRPr="0006772F">
        <w:t xml:space="preserve">12) = 1.82, p = .093) and the modified test for standardized mean differences (Pustejovsky &amp; Rodgers, 2019; t(12) = 1.66, p = .123) both fell short of conventional significance. However, the contour-enhanced funnel plot was visually asymmetric, with the least precise trials (Fleming, Ackerson, and Stasiak) located on the positive side and no comparable small trials on the negative side. The trim-and-fill procedure imputed two trials on the negative side and attenuated the estimate from g = 0.27 to g = 0.21, with the confidence interval then crossing zero (95% CI [−0.04, 0.47]). Small-study effects therefore cannot be ruled </w:t>
      </w:r>
      <w:r w:rsidRPr="0006772F">
        <w:lastRenderedPageBreak/>
        <w:t>out, and the pooled effect should be interpreted with that uncertainty in mind.</w:t>
      </w:r>
    </w:p>
    <w:p w14:paraId="14F3D5D3" w14:textId="77777777" w:rsidR="0006772F" w:rsidRPr="0006772F" w:rsidRDefault="0006772F" w:rsidP="0006772F">
      <w:pPr>
        <w:spacing w:after="120" w:line="360" w:lineRule="auto"/>
        <w:ind w:firstLine="360"/>
        <w:jc w:val="both"/>
      </w:pPr>
      <w:r w:rsidRPr="0006772F">
        <w:t>This raises the question of how to treat Fleming et al. (2012), which was the only trial flagged as an outlier, carried a high overall risk of bias driven by Domain 4 (measurement of the outcome), and contributed to the funnel asymmetry. It would be a mistake to dismiss this trial as evidence of a spurious effect. Its target population, adolescents in alternative education settings, reflected genuinely high treatment need, and its Domain 5 (selection of the reported result) was rated low risk. A large effect in a small, high-need sample assessed with an unblinded measure is exactly the kind of estimate that is imprecise and possibly inflated, but it is not the same as an estimate that reflects no true effect. The appropriate stance is to down-weight the trial when interpreting the pooled magnitude, which the random-effects model and the sensitivity analyses already do, while not treating its large effect as fabricated.</w:t>
      </w:r>
    </w:p>
    <w:p w14:paraId="4B5DB2A5" w14:textId="77777777" w:rsidR="00434E1C" w:rsidRPr="00434E1C" w:rsidRDefault="00434E1C" w:rsidP="00434E1C">
      <w:pPr>
        <w:pStyle w:val="3"/>
      </w:pPr>
      <w:r w:rsidRPr="00434E1C">
        <w:t>5.2.4. Acceptability</w:t>
      </w:r>
    </w:p>
    <w:p w14:paraId="649B36A9" w14:textId="77777777" w:rsidR="00434E1C" w:rsidRPr="00434E1C" w:rsidRDefault="00434E1C" w:rsidP="00434E1C">
      <w:pPr>
        <w:spacing w:after="120" w:line="360" w:lineRule="auto"/>
        <w:ind w:firstLine="360"/>
        <w:jc w:val="both"/>
      </w:pPr>
      <w:r w:rsidRPr="00434E1C">
        <w:t>The acceptability finding fits the same deployment gradient. Dropout was directionally higher in the intervention arm overall, and the apparent strength of this conclusion depended on the model. Under the common-effect Mantel-Haenszel estimate the difference was large and significant (RR = 1.49, 95% CI [1.24, 1.80]), whereas under the prespecified random-effects model with the Hartung-Knapp adjustment it was smaller and not significant (RR = 1.32, 95% CI [0.96, 1.82]). The attenuation under the random-effects model is expected, because that model incorporates between-trial heterogeneity into the standard error and the Hartung-Knapp adjustment widens the interval.</w:t>
      </w:r>
    </w:p>
    <w:p w14:paraId="6DAFBC06" w14:textId="7A52A94E" w:rsidR="0006772F" w:rsidRPr="0006772F" w:rsidRDefault="00434E1C" w:rsidP="00434E1C">
      <w:pPr>
        <w:spacing w:after="120" w:line="360" w:lineRule="auto"/>
        <w:ind w:firstLine="360"/>
        <w:jc w:val="both"/>
      </w:pPr>
      <w:r w:rsidRPr="00434E1C">
        <w:t xml:space="preserve">The more informative observation concerns where the heterogeneity came from. It was driven almost entirely by O'Dea et al. (2025), the only trial in the upper-right quadrant of the </w:t>
      </w:r>
      <w:proofErr w:type="spellStart"/>
      <w:r w:rsidRPr="00434E1C">
        <w:t>Baujat</w:t>
      </w:r>
      <w:proofErr w:type="spellEnd"/>
      <w:r w:rsidRPr="00434E1C">
        <w:t xml:space="preserve"> plot, and removing it left near-zero between-trial variance (RR = 1.18, I² = 13.6%). Reading the trials in context, the highest differential dropout occurred in the recent, large, naturalistic mobile trials, of which O'Dea et al. (2025) is the clearest example. By contrast, trials conducted in clinical or school settings, especially those that provided a physical venue and an on-site adult, retained participants well even when their intended dose was relatively high. Several middle-phase trials with high baseline treatment need also showed low dropout. The implication is that acceptability, like effectiveness, is conditioned by deployment context. The more a program approximates fully autonomous real-world use, the more it tends to lose participants and the smaller its measured effect; conversely, structure, supervision, and a defined setting improve retention but are less representative of the unsupervised conditions under which such programs are ultimately meant to be used.</w:t>
      </w:r>
    </w:p>
    <w:p w14:paraId="3D67CA83" w14:textId="58592FE0" w:rsidR="000C3784" w:rsidRDefault="00D450DC">
      <w:pPr>
        <w:pStyle w:val="2"/>
      </w:pPr>
      <w:r>
        <w:t>5.</w:t>
      </w:r>
      <w:r w:rsidR="00C46AEA">
        <w:rPr>
          <w:rFonts w:eastAsiaTheme="minorEastAsia" w:hint="eastAsia"/>
        </w:rPr>
        <w:t>3</w:t>
      </w:r>
      <w:r>
        <w:t>. Limitations</w:t>
      </w:r>
    </w:p>
    <w:p w14:paraId="564C3BEF" w14:textId="2DE170DD" w:rsidR="00C46AEA" w:rsidRPr="00C46AEA" w:rsidRDefault="00C46AEA" w:rsidP="00C46AEA">
      <w:pPr>
        <w:spacing w:after="120" w:line="360" w:lineRule="auto"/>
        <w:ind w:firstLine="360"/>
        <w:jc w:val="both"/>
      </w:pPr>
      <w:r w:rsidRPr="00C46AEA">
        <w:lastRenderedPageBreak/>
        <w:t>Several limitations should be considered when interpreting these findings, and most of them follow from a single design decision.</w:t>
      </w:r>
    </w:p>
    <w:p w14:paraId="45A42A72" w14:textId="77777777" w:rsidR="00C46AEA" w:rsidRPr="00C46AEA" w:rsidRDefault="00C46AEA" w:rsidP="00C46AEA">
      <w:pPr>
        <w:spacing w:after="120" w:line="360" w:lineRule="auto"/>
        <w:ind w:firstLine="360"/>
        <w:jc w:val="both"/>
      </w:pPr>
      <w:r w:rsidRPr="00C46AEA">
        <w:t xml:space="preserve">First, the eligibility criteria were deliberately constructed to keep the included trials close to the real help-seeking ecology of adolescents, </w:t>
      </w:r>
      <w:proofErr w:type="gramStart"/>
      <w:r w:rsidRPr="00C46AEA">
        <w:t>in particular by</w:t>
      </w:r>
      <w:proofErr w:type="gramEnd"/>
      <w:r w:rsidRPr="00C46AEA">
        <w:t xml:space="preserve"> requiring a strictly unguided format and by defining the population and comparator narrowly. This decision improved the conceptual coherence of the sample but reduced its size, and the small number of trials is the root cause of several downstream constraints. Two consequences deserve explicit mention. The first concerns the handling of effect sizes. To preserve power when entering subgroup and regression analyses, change-score and endpoint standardized mean differences were combined following the empirical justification of </w:t>
      </w:r>
      <w:proofErr w:type="spellStart"/>
      <w:r w:rsidRPr="00C46AEA">
        <w:t>Ostinelli</w:t>
      </w:r>
      <w:proofErr w:type="spellEnd"/>
      <w:r w:rsidRPr="00C46AEA">
        <w:t xml:space="preserve"> et al. (2024). Whether that justification, derived from a large set of internet-based CBT trials in a broader population, transfers exactly to the present adolescent sample remains uncertain. The second concerns analytic depth. With so few trials, the more rigorous analytic frameworks developed in prior work could not be fully reproduced. Trials had to be merged selectively according to a small number of key features, which left substantial within-subgroup heterogeneity, sharply limited interpretation, and constrained the dialogue with previous research.</w:t>
      </w:r>
    </w:p>
    <w:p w14:paraId="45FD4376" w14:textId="77777777" w:rsidR="00C46AEA" w:rsidRPr="00C46AEA" w:rsidRDefault="00C46AEA" w:rsidP="00C46AEA">
      <w:pPr>
        <w:spacing w:after="120" w:line="360" w:lineRule="auto"/>
        <w:ind w:firstLine="360"/>
        <w:jc w:val="both"/>
      </w:pPr>
      <w:r w:rsidRPr="00C46AEA">
        <w:t xml:space="preserve">A related structural limitation is program-level clustering. Of the fourteen trials in the main analysis, seven evaluated only three program families: the </w:t>
      </w:r>
      <w:r w:rsidRPr="00C46AEA">
        <w:rPr>
          <w:i/>
          <w:iCs/>
        </w:rPr>
        <w:t>Feeling Good</w:t>
      </w:r>
      <w:r w:rsidRPr="00C46AEA">
        <w:t xml:space="preserve"> bibliotherapy (k = 3), </w:t>
      </w:r>
      <w:r w:rsidRPr="00C46AEA">
        <w:rPr>
          <w:i/>
          <w:iCs/>
        </w:rPr>
        <w:t>SPARX</w:t>
      </w:r>
      <w:r w:rsidRPr="00C46AEA">
        <w:t xml:space="preserve"> (k = 2), and </w:t>
      </w:r>
      <w:r w:rsidRPr="00C46AEA">
        <w:rPr>
          <w:i/>
          <w:iCs/>
        </w:rPr>
        <w:t>Stressbusters</w:t>
      </w:r>
      <w:r w:rsidRPr="00C46AEA">
        <w:t xml:space="preserve"> (k = 2). Roughly half of the evidence base therefore comes from three programs, so the component-level and feature-level contrasts are partly confounded with program-level differences. A multilevel meta-analysis that </w:t>
      </w:r>
      <w:proofErr w:type="gramStart"/>
      <w:r w:rsidRPr="00C46AEA">
        <w:t>models</w:t>
      </w:r>
      <w:proofErr w:type="gramEnd"/>
      <w:r w:rsidRPr="00C46AEA">
        <w:t xml:space="preserve"> trials nested within programs would be the appropriate response, but it was not feasible with fourteen trials. This confound should be kept in mind whenever a subgroup difference is interpreted.</w:t>
      </w:r>
    </w:p>
    <w:p w14:paraId="2011DCDC" w14:textId="77777777" w:rsidR="00C46AEA" w:rsidRPr="00C46AEA" w:rsidRDefault="00C46AEA" w:rsidP="00C46AEA">
      <w:pPr>
        <w:spacing w:after="120" w:line="360" w:lineRule="auto"/>
        <w:ind w:firstLine="360"/>
        <w:jc w:val="both"/>
      </w:pPr>
      <w:r w:rsidRPr="00C46AEA">
        <w:t>Second, the evidence base is geographically and culturally narrow. Most trials were conducted in Western, high-income countries. There were partial exceptions, most notably Ip et al. (2016), a culturally adapted Hong Kong trial that reported a respectable effect and was the only trial to show a clean increase in effect at follow-up, and several trials attempted to recruit across socioeconomic and ethnic groups. Even so, the overall context remains homogeneous, and whether these results transfer to other settings, including East Asian service contexts, is unknown.</w:t>
      </w:r>
    </w:p>
    <w:p w14:paraId="6852B957" w14:textId="77777777" w:rsidR="00C46AEA" w:rsidRDefault="00C46AEA" w:rsidP="00C46AEA">
      <w:pPr>
        <w:spacing w:after="120" w:line="360" w:lineRule="auto"/>
        <w:ind w:firstLine="360"/>
        <w:jc w:val="both"/>
      </w:pPr>
      <w:r w:rsidRPr="00C46AEA">
        <w:t xml:space="preserve">Third, the author encountered clear methodological constraints during this review. Some recent advances were available and were used, such as the recognition that a waitlist is not a neutral comparator and the use of empirically derived effect-size benchmarks for child and adolescent depression. Other relevant tools were either still in development or could not be located within the resources of a single author. The most concrete difficulty was risk-of-bias assessment. Under </w:t>
      </w:r>
      <w:proofErr w:type="spellStart"/>
      <w:r w:rsidRPr="00C46AEA">
        <w:t>RoB</w:t>
      </w:r>
      <w:proofErr w:type="spellEnd"/>
      <w:r w:rsidRPr="00C46AEA">
        <w:t xml:space="preserve"> 2.0, Domain 2 (deviations from intended interventions) had to be rated as raising some concerns in most included trials. This reflects a </w:t>
      </w:r>
      <w:r w:rsidRPr="00C46AEA">
        <w:lastRenderedPageBreak/>
        <w:t>structural feature of the field rather than poor conduct of individual trials, because blinding of participants and personnel is barely feasible in unguided self-help. Applying a tool developed primarily for medical trials to psychotherapy trials therefore has real limitations, and the resulting Domain 2 ratings are less informative for the reader about where the genuine risk lies than the same ratings would be in a drug trial.</w:t>
      </w:r>
    </w:p>
    <w:p w14:paraId="1B852060" w14:textId="79C3A413" w:rsidR="003860E3" w:rsidRPr="003860E3" w:rsidRDefault="003860E3" w:rsidP="00C46AEA">
      <w:pPr>
        <w:spacing w:after="120" w:line="360" w:lineRule="auto"/>
        <w:ind w:firstLine="360"/>
        <w:jc w:val="both"/>
      </w:pPr>
      <w:r>
        <w:rPr>
          <w:rFonts w:hint="eastAsia"/>
        </w:rPr>
        <w:t>Fourth, o</w:t>
      </w:r>
      <w:r w:rsidRPr="003860E3">
        <w:t>ne limitation concerns the handling of trial registration records during screening.</w:t>
      </w:r>
      <w:r>
        <w:rPr>
          <w:rFonts w:hint="eastAsia"/>
        </w:rPr>
        <w:t xml:space="preserve"> </w:t>
      </w:r>
      <w:r>
        <w:t>T</w:t>
      </w:r>
      <w:r>
        <w:rPr>
          <w:rFonts w:hint="eastAsia"/>
        </w:rPr>
        <w:t xml:space="preserve">he trial registration-only records were excluded during screening when no </w:t>
      </w:r>
      <w:proofErr w:type="gramStart"/>
      <w:r>
        <w:rPr>
          <w:rFonts w:hint="eastAsia"/>
        </w:rPr>
        <w:t>publicly</w:t>
      </w:r>
      <w:proofErr w:type="gramEnd"/>
      <w:r>
        <w:rPr>
          <w:rFonts w:hint="eastAsia"/>
        </w:rPr>
        <w:t xml:space="preserve"> results </w:t>
      </w:r>
      <w:r w:rsidR="00F37C88">
        <w:rPr>
          <w:rFonts w:hint="eastAsia"/>
        </w:rPr>
        <w:t xml:space="preserve">were available </w:t>
      </w:r>
      <w:r>
        <w:rPr>
          <w:rFonts w:hint="eastAsia"/>
        </w:rPr>
        <w:t xml:space="preserve">or </w:t>
      </w:r>
      <w:r w:rsidR="00F37C88">
        <w:rPr>
          <w:rFonts w:hint="eastAsia"/>
        </w:rPr>
        <w:t xml:space="preserve">no </w:t>
      </w:r>
      <w:r>
        <w:rPr>
          <w:rFonts w:hint="eastAsia"/>
        </w:rPr>
        <w:t>extractable outcome were provided. This review did not contact authors to obtain unpublished results. Therefore, some completed but unpublished trials may have been missed.</w:t>
      </w:r>
    </w:p>
    <w:p w14:paraId="535BA730" w14:textId="489D1B24" w:rsidR="000C3784" w:rsidRDefault="00D450DC" w:rsidP="003860E3">
      <w:pPr>
        <w:pStyle w:val="2"/>
      </w:pPr>
      <w:r>
        <w:t>5.</w:t>
      </w:r>
      <w:r w:rsidR="00C46AEA">
        <w:rPr>
          <w:rFonts w:hint="eastAsia"/>
        </w:rPr>
        <w:t>4</w:t>
      </w:r>
      <w:r>
        <w:t>. Implications and Future Directions</w:t>
      </w:r>
    </w:p>
    <w:p w14:paraId="4AC73687" w14:textId="77777777" w:rsidR="00824877" w:rsidRPr="00824877" w:rsidRDefault="00824877" w:rsidP="00824877">
      <w:pPr>
        <w:pStyle w:val="3"/>
      </w:pPr>
      <w:r w:rsidRPr="00824877">
        <w:t>5.4.1. For developers of unguided self-help interventions</w:t>
      </w:r>
    </w:p>
    <w:p w14:paraId="052C964D" w14:textId="32873EB1" w:rsidR="00C46AEA" w:rsidRPr="00C46AEA" w:rsidRDefault="00C46AEA" w:rsidP="00C46AEA">
      <w:pPr>
        <w:spacing w:after="120" w:line="360" w:lineRule="auto"/>
        <w:ind w:firstLine="360"/>
        <w:jc w:val="both"/>
      </w:pPr>
      <w:r w:rsidRPr="00C46AEA">
        <w:t>The central practical message is not discouraging, even though the most realistic, large, real-world trials produced the smallest effects. Effectiveness and efficacy are different things, and accessibility and measured effect are not independent of each other. A program that reaches adolescents who would otherwise receive no support at all can be worthwhile even when its average effect is small, provided the goal of person-centered support remains in view. Several concrete suggestions follow from the present findings.</w:t>
      </w:r>
    </w:p>
    <w:p w14:paraId="1A8EC737" w14:textId="77777777" w:rsidR="00C46AEA" w:rsidRPr="00C46AEA" w:rsidRDefault="00C46AEA" w:rsidP="00C46AEA">
      <w:pPr>
        <w:spacing w:after="120" w:line="360" w:lineRule="auto"/>
        <w:ind w:firstLine="360"/>
        <w:jc w:val="both"/>
      </w:pPr>
      <w:r w:rsidRPr="00C46AEA">
        <w:t xml:space="preserve">First, design around a concrete user. Developers can begin by asking which depressed adolescent a program is </w:t>
      </w:r>
      <w:proofErr w:type="gramStart"/>
      <w:r w:rsidRPr="00C46AEA">
        <w:t>actually meant</w:t>
      </w:r>
      <w:proofErr w:type="gramEnd"/>
      <w:r w:rsidRPr="00C46AEA">
        <w:t xml:space="preserve"> to serve, rather than starting from a fixed list of components that have been "proven effective" in other contexts. The within-program comparisons in Section 5.2.1 show that the same components can produce very different results depending on who receives them.</w:t>
      </w:r>
    </w:p>
    <w:p w14:paraId="727D4824" w14:textId="77777777" w:rsidR="00C46AEA" w:rsidRPr="00C46AEA" w:rsidRDefault="00C46AEA" w:rsidP="00C46AEA">
      <w:pPr>
        <w:spacing w:after="120" w:line="360" w:lineRule="auto"/>
        <w:ind w:firstLine="360"/>
        <w:jc w:val="both"/>
      </w:pPr>
      <w:r w:rsidRPr="00C46AEA">
        <w:t>Second, build supportive structure into the intervention rather than treating it as a feature of the research setting. The trials with the lowest dropout and the largest effects were typically those with a defined venue and an on-site adult. These conditions are usually present during a trial and absent during real deployment. If supervision and a structured setting reliably improve retention and outcomes, they should be designed into the program itself, so that the benefit is not lost the moment the program leaves the research context.</w:t>
      </w:r>
    </w:p>
    <w:p w14:paraId="4B459200" w14:textId="77777777" w:rsidR="00C46AEA" w:rsidRPr="00C46AEA" w:rsidRDefault="00C46AEA" w:rsidP="00C46AEA">
      <w:pPr>
        <w:spacing w:after="120" w:line="360" w:lineRule="auto"/>
        <w:ind w:firstLine="360"/>
        <w:jc w:val="both"/>
      </w:pPr>
      <w:r w:rsidRPr="00C46AEA">
        <w:t>Third, take cultural adaptation seriously. The strong performance and clean follow-up trajectory of the only culturally adapted trial in the sample (Ip et al., 2016) is a single data point, but it points toward the value of adapting programs to local language, educational context, and help-seeking norms rather than transplanting them unchanged.</w:t>
      </w:r>
    </w:p>
    <w:p w14:paraId="46FEECD5" w14:textId="77777777" w:rsidR="00C46AEA" w:rsidRPr="00C46AEA" w:rsidRDefault="00C46AEA" w:rsidP="00C46AEA">
      <w:pPr>
        <w:spacing w:after="120" w:line="360" w:lineRule="auto"/>
        <w:ind w:firstLine="360"/>
        <w:jc w:val="both"/>
      </w:pPr>
      <w:r w:rsidRPr="00C46AEA">
        <w:t xml:space="preserve">Fourth, account for the changing technological context. Almost </w:t>
      </w:r>
      <w:proofErr w:type="gramStart"/>
      <w:r w:rsidRPr="00C46AEA">
        <w:t>all of</w:t>
      </w:r>
      <w:proofErr w:type="gramEnd"/>
      <w:r w:rsidRPr="00C46AEA">
        <w:t xml:space="preserve"> the included trials were conducted </w:t>
      </w:r>
      <w:r w:rsidRPr="00C46AEA">
        <w:lastRenderedPageBreak/>
        <w:t xml:space="preserve">before large language models became widely available. Today, adolescents routinely have access to conversational AI that offers immediate, low-effort emotional support, and using such tools in this way has become common (Aghakhani &amp; Rezapour, 2026). This matters for unguided self-help </w:t>
      </w:r>
      <w:proofErr w:type="gramStart"/>
      <w:r w:rsidRPr="00C46AEA">
        <w:t>CBT in particular</w:t>
      </w:r>
      <w:proofErr w:type="gramEnd"/>
      <w:r w:rsidRPr="00C46AEA">
        <w:t xml:space="preserve">. When an </w:t>
      </w:r>
      <w:proofErr w:type="gramStart"/>
      <w:r w:rsidRPr="00C46AEA">
        <w:t>always-available</w:t>
      </w:r>
      <w:proofErr w:type="gramEnd"/>
      <w:r w:rsidRPr="00C46AEA">
        <w:t xml:space="preserve"> and effortless alternative is at hand, adolescents may have even less motivation to work through a structured, self-paced program on their own, which could further reduce engagement and completion. Future trials should take this changed context into account, both when designing programs and when interpreting dropout.</w:t>
      </w:r>
    </w:p>
    <w:p w14:paraId="00C0A49E" w14:textId="3CD07142" w:rsidR="00824877" w:rsidRPr="00824877" w:rsidRDefault="00824877" w:rsidP="00C46AEA">
      <w:pPr>
        <w:spacing w:after="120" w:line="360" w:lineRule="auto"/>
        <w:ind w:firstLine="360"/>
        <w:jc w:val="both"/>
        <w:rPr>
          <w:b/>
          <w:bCs/>
        </w:rPr>
      </w:pPr>
      <w:r w:rsidRPr="00824877">
        <w:rPr>
          <w:b/>
          <w:bCs/>
        </w:rPr>
        <w:t>5.4.2. For researchers conducting meta-analyses of psychological interventions</w:t>
      </w:r>
    </w:p>
    <w:p w14:paraId="7977EC08" w14:textId="212C7E8B" w:rsidR="00824877" w:rsidRPr="00824877" w:rsidRDefault="00C46AEA" w:rsidP="00824877">
      <w:pPr>
        <w:spacing w:after="120" w:line="360" w:lineRule="auto"/>
        <w:ind w:firstLine="360"/>
        <w:jc w:val="both"/>
      </w:pPr>
      <w:r w:rsidRPr="00C46AEA">
        <w:t xml:space="preserve">Two suggestions are offered for researchers undertaking similar work, including meta-analyses of psychological interventions more broadly. The first is to follow the groups doing frontier methodological work in this area, including Furukawa, Cuijpers, and the work associated with Harrer and colleagues. When a methodological difficulty arises during a review, it is worth searching first for an established solution, because this literature has advanced considerably in recent years. The second is more specific. While working through the risk-of-bias problems described in Section 5.3, the author found that an operationalization of </w:t>
      </w:r>
      <w:proofErr w:type="spellStart"/>
      <w:r w:rsidRPr="00C46AEA">
        <w:t>RoB</w:t>
      </w:r>
      <w:proofErr w:type="spellEnd"/>
      <w:r w:rsidRPr="00C46AEA">
        <w:t xml:space="preserve"> 2 adapted specifically for psychotherapy trials had recently become available (Miguel et al., 2025; metapsy.org/rob). It provides domain-by-domain guidance and a digital rating assistant for exactly the situations that make standard </w:t>
      </w:r>
      <w:proofErr w:type="spellStart"/>
      <w:r w:rsidRPr="00C46AEA">
        <w:t>RoB</w:t>
      </w:r>
      <w:proofErr w:type="spellEnd"/>
      <w:r w:rsidRPr="00C46AEA">
        <w:t xml:space="preserve"> 2 difficult to apply in this field, including the Domain 2 blinding problem. This operationalization was, at the time of writing, still a preprint undergoing peer review, so it was not used for the ratings in the present review, which relied on the standard Cochrane </w:t>
      </w:r>
      <w:proofErr w:type="spellStart"/>
      <w:r w:rsidRPr="00C46AEA">
        <w:t>RoB</w:t>
      </w:r>
      <w:proofErr w:type="spellEnd"/>
      <w:r w:rsidRPr="00C46AEA">
        <w:t xml:space="preserve"> 2 tool. Researchers facing the same difficulties are encouraged to track this development and to adopt such a tool once it is peer-reviewed and validated.</w:t>
      </w:r>
    </w:p>
    <w:p w14:paraId="181246A1" w14:textId="77777777" w:rsidR="00824877" w:rsidRPr="00824877" w:rsidRDefault="00824877" w:rsidP="00E36508">
      <w:pPr>
        <w:spacing w:after="120" w:line="360" w:lineRule="auto"/>
        <w:ind w:firstLine="360"/>
        <w:jc w:val="both"/>
      </w:pPr>
    </w:p>
    <w:p w14:paraId="4878B3C9" w14:textId="77777777" w:rsidR="00FD0D01" w:rsidRPr="00C63515" w:rsidRDefault="00FD0D01" w:rsidP="00E36508">
      <w:pPr>
        <w:spacing w:after="120" w:line="360" w:lineRule="auto"/>
        <w:ind w:firstLine="360"/>
        <w:jc w:val="both"/>
      </w:pPr>
    </w:p>
    <w:bookmarkEnd w:id="38"/>
    <w:p w14:paraId="3CD756E0" w14:textId="77777777" w:rsidR="00013C4F" w:rsidRDefault="00013C4F" w:rsidP="00013C4F">
      <w:pPr>
        <w:pStyle w:val="2"/>
      </w:pPr>
      <w:r>
        <w:t>5.6. Conclusion</w:t>
      </w:r>
    </w:p>
    <w:p w14:paraId="2C2C90F0" w14:textId="77777777" w:rsidR="00013C4F" w:rsidRPr="00824877" w:rsidRDefault="00013C4F" w:rsidP="00013C4F">
      <w:pPr>
        <w:spacing w:after="120" w:line="360" w:lineRule="auto"/>
        <w:ind w:firstLine="360"/>
        <w:jc w:val="both"/>
      </w:pPr>
      <w:r>
        <w:rPr>
          <w:rFonts w:asciiTheme="minorEastAsia" w:hAnsiTheme="minorEastAsia" w:hint="eastAsia"/>
        </w:rPr>
        <w:t>T</w:t>
      </w:r>
      <w:r w:rsidRPr="00824877">
        <w:t xml:space="preserve">his meta-analysis set out to determine whether unguided self-help CBT reduces depressive symptoms in adolescents, whether any benefit is maintained over time, and which design features are associated with stronger or weaker effects. The answer to the first question is a qualified yes. Across fourteen trials, unguided self-help CBT produced a small but statistically significant benefit at post-intervention (g = 0.27), an effect that reached the upper part of the small range by current benchmarks for this population and that proved robust to leave-one-out and sensitivity analyses, although small-study effects could not be entirely ruled out. The answer to the second question is more tentative. The pooled follow-up effects were smaller </w:t>
      </w:r>
      <w:r w:rsidRPr="00824877">
        <w:lastRenderedPageBreak/>
        <w:t>but still positive, yet because they were drawn from shifting subsets of trials rather than from the same trials measured repeatedly, the durability of the effect is promising rather than established.</w:t>
      </w:r>
    </w:p>
    <w:p w14:paraId="44C11E8E" w14:textId="77777777" w:rsidR="00013C4F" w:rsidRPr="00824877" w:rsidRDefault="00013C4F" w:rsidP="00013C4F">
      <w:pPr>
        <w:spacing w:after="120" w:line="360" w:lineRule="auto"/>
        <w:ind w:firstLine="360"/>
        <w:jc w:val="both"/>
      </w:pPr>
      <w:r w:rsidRPr="00824877">
        <w:t>The answer to the third question is the most informative part of this work, even though no single moderator reached significance. The effect of unguided self-help CBT does not appear to reside in any one program, any one component, or any one form of minimal support. It is conditioned by deployment context. Early, small, closely supervised, high-need trials produced large effects; recent, large, autonomously delivered trials produced small effects and higher dropout; and the pooled estimate is the average of these two regimes. The same logic explains the acceptability findings and the apparent heterogeneity contrasts, which were driven by a small cluster of outlier trials rather than by comparator design. The practical implication is that the field is moving along an accessibility-effectiveness gradient, and that the task ahead is not to abandon unguided formats but to design them around concrete users, to embed supportive structure into the programs themselves, to adapt them to local cultural contexts, and to take seriously the rapidly changing role of conversational AI. For adolescents who would otherwise fall outside the reach of conventional care, a modest but genuine and accessible benefit is a result worth building on.</w:t>
      </w:r>
    </w:p>
    <w:p w14:paraId="3FBDFF7C" w14:textId="77777777" w:rsidR="00013C4F" w:rsidRPr="00824877" w:rsidRDefault="00013C4F" w:rsidP="00013C4F">
      <w:pPr>
        <w:spacing w:after="120" w:line="360" w:lineRule="auto"/>
        <w:ind w:firstLine="360"/>
        <w:jc w:val="both"/>
      </w:pPr>
    </w:p>
    <w:p w14:paraId="39F847D1" w14:textId="77777777" w:rsidR="000C3784" w:rsidRDefault="00D450DC">
      <w:pPr>
        <w:pStyle w:val="1"/>
        <w:pageBreakBefore/>
      </w:pPr>
      <w:r>
        <w:lastRenderedPageBreak/>
        <w:t>References</w:t>
      </w:r>
    </w:p>
    <w:p w14:paraId="274323AF" w14:textId="5A98F3E7" w:rsidR="0071246E" w:rsidRDefault="0071246E" w:rsidP="0071246E">
      <w:pPr>
        <w:spacing w:after="120" w:line="360" w:lineRule="auto"/>
        <w:ind w:left="720" w:hanging="720"/>
      </w:pPr>
      <w:bookmarkStart w:id="93" w:name="_Hlk231486327"/>
      <w:r w:rsidRPr="0071246E">
        <w:t xml:space="preserve">Ackerson, J., Scogin, F., McKendree-Smith, N., &amp; Lyman, R. D. (1998). Cognitive bibliotherapy for mild and moderate adolescent depressive symptomatology. </w:t>
      </w:r>
      <w:r w:rsidRPr="0071246E">
        <w:rPr>
          <w:i/>
          <w:iCs/>
        </w:rPr>
        <w:t>Journal of Consulting and Clinical Psychology, 66</w:t>
      </w:r>
      <w:r w:rsidRPr="0071246E">
        <w:t xml:space="preserve">(4), 685–690. </w:t>
      </w:r>
      <w:hyperlink r:id="rId21" w:history="1">
        <w:r w:rsidR="00871D9C" w:rsidRPr="00EB3CA8">
          <w:rPr>
            <w:rStyle w:val="a5"/>
          </w:rPr>
          <w:t>https://doi.org/10.1037/0022-006X.66.4.685</w:t>
        </w:r>
      </w:hyperlink>
    </w:p>
    <w:p w14:paraId="0B758DD7" w14:textId="3D45510D" w:rsidR="006F24BF" w:rsidRDefault="006F24BF">
      <w:pPr>
        <w:spacing w:after="120" w:line="360" w:lineRule="auto"/>
        <w:ind w:left="720" w:hanging="720"/>
      </w:pPr>
      <w:r w:rsidRPr="006F24BF">
        <w:t xml:space="preserve">Aghakhani, E., &amp; Rezapour, R. (2026). Like a therapist, but not: Reddit narratives of AI in mental health contexts. </w:t>
      </w:r>
      <w:proofErr w:type="spellStart"/>
      <w:r w:rsidRPr="006F24BF">
        <w:t>arXiv</w:t>
      </w:r>
      <w:proofErr w:type="spellEnd"/>
      <w:r w:rsidRPr="006F24BF">
        <w:t xml:space="preserve">. </w:t>
      </w:r>
      <w:hyperlink r:id="rId22" w:history="1">
        <w:r w:rsidRPr="006F24BF">
          <w:rPr>
            <w:rStyle w:val="a5"/>
          </w:rPr>
          <w:t>https://doi.org/10.48550/arXiv.2601.20747</w:t>
        </w:r>
      </w:hyperlink>
    </w:p>
    <w:p w14:paraId="5190D345" w14:textId="61A82A8F" w:rsidR="000C3784" w:rsidRPr="008074FA" w:rsidRDefault="00D450DC">
      <w:pPr>
        <w:spacing w:after="120" w:line="360" w:lineRule="auto"/>
        <w:ind w:left="720" w:hanging="720"/>
      </w:pPr>
      <w:r>
        <w:rPr>
          <w:rFonts w:eastAsia="Times New Roman"/>
        </w:rPr>
        <w:t xml:space="preserve">American Psychiatric Association. (2013). </w:t>
      </w:r>
      <w:r>
        <w:rPr>
          <w:rFonts w:eastAsia="Times New Roman"/>
          <w:i/>
          <w:iCs/>
        </w:rPr>
        <w:t>Diagnostic and statistical manual of mental disorders</w:t>
      </w:r>
      <w:r>
        <w:rPr>
          <w:rFonts w:eastAsia="Times New Roman"/>
        </w:rPr>
        <w:t xml:space="preserve"> (5th ed.). </w:t>
      </w:r>
      <w:r w:rsidRPr="008074FA">
        <w:rPr>
          <w:rFonts w:eastAsia="Times New Roman"/>
        </w:rPr>
        <w:t>American Psychiatric Publishing.</w:t>
      </w:r>
    </w:p>
    <w:p w14:paraId="24A7A0E0" w14:textId="2ABED6C2" w:rsidR="00874DC1" w:rsidRPr="008074FA" w:rsidRDefault="00874DC1">
      <w:pPr>
        <w:spacing w:after="120" w:line="360" w:lineRule="auto"/>
        <w:ind w:left="720" w:hanging="720"/>
      </w:pPr>
      <w:r w:rsidRPr="00874DC1">
        <w:t xml:space="preserve">Angold, A., Costello, E. J., Messer, S. C., Pickles, A., Winder, F., &amp; Silver, D. (1995). Development of a short questionnaire for use in epidemiological studies of depression in children and adolescents. </w:t>
      </w:r>
      <w:r w:rsidRPr="00874DC1">
        <w:rPr>
          <w:i/>
          <w:iCs/>
        </w:rPr>
        <w:t>International Journal of Methods in Psychiatric Research</w:t>
      </w:r>
      <w:r w:rsidRPr="00874DC1">
        <w:t xml:space="preserve">, </w:t>
      </w:r>
      <w:r w:rsidRPr="00874DC1">
        <w:rPr>
          <w:i/>
          <w:iCs/>
        </w:rPr>
        <w:t>5</w:t>
      </w:r>
      <w:r w:rsidRPr="00874DC1">
        <w:t>, 237–249.</w:t>
      </w:r>
    </w:p>
    <w:p w14:paraId="3C05F07C" w14:textId="77777777" w:rsidR="000C3784" w:rsidRDefault="00D450DC">
      <w:pPr>
        <w:spacing w:after="120" w:line="360" w:lineRule="auto"/>
        <w:ind w:left="720" w:hanging="720"/>
      </w:pPr>
      <w:r w:rsidRPr="008074FA">
        <w:rPr>
          <w:rFonts w:eastAsia="Times New Roman"/>
        </w:rPr>
        <w:t xml:space="preserve">Balduzzi, S., Rücker, G., &amp; Schwarzer, G. (2019). </w:t>
      </w:r>
      <w:r>
        <w:rPr>
          <w:rFonts w:eastAsia="Times New Roman"/>
        </w:rPr>
        <w:t xml:space="preserve">How to perform a meta-analysis with R: A practical tutorial. </w:t>
      </w:r>
      <w:r>
        <w:rPr>
          <w:rFonts w:eastAsia="Times New Roman"/>
          <w:i/>
          <w:iCs/>
        </w:rPr>
        <w:t>Evidence-Based Mental Health, 22</w:t>
      </w:r>
      <w:r>
        <w:rPr>
          <w:rFonts w:eastAsia="Times New Roman"/>
        </w:rPr>
        <w:t>, 153–160.</w:t>
      </w:r>
    </w:p>
    <w:p w14:paraId="004E1C0C" w14:textId="01DA2E70" w:rsidR="0068195D" w:rsidRDefault="0068195D">
      <w:pPr>
        <w:spacing w:after="120" w:line="360" w:lineRule="auto"/>
        <w:ind w:left="720" w:hanging="720"/>
      </w:pPr>
      <w:r w:rsidRPr="0068195D">
        <w:t xml:space="preserve">Beck, A. T. (1967). </w:t>
      </w:r>
      <w:r w:rsidRPr="0068195D">
        <w:rPr>
          <w:i/>
          <w:iCs/>
        </w:rPr>
        <w:t>Depression: Clinical, experimental, and theoretical aspects</w:t>
      </w:r>
      <w:r w:rsidRPr="0068195D">
        <w:t>. Harper &amp; Row</w:t>
      </w:r>
      <w:r>
        <w:rPr>
          <w:rFonts w:hint="eastAsia"/>
        </w:rPr>
        <w:t>.</w:t>
      </w:r>
    </w:p>
    <w:p w14:paraId="3847BC63" w14:textId="4836C0E5" w:rsidR="0068195D" w:rsidRDefault="0068195D">
      <w:pPr>
        <w:spacing w:after="120" w:line="360" w:lineRule="auto"/>
        <w:ind w:left="720" w:hanging="720"/>
      </w:pPr>
      <w:r w:rsidRPr="0068195D">
        <w:t xml:space="preserve">Beck, A. T., Rush, A. J., Shaw, B. F., &amp; Emery, G. (1979). </w:t>
      </w:r>
      <w:r w:rsidRPr="0068195D">
        <w:rPr>
          <w:i/>
          <w:iCs/>
        </w:rPr>
        <w:t>Cognitive therapy of depression</w:t>
      </w:r>
      <w:r w:rsidRPr="0068195D">
        <w:t>. Guilford Press.</w:t>
      </w:r>
    </w:p>
    <w:p w14:paraId="695FFE96" w14:textId="77777777" w:rsidR="00874DC1" w:rsidRDefault="00874DC1">
      <w:pPr>
        <w:spacing w:after="120" w:line="360" w:lineRule="auto"/>
        <w:ind w:left="720" w:hanging="720"/>
      </w:pPr>
      <w:r w:rsidRPr="00874DC1">
        <w:t>Beck, A. T., Steer, R. A., &amp; Brown, G. K. (1996). Manual for the Beck Depression Inventory-II. The Psychological Corporation.</w:t>
      </w:r>
    </w:p>
    <w:p w14:paraId="7AA9EB8F" w14:textId="3174D018" w:rsidR="00EE5991" w:rsidRPr="0068195D" w:rsidRDefault="00EE5991">
      <w:pPr>
        <w:spacing w:after="120" w:line="360" w:lineRule="auto"/>
        <w:ind w:left="720" w:hanging="720"/>
      </w:pPr>
      <w:r w:rsidRPr="00EE5991">
        <w:t>Birkjær, K., Arge, L., &amp; Wiking, M. (2020). The impact of major depressive disorder on life satisfaction. Happiness Research Institute.</w:t>
      </w:r>
    </w:p>
    <w:p w14:paraId="2F21062B" w14:textId="77777777" w:rsidR="000C3784" w:rsidRDefault="00D450DC">
      <w:pPr>
        <w:spacing w:after="120" w:line="360" w:lineRule="auto"/>
        <w:ind w:left="720" w:hanging="720"/>
      </w:pPr>
      <w:r>
        <w:rPr>
          <w:rFonts w:eastAsia="Times New Roman"/>
        </w:rPr>
        <w:t xml:space="preserve">Bjornstad, G., </w:t>
      </w:r>
      <w:proofErr w:type="spellStart"/>
      <w:r>
        <w:rPr>
          <w:rFonts w:eastAsia="Times New Roman"/>
        </w:rPr>
        <w:t>Sonthalia</w:t>
      </w:r>
      <w:proofErr w:type="spellEnd"/>
      <w:r>
        <w:rPr>
          <w:rFonts w:eastAsia="Times New Roman"/>
        </w:rPr>
        <w:t xml:space="preserve">, S., Rouse, B., et al. (2024). A comparison of the effectiveness of cognitive </w:t>
      </w:r>
      <w:proofErr w:type="spellStart"/>
      <w:r>
        <w:rPr>
          <w:rFonts w:eastAsia="Times New Roman"/>
        </w:rPr>
        <w:t>behavioural</w:t>
      </w:r>
      <w:proofErr w:type="spellEnd"/>
      <w:r>
        <w:rPr>
          <w:rFonts w:eastAsia="Times New Roman"/>
        </w:rPr>
        <w:t xml:space="preserve"> interventions based on delivery features for elevated symptoms of depression in adolescents: A systematic review. </w:t>
      </w:r>
      <w:r>
        <w:rPr>
          <w:rFonts w:eastAsia="Times New Roman"/>
          <w:i/>
          <w:iCs/>
        </w:rPr>
        <w:t>Campbell Systematic Reviews, 20</w:t>
      </w:r>
      <w:r>
        <w:rPr>
          <w:rFonts w:eastAsia="Times New Roman"/>
        </w:rPr>
        <w:t>, e1376.</w:t>
      </w:r>
    </w:p>
    <w:p w14:paraId="0BBBA6D6" w14:textId="4F4B2851" w:rsidR="00DD2E35" w:rsidRPr="00DD2E35" w:rsidRDefault="00DD2E35">
      <w:pPr>
        <w:spacing w:after="120" w:line="360" w:lineRule="auto"/>
        <w:ind w:left="720" w:hanging="720"/>
      </w:pPr>
      <w:r w:rsidRPr="00B72CF8">
        <w:t xml:space="preserve">Borenstein, M., Higgins, J. P. T., Hedges, L. V., &amp; Rothstein, H. R. (2017). </w:t>
      </w:r>
      <w:r w:rsidRPr="00DD2E35">
        <w:t xml:space="preserve">Basics of meta-analysis: I² is not an absolute measure of heterogeneity. </w:t>
      </w:r>
      <w:r w:rsidRPr="00DD2E35">
        <w:rPr>
          <w:i/>
          <w:iCs/>
        </w:rPr>
        <w:t>Research Synthesis Methods, 8</w:t>
      </w:r>
      <w:r w:rsidRPr="00DD2E35">
        <w:t xml:space="preserve">(1), 5–18. </w:t>
      </w:r>
      <w:hyperlink r:id="rId23" w:history="1">
        <w:r w:rsidRPr="00DD2E35">
          <w:rPr>
            <w:rStyle w:val="a5"/>
          </w:rPr>
          <w:t>https://doi.org/10.1002/jrsm.1230</w:t>
        </w:r>
      </w:hyperlink>
    </w:p>
    <w:p w14:paraId="20F675A4" w14:textId="77777777" w:rsidR="000C3784" w:rsidRDefault="00D450DC">
      <w:pPr>
        <w:spacing w:after="120" w:line="360" w:lineRule="auto"/>
        <w:ind w:left="720" w:hanging="720"/>
      </w:pPr>
      <w:r>
        <w:rPr>
          <w:rFonts w:eastAsia="Times New Roman"/>
        </w:rPr>
        <w:t xml:space="preserve">Cohen, J. (1988). </w:t>
      </w:r>
      <w:r>
        <w:rPr>
          <w:rFonts w:eastAsia="Times New Roman"/>
          <w:i/>
          <w:iCs/>
        </w:rPr>
        <w:t>Statistical power analysis for the behavioral sciences</w:t>
      </w:r>
      <w:r>
        <w:rPr>
          <w:rFonts w:eastAsia="Times New Roman"/>
        </w:rPr>
        <w:t xml:space="preserve"> (2nd ed.). Lawrence Erlbaum.</w:t>
      </w:r>
    </w:p>
    <w:p w14:paraId="2A0BDC23" w14:textId="77777777" w:rsidR="000C3784" w:rsidRDefault="00D450DC">
      <w:pPr>
        <w:spacing w:after="120" w:line="360" w:lineRule="auto"/>
        <w:ind w:left="720" w:hanging="720"/>
      </w:pPr>
      <w:r>
        <w:rPr>
          <w:rFonts w:eastAsia="Times New Roman"/>
        </w:rPr>
        <w:t xml:space="preserve">COVID-19 Mental Disorders Collaborators. (2021). Global prevalence and burden of depressive and anxiety disorders in 204 countries and territories in 2020 due to the COVID-19 pandemic. </w:t>
      </w:r>
      <w:r>
        <w:rPr>
          <w:rFonts w:eastAsia="Times New Roman"/>
          <w:i/>
          <w:iCs/>
        </w:rPr>
        <w:t xml:space="preserve">The </w:t>
      </w:r>
      <w:r>
        <w:rPr>
          <w:rFonts w:eastAsia="Times New Roman"/>
          <w:i/>
          <w:iCs/>
        </w:rPr>
        <w:lastRenderedPageBreak/>
        <w:t>Lancet, 398</w:t>
      </w:r>
      <w:r>
        <w:rPr>
          <w:rFonts w:eastAsia="Times New Roman"/>
        </w:rPr>
        <w:t>(10312), 1700–1712.</w:t>
      </w:r>
    </w:p>
    <w:p w14:paraId="2FAF020C" w14:textId="5FBDAC3F" w:rsidR="00013C4F" w:rsidRPr="00013C4F" w:rsidRDefault="00013C4F">
      <w:pPr>
        <w:spacing w:after="120" w:line="360" w:lineRule="auto"/>
        <w:ind w:left="720" w:hanging="720"/>
      </w:pPr>
      <w:r w:rsidRPr="00013C4F">
        <w:t xml:space="preserve">Cuijpers, P., Turner, E. H., Koole, S. L., van </w:t>
      </w:r>
      <w:proofErr w:type="spellStart"/>
      <w:r w:rsidRPr="00013C4F">
        <w:t>Dijke</w:t>
      </w:r>
      <w:proofErr w:type="spellEnd"/>
      <w:r w:rsidRPr="00013C4F">
        <w:t xml:space="preserve">, A., &amp; Smit, F. (2014). What is the threshold for a clinically relevant effect? The case of major depressive disorders. </w:t>
      </w:r>
      <w:r w:rsidRPr="00013C4F">
        <w:rPr>
          <w:i/>
          <w:iCs/>
        </w:rPr>
        <w:t>Depression and Anxiety, 31</w:t>
      </w:r>
      <w:r w:rsidRPr="00013C4F">
        <w:t>(5), 374–378. https://doi.org/10.1002/da.22249</w:t>
      </w:r>
    </w:p>
    <w:p w14:paraId="75D73DDF" w14:textId="541CD8FA" w:rsidR="00B203C7" w:rsidRPr="00B203C7" w:rsidRDefault="00B203C7">
      <w:pPr>
        <w:spacing w:after="120" w:line="360" w:lineRule="auto"/>
        <w:ind w:left="720" w:hanging="720"/>
      </w:pPr>
      <w:r w:rsidRPr="00B203C7">
        <w:t xml:space="preserve">Cuijpers, P. (2016). </w:t>
      </w:r>
      <w:r w:rsidRPr="00B203C7">
        <w:rPr>
          <w:i/>
          <w:iCs/>
        </w:rPr>
        <w:t>Meta-analyses in mental health research: A practical guide</w:t>
      </w:r>
      <w:r w:rsidRPr="00B203C7">
        <w:t xml:space="preserve">. Pim Cuijpers </w:t>
      </w:r>
      <w:proofErr w:type="spellStart"/>
      <w:r w:rsidRPr="00B203C7">
        <w:t>Uitgeverij</w:t>
      </w:r>
      <w:proofErr w:type="spellEnd"/>
      <w:r w:rsidRPr="00B203C7">
        <w:t>.</w:t>
      </w:r>
    </w:p>
    <w:p w14:paraId="2408F01A" w14:textId="77777777" w:rsidR="000C3784" w:rsidRDefault="00D450DC">
      <w:pPr>
        <w:spacing w:after="120" w:line="360" w:lineRule="auto"/>
        <w:ind w:left="720" w:hanging="720"/>
      </w:pPr>
      <w:r>
        <w:rPr>
          <w:rFonts w:eastAsia="Times New Roman"/>
        </w:rPr>
        <w:t xml:space="preserve">Duval, S., &amp; Tweedie, R. (2000). A nonparametric "trim and fill" method of accounting for publication bias in meta-analysis. </w:t>
      </w:r>
      <w:r>
        <w:rPr>
          <w:rFonts w:eastAsia="Times New Roman"/>
          <w:i/>
          <w:iCs/>
        </w:rPr>
        <w:t>Journal of the American Statistical Association, 95</w:t>
      </w:r>
      <w:r>
        <w:rPr>
          <w:rFonts w:eastAsia="Times New Roman"/>
        </w:rPr>
        <w:t>(449), 89–98.</w:t>
      </w:r>
    </w:p>
    <w:p w14:paraId="01A9E970" w14:textId="7ED78E57" w:rsidR="0054675C" w:rsidRPr="0054675C" w:rsidRDefault="0054675C">
      <w:pPr>
        <w:spacing w:after="120" w:line="360" w:lineRule="auto"/>
        <w:ind w:left="720" w:hanging="720"/>
      </w:pPr>
      <w:r w:rsidRPr="00B72CF8">
        <w:t xml:space="preserve">da Costa, B. R., </w:t>
      </w:r>
      <w:proofErr w:type="spellStart"/>
      <w:r w:rsidRPr="00B72CF8">
        <w:t>Nüesch</w:t>
      </w:r>
      <w:proofErr w:type="spellEnd"/>
      <w:r w:rsidRPr="00B72CF8">
        <w:t xml:space="preserve">, E., </w:t>
      </w:r>
      <w:proofErr w:type="spellStart"/>
      <w:r w:rsidRPr="00B72CF8">
        <w:t>Rutjes</w:t>
      </w:r>
      <w:proofErr w:type="spellEnd"/>
      <w:r w:rsidRPr="00B72CF8">
        <w:t xml:space="preserve">, A. W., Johnston, B. C., Reichenbach, S., Trelle, S., Guyatt, G. H., &amp; </w:t>
      </w:r>
      <w:proofErr w:type="spellStart"/>
      <w:r w:rsidRPr="00B72CF8">
        <w:t>Jüni</w:t>
      </w:r>
      <w:proofErr w:type="spellEnd"/>
      <w:r w:rsidRPr="00B72CF8">
        <w:t xml:space="preserve">, P. (2013). </w:t>
      </w:r>
      <w:r w:rsidRPr="0054675C">
        <w:t xml:space="preserve">Combining follow-up and change data is valid in meta-analyses of continuous outcomes: A meta-epidemiological study. </w:t>
      </w:r>
      <w:r w:rsidRPr="0054675C">
        <w:rPr>
          <w:i/>
          <w:iCs/>
        </w:rPr>
        <w:t>Journal of Clinical Epidemiology, 66</w:t>
      </w:r>
      <w:r w:rsidRPr="0054675C">
        <w:t>(8), 847–855. https://doi.org/10.1016/j.jclinepi.2013.03.009</w:t>
      </w:r>
    </w:p>
    <w:p w14:paraId="05EFD091" w14:textId="77777777" w:rsidR="000C3784" w:rsidRDefault="00D450DC">
      <w:pPr>
        <w:spacing w:after="120" w:line="360" w:lineRule="auto"/>
        <w:ind w:left="720" w:hanging="720"/>
      </w:pPr>
      <w:r w:rsidRPr="00B72CF8">
        <w:rPr>
          <w:rFonts w:eastAsia="Times New Roman"/>
          <w:lang w:val="de-DE"/>
        </w:rPr>
        <w:t xml:space="preserve">Egger, M., Davey Smith, G., Schneider, M., &amp; Minder, C. (1997). </w:t>
      </w:r>
      <w:r>
        <w:rPr>
          <w:rFonts w:eastAsia="Times New Roman"/>
        </w:rPr>
        <w:t xml:space="preserve">Bias in meta-analysis detected by a simple, graphical test. </w:t>
      </w:r>
      <w:r>
        <w:rPr>
          <w:rFonts w:eastAsia="Times New Roman"/>
          <w:i/>
          <w:iCs/>
        </w:rPr>
        <w:t>BMJ, 315</w:t>
      </w:r>
      <w:r>
        <w:rPr>
          <w:rFonts w:eastAsia="Times New Roman"/>
        </w:rPr>
        <w:t>(7109), 629–634.</w:t>
      </w:r>
    </w:p>
    <w:p w14:paraId="6CFA8A57" w14:textId="109895CA" w:rsidR="00874DC1" w:rsidRPr="00874DC1" w:rsidRDefault="00874DC1">
      <w:pPr>
        <w:spacing w:after="120" w:line="360" w:lineRule="auto"/>
        <w:ind w:left="720" w:hanging="720"/>
      </w:pPr>
      <w:r w:rsidRPr="00874DC1">
        <w:t xml:space="preserve">Eaton, W. W., </w:t>
      </w:r>
      <w:proofErr w:type="spellStart"/>
      <w:r w:rsidRPr="00874DC1">
        <w:t>Muntaner</w:t>
      </w:r>
      <w:proofErr w:type="spellEnd"/>
      <w:r w:rsidRPr="00874DC1">
        <w:t xml:space="preserve">, C., Smith, C., Tien, A., &amp; Ybarra, M. (2004). Center for Epidemiologic Studies Depression Scale: Review and revision (CESD and CESD-R). In M. E. </w:t>
      </w:r>
      <w:proofErr w:type="spellStart"/>
      <w:r w:rsidRPr="00874DC1">
        <w:t>Maruish</w:t>
      </w:r>
      <w:proofErr w:type="spellEnd"/>
      <w:r w:rsidRPr="00874DC1">
        <w:t xml:space="preserve"> (Ed.), </w:t>
      </w:r>
      <w:r w:rsidRPr="00874DC1">
        <w:rPr>
          <w:i/>
          <w:iCs/>
        </w:rPr>
        <w:t>The use of psychological testing for treatment planning and outcomes assessment</w:t>
      </w:r>
      <w:r w:rsidRPr="00874DC1">
        <w:t xml:space="preserve"> (3rd ed., pp. 363–377). Mahwah, NJ: Lawrence Erlbaum.</w:t>
      </w:r>
    </w:p>
    <w:p w14:paraId="5C210A37" w14:textId="77777777" w:rsidR="000C3784" w:rsidRDefault="00D450DC">
      <w:pPr>
        <w:spacing w:after="120" w:line="360" w:lineRule="auto"/>
        <w:ind w:left="720" w:hanging="720"/>
      </w:pPr>
      <w:r>
        <w:rPr>
          <w:rFonts w:eastAsia="Times New Roman"/>
        </w:rPr>
        <w:t xml:space="preserve">Furukawa, T. A., Suganuma, A., </w:t>
      </w:r>
      <w:proofErr w:type="spellStart"/>
      <w:r>
        <w:rPr>
          <w:rFonts w:eastAsia="Times New Roman"/>
        </w:rPr>
        <w:t>Ostinelli</w:t>
      </w:r>
      <w:proofErr w:type="spellEnd"/>
      <w:r>
        <w:rPr>
          <w:rFonts w:eastAsia="Times New Roman"/>
        </w:rPr>
        <w:t xml:space="preserve">, E. G., Andersson, G., Beevers, C. G., Shumake, J., … Cuijpers, P. (2021). Dismantling, </w:t>
      </w:r>
      <w:proofErr w:type="spellStart"/>
      <w:r>
        <w:rPr>
          <w:rFonts w:eastAsia="Times New Roman"/>
        </w:rPr>
        <w:t>optimising</w:t>
      </w:r>
      <w:proofErr w:type="spellEnd"/>
      <w:r>
        <w:rPr>
          <w:rFonts w:eastAsia="Times New Roman"/>
        </w:rPr>
        <w:t xml:space="preserve">, and </w:t>
      </w:r>
      <w:proofErr w:type="spellStart"/>
      <w:r>
        <w:rPr>
          <w:rFonts w:eastAsia="Times New Roman"/>
        </w:rPr>
        <w:t>personalising</w:t>
      </w:r>
      <w:proofErr w:type="spellEnd"/>
      <w:r>
        <w:rPr>
          <w:rFonts w:eastAsia="Times New Roman"/>
        </w:rPr>
        <w:t xml:space="preserve"> internet cognitive </w:t>
      </w:r>
      <w:proofErr w:type="spellStart"/>
      <w:r>
        <w:rPr>
          <w:rFonts w:eastAsia="Times New Roman"/>
        </w:rPr>
        <w:t>behavioural</w:t>
      </w:r>
      <w:proofErr w:type="spellEnd"/>
      <w:r>
        <w:rPr>
          <w:rFonts w:eastAsia="Times New Roman"/>
        </w:rPr>
        <w:t xml:space="preserve"> therapy for depression: A systematic review and component network meta-analysis using individual participant data. </w:t>
      </w:r>
      <w:r>
        <w:rPr>
          <w:rFonts w:eastAsia="Times New Roman"/>
          <w:i/>
          <w:iCs/>
        </w:rPr>
        <w:t>The Lancet Psychiatry, 8</w:t>
      </w:r>
      <w:r>
        <w:rPr>
          <w:rFonts w:eastAsia="Times New Roman"/>
        </w:rPr>
        <w:t>(6), 500–511.</w:t>
      </w:r>
    </w:p>
    <w:p w14:paraId="7307B580" w14:textId="79999438" w:rsidR="006F24BF" w:rsidRDefault="006F24BF">
      <w:pPr>
        <w:spacing w:after="120" w:line="360" w:lineRule="auto"/>
        <w:ind w:left="720" w:hanging="720"/>
      </w:pPr>
      <w:r w:rsidRPr="006F24BF">
        <w:t xml:space="preserve">Furukawa, T. A., Noma, H., Caldwell, D. M., </w:t>
      </w:r>
      <w:proofErr w:type="spellStart"/>
      <w:r w:rsidRPr="006F24BF">
        <w:t>Honyashiki</w:t>
      </w:r>
      <w:proofErr w:type="spellEnd"/>
      <w:r w:rsidRPr="006F24BF">
        <w:t xml:space="preserve">, M., Shinohara, K., Imai, H., Chen, P., </w:t>
      </w:r>
      <w:proofErr w:type="spellStart"/>
      <w:r w:rsidRPr="006F24BF">
        <w:t>Hunot</w:t>
      </w:r>
      <w:proofErr w:type="spellEnd"/>
      <w:r w:rsidRPr="006F24BF">
        <w:t xml:space="preserve">, V., &amp; Churchill, R. (2014). Waiting list may be a nocebo condition in psychotherapy trials: a contribution from network meta-analysis. </w:t>
      </w:r>
      <w:r w:rsidRPr="006F24BF">
        <w:rPr>
          <w:i/>
          <w:iCs/>
        </w:rPr>
        <w:t xml:space="preserve">Acta </w:t>
      </w:r>
      <w:proofErr w:type="spellStart"/>
      <w:r w:rsidRPr="006F24BF">
        <w:rPr>
          <w:i/>
          <w:iCs/>
        </w:rPr>
        <w:t>Psychiatrica</w:t>
      </w:r>
      <w:proofErr w:type="spellEnd"/>
      <w:r w:rsidRPr="006F24BF">
        <w:rPr>
          <w:i/>
          <w:iCs/>
        </w:rPr>
        <w:t xml:space="preserve"> Scandinavica, 130</w:t>
      </w:r>
      <w:r w:rsidRPr="006F24BF">
        <w:t xml:space="preserve">(3), 181–192. </w:t>
      </w:r>
      <w:hyperlink r:id="rId24" w:history="1">
        <w:r w:rsidRPr="006F24BF">
          <w:rPr>
            <w:rStyle w:val="a5"/>
          </w:rPr>
          <w:t>https://doi.org/10.1111/acps.12275</w:t>
        </w:r>
      </w:hyperlink>
    </w:p>
    <w:p w14:paraId="1F5A76E9" w14:textId="5FFD5E26" w:rsidR="00742840" w:rsidRPr="006F24BF" w:rsidRDefault="00742840">
      <w:pPr>
        <w:spacing w:after="120" w:line="360" w:lineRule="auto"/>
        <w:ind w:left="720" w:hanging="720"/>
      </w:pPr>
      <w:r w:rsidRPr="00742840">
        <w:t xml:space="preserve">Grist, R., Croker, A., Denne, M., &amp; Stallard, P. (2019). Technology delivered interventions for depression and anxiety in children and adolescents: A systematic review and meta-analysis. </w:t>
      </w:r>
      <w:r w:rsidRPr="00742840">
        <w:rPr>
          <w:i/>
          <w:iCs/>
        </w:rPr>
        <w:t>Clinical Child and Family Psychology Review, 22</w:t>
      </w:r>
      <w:r w:rsidRPr="00742840">
        <w:t xml:space="preserve">, 147–171. </w:t>
      </w:r>
      <w:hyperlink r:id="rId25" w:history="1">
        <w:r w:rsidRPr="00742840">
          <w:rPr>
            <w:rStyle w:val="a5"/>
          </w:rPr>
          <w:t>https://doi.org/10.1007/s10567-018-0271-8</w:t>
        </w:r>
      </w:hyperlink>
    </w:p>
    <w:p w14:paraId="62629774" w14:textId="0F375401" w:rsidR="00225D00" w:rsidRDefault="00225D00">
      <w:pPr>
        <w:spacing w:after="120" w:line="360" w:lineRule="auto"/>
        <w:ind w:left="720" w:hanging="720"/>
      </w:pPr>
      <w:r w:rsidRPr="00225D00">
        <w:t xml:space="preserve">Gulliver, A., Griffiths, K. M., &amp; Christensen, H. (2010). Perceived barriers and facilitators to mental health help-seeking in young people: A systematic review. </w:t>
      </w:r>
      <w:r w:rsidRPr="00225D00">
        <w:rPr>
          <w:i/>
          <w:iCs/>
        </w:rPr>
        <w:t>BMC Psychiatry, 10</w:t>
      </w:r>
      <w:r w:rsidRPr="00225D00">
        <w:t xml:space="preserve">, Article 113. </w:t>
      </w:r>
      <w:hyperlink r:id="rId26" w:tgtFrame="_new" w:history="1">
        <w:r w:rsidRPr="00225D00">
          <w:rPr>
            <w:rStyle w:val="a5"/>
          </w:rPr>
          <w:t>https://doi.org/10.1186/1471-244X-10-113</w:t>
        </w:r>
      </w:hyperlink>
    </w:p>
    <w:p w14:paraId="19A656F2" w14:textId="05E84B6E" w:rsidR="00874DC1" w:rsidRDefault="00874DC1">
      <w:pPr>
        <w:spacing w:after="120" w:line="360" w:lineRule="auto"/>
        <w:ind w:left="720" w:hanging="720"/>
      </w:pPr>
      <w:r w:rsidRPr="00874DC1">
        <w:lastRenderedPageBreak/>
        <w:t xml:space="preserve">Hamilton, M. (1960). A rating scale for depression. </w:t>
      </w:r>
      <w:r w:rsidRPr="00874DC1">
        <w:rPr>
          <w:i/>
          <w:iCs/>
        </w:rPr>
        <w:t>Journal of Neurology, Neurosurgery, and Psychiatry</w:t>
      </w:r>
      <w:r w:rsidRPr="00874DC1">
        <w:t xml:space="preserve">, </w:t>
      </w:r>
      <w:r w:rsidRPr="00874DC1">
        <w:rPr>
          <w:i/>
          <w:iCs/>
        </w:rPr>
        <w:t>23</w:t>
      </w:r>
      <w:r w:rsidRPr="00874DC1">
        <w:t>, 56–62.</w:t>
      </w:r>
    </w:p>
    <w:p w14:paraId="4EC98328" w14:textId="2CA211DB" w:rsidR="00107407" w:rsidRDefault="00107407">
      <w:pPr>
        <w:spacing w:after="120" w:line="360" w:lineRule="auto"/>
        <w:ind w:left="720" w:hanging="720"/>
      </w:pPr>
      <w:r w:rsidRPr="00107407">
        <w:t xml:space="preserve">Harrer, M., Cuijpers, P., Furukawa, T. A., &amp; Ebert, D. D. (2021). </w:t>
      </w:r>
      <w:r w:rsidRPr="00107407">
        <w:rPr>
          <w:i/>
          <w:iCs/>
        </w:rPr>
        <w:t>Doing meta-analysis with R: A hands-on guide</w:t>
      </w:r>
      <w:r w:rsidRPr="00107407">
        <w:t>. Chapman &amp; Hall/CRC Press.</w:t>
      </w:r>
    </w:p>
    <w:p w14:paraId="6DABAC12" w14:textId="4CCF5369" w:rsidR="0054675C" w:rsidRPr="0054675C" w:rsidRDefault="0054675C" w:rsidP="0054675C">
      <w:pPr>
        <w:spacing w:after="120" w:line="360" w:lineRule="auto"/>
        <w:ind w:left="720" w:hanging="720"/>
      </w:pPr>
      <w:r w:rsidRPr="00B72CF8">
        <w:t xml:space="preserve">Harrer, M., Miguel, C., Luo, Y., </w:t>
      </w:r>
      <w:proofErr w:type="spellStart"/>
      <w:r w:rsidRPr="00B72CF8">
        <w:t>Ostinelli</w:t>
      </w:r>
      <w:proofErr w:type="spellEnd"/>
      <w:r w:rsidRPr="00B72CF8">
        <w:t xml:space="preserve">, E. G., </w:t>
      </w:r>
      <w:proofErr w:type="spellStart"/>
      <w:r w:rsidRPr="00B72CF8">
        <w:t>Karyotaki</w:t>
      </w:r>
      <w:proofErr w:type="spellEnd"/>
      <w:r w:rsidRPr="00B72CF8">
        <w:t xml:space="preserve">, E., Leucht, S., Furukawa, T. A., &amp; Cuijpers, P. (2025). </w:t>
      </w:r>
      <w:r w:rsidRPr="0054675C">
        <w:t xml:space="preserve">Standardized effect sizes are far from “standardized”: A primer and empirical illustration in depression psychotherapy meta-analyses. </w:t>
      </w:r>
      <w:r w:rsidRPr="0054675C">
        <w:rPr>
          <w:i/>
          <w:iCs/>
        </w:rPr>
        <w:t>PLOS Mental Health, 2</w:t>
      </w:r>
      <w:r w:rsidRPr="0054675C">
        <w:t xml:space="preserve">(7), Article e0000347. </w:t>
      </w:r>
      <w:hyperlink r:id="rId27" w:tgtFrame="_new" w:history="1">
        <w:r w:rsidRPr="0054675C">
          <w:rPr>
            <w:rStyle w:val="a5"/>
          </w:rPr>
          <w:t>https://doi.org/10.1371/journal.pmen.0000347</w:t>
        </w:r>
      </w:hyperlink>
    </w:p>
    <w:p w14:paraId="43C07CE4" w14:textId="77777777" w:rsidR="000C3784" w:rsidRDefault="00D450DC">
      <w:pPr>
        <w:spacing w:after="120" w:line="360" w:lineRule="auto"/>
        <w:ind w:left="720" w:hanging="720"/>
      </w:pPr>
      <w:r>
        <w:rPr>
          <w:rFonts w:eastAsia="Times New Roman"/>
        </w:rPr>
        <w:t xml:space="preserve">Hedges, L. V., &amp; Olkin, I. (1985). </w:t>
      </w:r>
      <w:r>
        <w:rPr>
          <w:rFonts w:eastAsia="Times New Roman"/>
          <w:i/>
          <w:iCs/>
        </w:rPr>
        <w:t>Statistical methods for meta-analysis</w:t>
      </w:r>
      <w:r>
        <w:rPr>
          <w:rFonts w:eastAsia="Times New Roman"/>
        </w:rPr>
        <w:t>. Academic Press.</w:t>
      </w:r>
    </w:p>
    <w:p w14:paraId="4A841B28" w14:textId="77777777" w:rsidR="000C3784" w:rsidRDefault="00D450DC">
      <w:pPr>
        <w:spacing w:after="120" w:line="360" w:lineRule="auto"/>
        <w:ind w:left="720" w:hanging="720"/>
      </w:pPr>
      <w:r>
        <w:rPr>
          <w:rFonts w:eastAsia="Times New Roman"/>
        </w:rPr>
        <w:t xml:space="preserve">Herrman, H., Patel, V., Kieling, C., et al. (2022). Time for united action on depression: A Lancet–World Psychiatric Association Commission. </w:t>
      </w:r>
      <w:r>
        <w:rPr>
          <w:rFonts w:eastAsia="Times New Roman"/>
          <w:i/>
          <w:iCs/>
        </w:rPr>
        <w:t>The Lancet, 399</w:t>
      </w:r>
      <w:r>
        <w:rPr>
          <w:rFonts w:eastAsia="Times New Roman"/>
        </w:rPr>
        <w:t>(10328), 957–1022.</w:t>
      </w:r>
    </w:p>
    <w:p w14:paraId="38F0C3F6" w14:textId="3AC4C12B" w:rsidR="00071638" w:rsidRPr="00071638" w:rsidRDefault="00071638">
      <w:pPr>
        <w:spacing w:after="120" w:line="360" w:lineRule="auto"/>
        <w:ind w:left="720" w:hanging="720"/>
      </w:pPr>
      <w:r w:rsidRPr="00071638">
        <w:t xml:space="preserve">Hetrick, S. E., Cox, G. R., Witt, K. G., Bir, J. J., &amp; Merry, S. N. (2016). Cognitive </w:t>
      </w:r>
      <w:proofErr w:type="spellStart"/>
      <w:r w:rsidRPr="00071638">
        <w:t>behavioural</w:t>
      </w:r>
      <w:proofErr w:type="spellEnd"/>
      <w:r w:rsidRPr="00071638">
        <w:t xml:space="preserve"> therapy (CBT), third-wave CBT and interpersonal therapy (IPT) based interventions for preventing depression in children and adolescents. Cochrane Database of Systematic Reviews, 2016(8), CD003380.</w:t>
      </w:r>
    </w:p>
    <w:p w14:paraId="4912AFB0" w14:textId="77777777" w:rsidR="000C3784" w:rsidRDefault="00D450DC">
      <w:pPr>
        <w:spacing w:after="120" w:line="360" w:lineRule="auto"/>
        <w:ind w:left="720" w:hanging="720"/>
      </w:pPr>
      <w:r>
        <w:rPr>
          <w:rFonts w:eastAsia="Times New Roman"/>
        </w:rPr>
        <w:t xml:space="preserve">Higgins, J. P. T., Thomas, J., Chandler, J., Cumpston, M., Li, T., Page, M. J., &amp; Welch, V. A. (Eds.). (2021). </w:t>
      </w:r>
      <w:r>
        <w:rPr>
          <w:rFonts w:eastAsia="Times New Roman"/>
          <w:i/>
          <w:iCs/>
        </w:rPr>
        <w:t>Cochrane handbook for systematic reviews of interventions</w:t>
      </w:r>
      <w:r>
        <w:rPr>
          <w:rFonts w:eastAsia="Times New Roman"/>
        </w:rPr>
        <w:t xml:space="preserve"> (Version 6.2). Cochrane.</w:t>
      </w:r>
    </w:p>
    <w:p w14:paraId="6CEACAD3" w14:textId="77777777" w:rsidR="000C3784" w:rsidRDefault="00D450DC">
      <w:pPr>
        <w:spacing w:after="120" w:line="360" w:lineRule="auto"/>
        <w:ind w:left="720" w:hanging="720"/>
      </w:pPr>
      <w:r>
        <w:rPr>
          <w:rFonts w:eastAsia="Times New Roman"/>
        </w:rPr>
        <w:t xml:space="preserve">Higgins, J. P. T., Thompson, S. G., Deeks, J. J., &amp; Altman, D. G. (2003). Measuring inconsistency in meta-analyses. </w:t>
      </w:r>
      <w:r>
        <w:rPr>
          <w:rFonts w:eastAsia="Times New Roman"/>
          <w:i/>
          <w:iCs/>
        </w:rPr>
        <w:t>BMJ, 327</w:t>
      </w:r>
      <w:r>
        <w:rPr>
          <w:rFonts w:eastAsia="Times New Roman"/>
        </w:rPr>
        <w:t>(7414), 557–560.</w:t>
      </w:r>
    </w:p>
    <w:p w14:paraId="5C19437C" w14:textId="06DEBF73" w:rsidR="00871D9C" w:rsidRDefault="00871D9C">
      <w:pPr>
        <w:spacing w:after="120" w:line="360" w:lineRule="auto"/>
        <w:ind w:left="720" w:hanging="720"/>
      </w:pPr>
      <w:proofErr w:type="spellStart"/>
      <w:r w:rsidRPr="00871D9C">
        <w:t>IntHout</w:t>
      </w:r>
      <w:proofErr w:type="spellEnd"/>
      <w:r w:rsidRPr="00871D9C">
        <w:t>, J., Ioannidis, J. P. A., &amp; Borm, G. F. (2014). The Hartung-Knapp-</w:t>
      </w:r>
      <w:proofErr w:type="spellStart"/>
      <w:r w:rsidRPr="00871D9C">
        <w:t>Sidik</w:t>
      </w:r>
      <w:proofErr w:type="spellEnd"/>
      <w:r w:rsidRPr="00871D9C">
        <w:t xml:space="preserve">-Jonkman method for random effects meta-analysis is straightforward and considerably outperforms the standard </w:t>
      </w:r>
      <w:proofErr w:type="spellStart"/>
      <w:r w:rsidRPr="00871D9C">
        <w:t>DerSimonian</w:t>
      </w:r>
      <w:proofErr w:type="spellEnd"/>
      <w:r w:rsidRPr="00871D9C">
        <w:t xml:space="preserve">-Laird method. </w:t>
      </w:r>
      <w:r w:rsidRPr="00871D9C">
        <w:rPr>
          <w:i/>
          <w:iCs/>
        </w:rPr>
        <w:t>BMC Medical Research Methodology, 14</w:t>
      </w:r>
      <w:r w:rsidRPr="00871D9C">
        <w:t xml:space="preserve">, Article 25. </w:t>
      </w:r>
      <w:hyperlink r:id="rId28" w:tgtFrame="_new" w:history="1">
        <w:r w:rsidRPr="00871D9C">
          <w:rPr>
            <w:rStyle w:val="a5"/>
          </w:rPr>
          <w:t>https://doi.org/10.1186/1471-2288-14-25</w:t>
        </w:r>
      </w:hyperlink>
    </w:p>
    <w:p w14:paraId="3DD45CA7" w14:textId="1FDB7931" w:rsidR="00092C7B" w:rsidRPr="00871D9C" w:rsidRDefault="00092C7B">
      <w:pPr>
        <w:spacing w:after="120" w:line="360" w:lineRule="auto"/>
        <w:ind w:left="720" w:hanging="720"/>
      </w:pPr>
      <w:proofErr w:type="spellStart"/>
      <w:r w:rsidRPr="00092C7B">
        <w:t>IntHout</w:t>
      </w:r>
      <w:proofErr w:type="spellEnd"/>
      <w:r w:rsidRPr="00092C7B">
        <w:t xml:space="preserve">, J., Ioannidis, J. P. A., Rovers, M. M., &amp; Goeman, J. J. (2016). Plea for routinely presenting prediction intervals in meta-analysis. </w:t>
      </w:r>
      <w:r w:rsidRPr="00092C7B">
        <w:rPr>
          <w:i/>
          <w:iCs/>
        </w:rPr>
        <w:t>BMJ Open, 6</w:t>
      </w:r>
      <w:r w:rsidRPr="00092C7B">
        <w:t xml:space="preserve">(7), Article e010247. </w:t>
      </w:r>
      <w:hyperlink r:id="rId29" w:history="1">
        <w:r w:rsidRPr="00092C7B">
          <w:rPr>
            <w:rStyle w:val="a5"/>
          </w:rPr>
          <w:t>https://doi.org/10.1136/bmjopen-2015-010247</w:t>
        </w:r>
      </w:hyperlink>
    </w:p>
    <w:p w14:paraId="06740355" w14:textId="77777777" w:rsidR="000C3784" w:rsidRDefault="00D450DC">
      <w:pPr>
        <w:spacing w:after="120" w:line="360" w:lineRule="auto"/>
        <w:ind w:left="720" w:hanging="720"/>
      </w:pPr>
      <w:r>
        <w:rPr>
          <w:rFonts w:eastAsia="Times New Roman"/>
        </w:rPr>
        <w:t xml:space="preserve">Jacobson, N. C., &amp; Newman, M. G. (2017). Anxiety and depression as bidirectional risk factors for one another: A meta-analysis of longitudinal studies. </w:t>
      </w:r>
      <w:r>
        <w:rPr>
          <w:rFonts w:eastAsia="Times New Roman"/>
          <w:i/>
          <w:iCs/>
        </w:rPr>
        <w:t>Psychological Bulletin, 143</w:t>
      </w:r>
      <w:r>
        <w:rPr>
          <w:rFonts w:eastAsia="Times New Roman"/>
        </w:rPr>
        <w:t>(11), 1155–1200.</w:t>
      </w:r>
    </w:p>
    <w:p w14:paraId="4FCEE164" w14:textId="18B286CE" w:rsidR="00874DC1" w:rsidRPr="00874DC1" w:rsidRDefault="00874DC1">
      <w:pPr>
        <w:spacing w:after="120" w:line="360" w:lineRule="auto"/>
        <w:ind w:left="720" w:hanging="720"/>
      </w:pPr>
      <w:r w:rsidRPr="00874DC1">
        <w:t xml:space="preserve">Johnson, J. G., Harris, E. S., Spitzer, R. L., &amp; Williams, J. B. W. (2002). The Patient Health Questionnaire for Adolescents: Validation of an instrument for the assessment of mental disorders among adolescent primary care patients. </w:t>
      </w:r>
      <w:r w:rsidRPr="00874DC1">
        <w:rPr>
          <w:i/>
          <w:iCs/>
        </w:rPr>
        <w:t>Journal of Adolescent Health</w:t>
      </w:r>
      <w:r w:rsidRPr="00874DC1">
        <w:t xml:space="preserve">, </w:t>
      </w:r>
      <w:r w:rsidRPr="00874DC1">
        <w:rPr>
          <w:i/>
          <w:iCs/>
        </w:rPr>
        <w:t>30</w:t>
      </w:r>
      <w:r w:rsidRPr="00874DC1">
        <w:t>(3), 196–204.</w:t>
      </w:r>
    </w:p>
    <w:p w14:paraId="396AAA53" w14:textId="70583CF2" w:rsidR="00874DC1" w:rsidRDefault="00874DC1">
      <w:pPr>
        <w:spacing w:after="120" w:line="360" w:lineRule="auto"/>
        <w:ind w:left="720" w:hanging="720"/>
      </w:pPr>
      <w:r w:rsidRPr="008074FA">
        <w:lastRenderedPageBreak/>
        <w:t xml:space="preserve">Kroenke, K., Spitzer, R. L., &amp; Williams, J. B. (2001). </w:t>
      </w:r>
      <w:r w:rsidRPr="00874DC1">
        <w:t xml:space="preserve">The PHQ-9: Validity of a brief depression severity measure. </w:t>
      </w:r>
      <w:r w:rsidRPr="00874DC1">
        <w:rPr>
          <w:i/>
          <w:iCs/>
        </w:rPr>
        <w:t>Journal of General Internal Medicine</w:t>
      </w:r>
      <w:r w:rsidRPr="00874DC1">
        <w:t xml:space="preserve">, </w:t>
      </w:r>
      <w:r w:rsidRPr="00874DC1">
        <w:rPr>
          <w:i/>
          <w:iCs/>
        </w:rPr>
        <w:t>16</w:t>
      </w:r>
      <w:r w:rsidRPr="00874DC1">
        <w:t>(9), 606–613.</w:t>
      </w:r>
    </w:p>
    <w:p w14:paraId="36D8F1DF" w14:textId="3B901FBC" w:rsidR="00874DC1" w:rsidRDefault="00874DC1">
      <w:pPr>
        <w:spacing w:after="120" w:line="360" w:lineRule="auto"/>
        <w:ind w:left="720" w:hanging="720"/>
      </w:pPr>
      <w:r w:rsidRPr="00874DC1">
        <w:t xml:space="preserve">Kovacs, M. (1992). </w:t>
      </w:r>
      <w:r w:rsidRPr="00874DC1">
        <w:rPr>
          <w:i/>
          <w:iCs/>
        </w:rPr>
        <w:t>Children's Depression Inventory manual</w:t>
      </w:r>
      <w:r w:rsidRPr="00874DC1">
        <w:t>. North Tonawanda, NY: Multi-Health Systems.</w:t>
      </w:r>
    </w:p>
    <w:p w14:paraId="1460C408" w14:textId="4DADAC43" w:rsidR="00871D9C" w:rsidRPr="00874DC1" w:rsidRDefault="00871D9C">
      <w:pPr>
        <w:spacing w:after="120" w:line="360" w:lineRule="auto"/>
        <w:ind w:left="720" w:hanging="720"/>
      </w:pPr>
      <w:r w:rsidRPr="005B0457">
        <w:rPr>
          <w:lang w:val="de-DE"/>
        </w:rPr>
        <w:t xml:space="preserve">Langan, D., Higgins, J. P. T., Jackson, D., Bowden, J., Veroniki, A. A., Kontopantelis, E., Viechtbauer, W., &amp; Simmonds, M. (2019). </w:t>
      </w:r>
      <w:r w:rsidRPr="00871D9C">
        <w:t xml:space="preserve">A comparison of heterogeneity variance estimators in simulated random-effects meta-analyses. </w:t>
      </w:r>
      <w:r w:rsidRPr="00871D9C">
        <w:rPr>
          <w:i/>
          <w:iCs/>
        </w:rPr>
        <w:t>Research Synthesis Methods, 10</w:t>
      </w:r>
      <w:r w:rsidRPr="00871D9C">
        <w:t>(1), 83–98. https://doi.org/10.1002/jrsm.1316</w:t>
      </w:r>
    </w:p>
    <w:p w14:paraId="7F90C52E" w14:textId="296B4645" w:rsidR="00742840" w:rsidRPr="00742840" w:rsidRDefault="00742840">
      <w:pPr>
        <w:spacing w:after="120" w:line="360" w:lineRule="auto"/>
        <w:ind w:left="720" w:hanging="720"/>
      </w:pPr>
      <w:r w:rsidRPr="00B72CF8">
        <w:t xml:space="preserve">Ma, Q., Shi, Y., Zhao, W., Zhang, H., Tan, D., Ji, C., &amp; Liu, L. (2024). </w:t>
      </w:r>
      <w:r w:rsidRPr="00742840">
        <w:t xml:space="preserve">Effectiveness of internet-based self-help interventions for depression in adolescents and young adults: A systematic review and meta-analysis. </w:t>
      </w:r>
      <w:r w:rsidRPr="00742840">
        <w:rPr>
          <w:i/>
          <w:iCs/>
        </w:rPr>
        <w:t>BMC Psychiatry, 24</w:t>
      </w:r>
      <w:r w:rsidRPr="00742840">
        <w:t xml:space="preserve">, Article 604. </w:t>
      </w:r>
      <w:hyperlink r:id="rId30" w:history="1">
        <w:r w:rsidRPr="00742840">
          <w:rPr>
            <w:rStyle w:val="a5"/>
          </w:rPr>
          <w:t>https://doi.org/10.1186/s12888-024-06046-x</w:t>
        </w:r>
      </w:hyperlink>
    </w:p>
    <w:p w14:paraId="6689DB3D" w14:textId="6A6F1C2A" w:rsidR="00A35027" w:rsidRPr="00A35027" w:rsidRDefault="00A35027">
      <w:pPr>
        <w:spacing w:after="120" w:line="360" w:lineRule="auto"/>
        <w:ind w:left="720" w:hanging="720"/>
      </w:pPr>
      <w:bookmarkStart w:id="94" w:name="OLE_LINK67"/>
      <w:r w:rsidRPr="00A35027">
        <w:t>McAuley</w:t>
      </w:r>
      <w:bookmarkEnd w:id="94"/>
      <w:r w:rsidRPr="00A35027">
        <w:t xml:space="preserve">, L., Pham, B., Tugwell, P., &amp; Moher, D. (2000). Does the inclusion of grey literature influence estimates of intervention effectiveness </w:t>
      </w:r>
      <w:proofErr w:type="gramStart"/>
      <w:r w:rsidRPr="00A35027">
        <w:t>reported</w:t>
      </w:r>
      <w:proofErr w:type="gramEnd"/>
      <w:r w:rsidRPr="00A35027">
        <w:t xml:space="preserve"> in meta-analyses? </w:t>
      </w:r>
      <w:r w:rsidRPr="00A35027">
        <w:rPr>
          <w:i/>
          <w:iCs/>
        </w:rPr>
        <w:t>The Lancet, 356</w:t>
      </w:r>
      <w:r w:rsidRPr="00A35027">
        <w:t>(9237), 1228–1231. https://doi.org/10.1016/S0140-6736(00)02786-0</w:t>
      </w:r>
    </w:p>
    <w:p w14:paraId="5AB53901" w14:textId="6D087DA6" w:rsidR="002E700D" w:rsidRPr="002E700D" w:rsidRDefault="002E700D">
      <w:pPr>
        <w:spacing w:after="120" w:line="360" w:lineRule="auto"/>
        <w:ind w:left="720" w:hanging="720"/>
      </w:pPr>
      <w:r w:rsidRPr="002E700D">
        <w:t xml:space="preserve">Miguel, C., Harrer, M., </w:t>
      </w:r>
      <w:proofErr w:type="spellStart"/>
      <w:r w:rsidRPr="002E700D">
        <w:t>Karyotaki</w:t>
      </w:r>
      <w:proofErr w:type="spellEnd"/>
      <w:r w:rsidRPr="002E700D">
        <w:t xml:space="preserve">, E., </w:t>
      </w:r>
      <w:proofErr w:type="spellStart"/>
      <w:r w:rsidRPr="002E700D">
        <w:t>Sakher</w:t>
      </w:r>
      <w:proofErr w:type="spellEnd"/>
      <w:r w:rsidRPr="002E700D">
        <w:t>, E., Sakata, M., Furukawa, T. A., &amp; Cuijpers, P. (2025). Operationalization of Cochrane's Risk of Bias 2 Tool (</w:t>
      </w:r>
      <w:proofErr w:type="spellStart"/>
      <w:r w:rsidRPr="002E700D">
        <w:t>RoB</w:t>
      </w:r>
      <w:proofErr w:type="spellEnd"/>
      <w:r w:rsidRPr="002E700D">
        <w:t xml:space="preserve"> 2) in the context of psychotherapy trials. </w:t>
      </w:r>
      <w:proofErr w:type="spellStart"/>
      <w:r w:rsidRPr="002E700D">
        <w:t>medRxiv</w:t>
      </w:r>
      <w:proofErr w:type="spellEnd"/>
      <w:r w:rsidRPr="002E700D">
        <w:t xml:space="preserve">. </w:t>
      </w:r>
      <w:hyperlink r:id="rId31" w:history="1">
        <w:r w:rsidRPr="002E700D">
          <w:rPr>
            <w:rStyle w:val="a5"/>
          </w:rPr>
          <w:t>https://doi.org/10.1101/2025.06.26.25330349</w:t>
        </w:r>
      </w:hyperlink>
    </w:p>
    <w:p w14:paraId="7C73AE91" w14:textId="77777777" w:rsidR="000C3784" w:rsidRDefault="00D450DC">
      <w:pPr>
        <w:spacing w:after="120" w:line="360" w:lineRule="auto"/>
        <w:ind w:left="720" w:hanging="720"/>
      </w:pPr>
      <w:r>
        <w:rPr>
          <w:rFonts w:eastAsia="Times New Roman"/>
        </w:rPr>
        <w:t xml:space="preserve">Moitra, M., Santomauro, D., Collins, P. Y., et al. (2022). The global gap in treatment coverage for major depressive disorder in 84 countries from 2000–2019: A systematic review and Bayesian meta-regression analysis. </w:t>
      </w:r>
      <w:proofErr w:type="spellStart"/>
      <w:r>
        <w:rPr>
          <w:rFonts w:eastAsia="Times New Roman"/>
          <w:i/>
          <w:iCs/>
        </w:rPr>
        <w:t>PLoS</w:t>
      </w:r>
      <w:proofErr w:type="spellEnd"/>
      <w:r>
        <w:rPr>
          <w:rFonts w:eastAsia="Times New Roman"/>
          <w:i/>
          <w:iCs/>
        </w:rPr>
        <w:t xml:space="preserve"> Medicine, 19</w:t>
      </w:r>
      <w:r>
        <w:rPr>
          <w:rFonts w:eastAsia="Times New Roman"/>
        </w:rPr>
        <w:t>(2), e1003901.</w:t>
      </w:r>
    </w:p>
    <w:p w14:paraId="7CFCE1AA" w14:textId="77777777" w:rsidR="000C3784" w:rsidRDefault="00D450DC">
      <w:pPr>
        <w:spacing w:after="120" w:line="360" w:lineRule="auto"/>
        <w:ind w:left="720" w:hanging="720"/>
      </w:pPr>
      <w:r>
        <w:rPr>
          <w:rFonts w:eastAsia="Times New Roman"/>
        </w:rPr>
        <w:t xml:space="preserve">National Institute for Health and Care Excellence. (2019). </w:t>
      </w:r>
      <w:r>
        <w:rPr>
          <w:rFonts w:eastAsia="Times New Roman"/>
          <w:i/>
          <w:iCs/>
        </w:rPr>
        <w:t>Depression in children and young people: Identification and management (NG134)</w:t>
      </w:r>
      <w:r>
        <w:rPr>
          <w:rFonts w:eastAsia="Times New Roman"/>
        </w:rPr>
        <w:t>. NICE.</w:t>
      </w:r>
    </w:p>
    <w:p w14:paraId="7F2A9434" w14:textId="6DD1FBE6" w:rsidR="00F1618C" w:rsidRPr="00F1618C" w:rsidRDefault="00F1618C">
      <w:pPr>
        <w:spacing w:after="120" w:line="360" w:lineRule="auto"/>
        <w:ind w:left="720" w:hanging="720"/>
      </w:pPr>
      <w:r w:rsidRPr="00F1618C">
        <w:t xml:space="preserve">Nordahl-Hansen, A., Cogo-Moreira, H., Panjeh, S., &amp; </w:t>
      </w:r>
      <w:proofErr w:type="spellStart"/>
      <w:r w:rsidRPr="00F1618C">
        <w:t>Quintana</w:t>
      </w:r>
      <w:proofErr w:type="spellEnd"/>
      <w:r w:rsidRPr="00F1618C">
        <w:t>, D. S. (2024). Redefining effect size interpretations for psychotherapy RCTs in depression. Journal of Psychiatric Research, 169, 38–41. https://doi.org/10.1016/j.jpsychires.2023.11.009</w:t>
      </w:r>
    </w:p>
    <w:p w14:paraId="0C6A33AB" w14:textId="77777777" w:rsidR="000C3784" w:rsidRDefault="00D450DC">
      <w:pPr>
        <w:spacing w:after="120" w:line="360" w:lineRule="auto"/>
        <w:ind w:left="720" w:hanging="720"/>
      </w:pPr>
      <w:proofErr w:type="spellStart"/>
      <w:r>
        <w:rPr>
          <w:rFonts w:eastAsia="Times New Roman"/>
        </w:rPr>
        <w:t>Ormel</w:t>
      </w:r>
      <w:proofErr w:type="spellEnd"/>
      <w:r>
        <w:rPr>
          <w:rFonts w:eastAsia="Times New Roman"/>
        </w:rPr>
        <w:t xml:space="preserve">, J., Petukhova, M., Chatterji, S., et al. (2008). Disability and treatment of specific mental and physical disorders across the world. </w:t>
      </w:r>
      <w:r>
        <w:rPr>
          <w:rFonts w:eastAsia="Times New Roman"/>
          <w:i/>
          <w:iCs/>
        </w:rPr>
        <w:t>The British Journal of Psychiatry, 192</w:t>
      </w:r>
      <w:r>
        <w:rPr>
          <w:rFonts w:eastAsia="Times New Roman"/>
        </w:rPr>
        <w:t>(5), 368–375.</w:t>
      </w:r>
    </w:p>
    <w:p w14:paraId="614CD2CD" w14:textId="77777777" w:rsidR="000C3784" w:rsidRDefault="00D450DC">
      <w:pPr>
        <w:spacing w:after="120" w:line="360" w:lineRule="auto"/>
        <w:ind w:left="720" w:hanging="720"/>
      </w:pPr>
      <w:r>
        <w:rPr>
          <w:rFonts w:eastAsia="Times New Roman"/>
        </w:rPr>
        <w:t xml:space="preserve">Page, M. J., McKenzie, J. E., Bossuyt, P. M., </w:t>
      </w:r>
      <w:proofErr w:type="spellStart"/>
      <w:r>
        <w:rPr>
          <w:rFonts w:eastAsia="Times New Roman"/>
        </w:rPr>
        <w:t>Boutron</w:t>
      </w:r>
      <w:proofErr w:type="spellEnd"/>
      <w:r>
        <w:rPr>
          <w:rFonts w:eastAsia="Times New Roman"/>
        </w:rPr>
        <w:t xml:space="preserve">, I., Hoffmann, T. C., Mulrow, C. D., … Moher, D. (2021). The PRISMA 2020 statement: An updated guideline for reporting systematic reviews. </w:t>
      </w:r>
      <w:r>
        <w:rPr>
          <w:rFonts w:eastAsia="Times New Roman"/>
          <w:i/>
          <w:iCs/>
        </w:rPr>
        <w:t>BMJ, 372</w:t>
      </w:r>
      <w:r>
        <w:rPr>
          <w:rFonts w:eastAsia="Times New Roman"/>
        </w:rPr>
        <w:t>, n71.</w:t>
      </w:r>
    </w:p>
    <w:p w14:paraId="538B2DA6" w14:textId="6224CEB5" w:rsidR="00742840" w:rsidRDefault="00742840">
      <w:pPr>
        <w:spacing w:after="120" w:line="360" w:lineRule="auto"/>
        <w:ind w:left="720" w:hanging="720"/>
      </w:pPr>
      <w:r w:rsidRPr="00742840">
        <w:t xml:space="preserve">Pennant, M. E., Loucas, C. E., Whittington, C., Creswell, C., Fonagy, P., </w:t>
      </w:r>
      <w:proofErr w:type="spellStart"/>
      <w:r w:rsidRPr="00742840">
        <w:t>Fuggle</w:t>
      </w:r>
      <w:proofErr w:type="spellEnd"/>
      <w:r w:rsidRPr="00742840">
        <w:t xml:space="preserve">, P., Kelvin, R., Naqvi, </w:t>
      </w:r>
      <w:r w:rsidRPr="00742840">
        <w:lastRenderedPageBreak/>
        <w:t xml:space="preserve">S., Stockton, S., &amp; Kendall, T. (2015). </w:t>
      </w:r>
      <w:proofErr w:type="spellStart"/>
      <w:r w:rsidRPr="00742840">
        <w:t>Computerised</w:t>
      </w:r>
      <w:proofErr w:type="spellEnd"/>
      <w:r w:rsidRPr="00742840">
        <w:t xml:space="preserve"> therapies for anxiety and depression in children and young people: A systematic review and meta-analysis. </w:t>
      </w:r>
      <w:proofErr w:type="spellStart"/>
      <w:r w:rsidRPr="00742840">
        <w:rPr>
          <w:i/>
          <w:iCs/>
        </w:rPr>
        <w:t>Behaviour</w:t>
      </w:r>
      <w:proofErr w:type="spellEnd"/>
      <w:r w:rsidRPr="00742840">
        <w:rPr>
          <w:i/>
          <w:iCs/>
        </w:rPr>
        <w:t xml:space="preserve"> Research and Therapy, 67</w:t>
      </w:r>
      <w:r w:rsidRPr="00742840">
        <w:t xml:space="preserve">, 1–18. </w:t>
      </w:r>
      <w:hyperlink r:id="rId32" w:history="1">
        <w:r w:rsidRPr="00742840">
          <w:rPr>
            <w:rStyle w:val="a5"/>
          </w:rPr>
          <w:t>https://doi.org/10.1016/j.brat.2015.01.009</w:t>
        </w:r>
      </w:hyperlink>
    </w:p>
    <w:p w14:paraId="1709C0E4" w14:textId="65FBE7B5" w:rsidR="00AB7F1D" w:rsidRDefault="00AB7F1D" w:rsidP="00AB7F1D">
      <w:pPr>
        <w:spacing w:after="120" w:line="360" w:lineRule="auto"/>
        <w:ind w:left="720" w:hanging="720"/>
      </w:pPr>
      <w:r w:rsidRPr="00AB7F1D">
        <w:t xml:space="preserve">Peters, J. L., Sutton, A. J., Jones, D. R., Abrams, K. R., &amp; Rushton, L. (2008). Contour-enhanced meta-analysis funnel plots help distinguish publication bias from other causes of asymmetry. </w:t>
      </w:r>
      <w:r w:rsidRPr="00AB7F1D">
        <w:rPr>
          <w:i/>
          <w:iCs/>
        </w:rPr>
        <w:t>Journal of Clinical Epidemiology, 61</w:t>
      </w:r>
      <w:r w:rsidRPr="00AB7F1D">
        <w:t xml:space="preserve">(10), 991–996. </w:t>
      </w:r>
      <w:hyperlink r:id="rId33" w:history="1">
        <w:r w:rsidRPr="00C13038">
          <w:rPr>
            <w:rStyle w:val="a5"/>
          </w:rPr>
          <w:t>https://doi.org/10.1016/j.jclinepi.2007.11.010</w:t>
        </w:r>
      </w:hyperlink>
    </w:p>
    <w:p w14:paraId="5B3FFEB4" w14:textId="77777777" w:rsidR="000C3784" w:rsidRDefault="00D450DC" w:rsidP="00AB7F1D">
      <w:pPr>
        <w:spacing w:after="120" w:line="360" w:lineRule="auto"/>
      </w:pPr>
      <w:r w:rsidRPr="008074FA">
        <w:rPr>
          <w:rFonts w:eastAsia="Times New Roman"/>
          <w:lang w:val="de-DE"/>
        </w:rPr>
        <w:t xml:space="preserve">Pinquart, M., &amp; Duberstein, P. R. (2010). </w:t>
      </w:r>
      <w:r>
        <w:rPr>
          <w:rFonts w:eastAsia="Times New Roman"/>
        </w:rPr>
        <w:t xml:space="preserve">Depression and cancer mortality: A meta-analysis. </w:t>
      </w:r>
      <w:r>
        <w:rPr>
          <w:rFonts w:eastAsia="Times New Roman"/>
          <w:i/>
          <w:iCs/>
        </w:rPr>
        <w:t>Psychological Medicine, 40</w:t>
      </w:r>
      <w:r>
        <w:rPr>
          <w:rFonts w:eastAsia="Times New Roman"/>
        </w:rPr>
        <w:t>(11), 1797–1810.</w:t>
      </w:r>
    </w:p>
    <w:p w14:paraId="00743B26" w14:textId="53E9A3F0" w:rsidR="00225D00" w:rsidRDefault="00225D00">
      <w:pPr>
        <w:spacing w:after="120" w:line="360" w:lineRule="auto"/>
        <w:ind w:left="720" w:hanging="720"/>
      </w:pPr>
      <w:r w:rsidRPr="00225D00">
        <w:t xml:space="preserve">Platell, M., Cook, A., &amp; Martin, K. (2023). How parents can help or hinder access to mental health services for young people. </w:t>
      </w:r>
      <w:r w:rsidRPr="00225D00">
        <w:rPr>
          <w:i/>
          <w:iCs/>
        </w:rPr>
        <w:t>Children and Youth Services Review, 144</w:t>
      </w:r>
      <w:r w:rsidRPr="00225D00">
        <w:t>, 106723.</w:t>
      </w:r>
    </w:p>
    <w:p w14:paraId="57F721D3" w14:textId="558874E7" w:rsidR="00874DC1" w:rsidRDefault="00874DC1">
      <w:pPr>
        <w:spacing w:after="120" w:line="360" w:lineRule="auto"/>
        <w:ind w:left="720" w:hanging="720"/>
      </w:pPr>
      <w:r w:rsidRPr="008074FA">
        <w:t xml:space="preserve">Poznanski, E. Q., &amp; Mokros, H. B. (1996). </w:t>
      </w:r>
      <w:r w:rsidRPr="00874DC1">
        <w:rPr>
          <w:i/>
          <w:iCs/>
        </w:rPr>
        <w:t>Children's Depression Rating Scale, Revised (CDRS-R): Manual</w:t>
      </w:r>
      <w:r w:rsidRPr="00874DC1">
        <w:t>. Los Angeles, CA: Western Psychological Services.</w:t>
      </w:r>
    </w:p>
    <w:p w14:paraId="6F3704BA" w14:textId="32728B31" w:rsidR="005D4317" w:rsidRPr="00225D00" w:rsidRDefault="005D4317">
      <w:pPr>
        <w:spacing w:after="120" w:line="360" w:lineRule="auto"/>
        <w:ind w:left="720" w:hanging="720"/>
      </w:pPr>
      <w:r w:rsidRPr="005D4317">
        <w:t>Pustejovsky, J. E., &amp; Rodgers, M. A. (2019). Testing for funnel plot asymmetry of standardized mean differences. Research Synthesis Methods, 10(1), 57–71. https://doi.org/10.1002/jrsm.1332</w:t>
      </w:r>
    </w:p>
    <w:p w14:paraId="1D747D1D" w14:textId="5C0B28D2" w:rsidR="008A0D89" w:rsidRDefault="00225D00" w:rsidP="008A0D89">
      <w:pPr>
        <w:spacing w:after="120" w:line="360" w:lineRule="auto"/>
        <w:ind w:left="720" w:hanging="720"/>
      </w:pPr>
      <w:proofErr w:type="spellStart"/>
      <w:r w:rsidRPr="00225D00">
        <w:t>Radez</w:t>
      </w:r>
      <w:proofErr w:type="spellEnd"/>
      <w:r w:rsidRPr="00225D00">
        <w:t xml:space="preserve">, J., Reardon, T., Creswell, C., Lawrence, P. J., </w:t>
      </w:r>
      <w:proofErr w:type="spellStart"/>
      <w:r w:rsidRPr="00225D00">
        <w:t>Evdoka</w:t>
      </w:r>
      <w:proofErr w:type="spellEnd"/>
      <w:r w:rsidRPr="00225D00">
        <w:t xml:space="preserve">-Burton, G., &amp; Waite, P. (2021). Why do children and adolescents (not) seek and access professional help for their mental health problems? A systematic review of quantitative and qualitative studies. </w:t>
      </w:r>
      <w:r w:rsidRPr="00225D00">
        <w:rPr>
          <w:i/>
          <w:iCs/>
        </w:rPr>
        <w:t>European Child &amp; Adolescent Psychiatry, 30</w:t>
      </w:r>
      <w:r w:rsidRPr="00225D00">
        <w:t>, 183–211.</w:t>
      </w:r>
    </w:p>
    <w:p w14:paraId="6AC3F193" w14:textId="52894920" w:rsidR="008A0D89" w:rsidRPr="008074FA" w:rsidRDefault="008A0D89" w:rsidP="008A0D89">
      <w:pPr>
        <w:spacing w:after="120" w:line="360" w:lineRule="auto"/>
        <w:ind w:left="720" w:hanging="720"/>
      </w:pPr>
      <w:proofErr w:type="spellStart"/>
      <w:r w:rsidRPr="008A0D89">
        <w:t>Raksilp</w:t>
      </w:r>
      <w:proofErr w:type="spellEnd"/>
      <w:r w:rsidRPr="008A0D89">
        <w:t xml:space="preserve">, M., </w:t>
      </w:r>
      <w:proofErr w:type="spellStart"/>
      <w:r w:rsidRPr="008A0D89">
        <w:t>Krongyudh</w:t>
      </w:r>
      <w:proofErr w:type="spellEnd"/>
      <w:r w:rsidRPr="008A0D89">
        <w:t xml:space="preserve">, S., </w:t>
      </w:r>
      <w:proofErr w:type="spellStart"/>
      <w:r w:rsidRPr="008A0D89">
        <w:t>Songserm</w:t>
      </w:r>
      <w:proofErr w:type="spellEnd"/>
      <w:r w:rsidRPr="008A0D89">
        <w:t xml:space="preserve">, N., &amp; </w:t>
      </w:r>
      <w:proofErr w:type="spellStart"/>
      <w:r w:rsidRPr="008A0D89">
        <w:t>Bussahong</w:t>
      </w:r>
      <w:proofErr w:type="spellEnd"/>
      <w:r w:rsidRPr="008A0D89">
        <w:t xml:space="preserve">, S. (2025). Effectiveness of depression prevention programs in adolescents: A systematic review and meta-analysis. </w:t>
      </w:r>
      <w:r w:rsidRPr="008A0D89">
        <w:rPr>
          <w:i/>
          <w:iCs/>
        </w:rPr>
        <w:t>National Journal of Community Medicine</w:t>
      </w:r>
      <w:r w:rsidRPr="008A0D89">
        <w:t xml:space="preserve">, </w:t>
      </w:r>
      <w:r w:rsidRPr="008A0D89">
        <w:rPr>
          <w:i/>
          <w:iCs/>
        </w:rPr>
        <w:t>16</w:t>
      </w:r>
      <w:r w:rsidRPr="008A0D89">
        <w:t xml:space="preserve">(3), 283-294. </w:t>
      </w:r>
      <w:hyperlink r:id="rId34" w:history="1">
        <w:r w:rsidR="00742840" w:rsidRPr="008074FA">
          <w:rPr>
            <w:rStyle w:val="a5"/>
          </w:rPr>
          <w:t>https://doi.org/10.55489/njcm.160320254839</w:t>
        </w:r>
      </w:hyperlink>
    </w:p>
    <w:p w14:paraId="20C610F6" w14:textId="666CBEA8" w:rsidR="00742840" w:rsidRDefault="00742840" w:rsidP="008A0D89">
      <w:pPr>
        <w:spacing w:after="120" w:line="360" w:lineRule="auto"/>
        <w:ind w:left="720" w:hanging="720"/>
      </w:pPr>
      <w:proofErr w:type="spellStart"/>
      <w:r w:rsidRPr="008074FA">
        <w:t>Reitegger</w:t>
      </w:r>
      <w:proofErr w:type="spellEnd"/>
      <w:r w:rsidRPr="008074FA">
        <w:t>, F., Peras, I., Wright, M., &amp; Gasteiger-</w:t>
      </w:r>
      <w:proofErr w:type="spellStart"/>
      <w:r w:rsidRPr="008074FA">
        <w:t>Klicpera</w:t>
      </w:r>
      <w:proofErr w:type="spellEnd"/>
      <w:r w:rsidRPr="008074FA">
        <w:t xml:space="preserve">, B. (2024). </w:t>
      </w:r>
      <w:r w:rsidRPr="00742840">
        <w:t xml:space="preserve">Key components and content of effective evidence-based digital prevention programs for anxiety and depression in children and adolescents: A systematic umbrella review. </w:t>
      </w:r>
      <w:r w:rsidRPr="00742840">
        <w:rPr>
          <w:i/>
          <w:iCs/>
        </w:rPr>
        <w:t>Adolescent Research Review, 9</w:t>
      </w:r>
      <w:r w:rsidRPr="00742840">
        <w:t xml:space="preserve">, 367–410. </w:t>
      </w:r>
      <w:hyperlink r:id="rId35" w:history="1">
        <w:r w:rsidRPr="00742840">
          <w:rPr>
            <w:rStyle w:val="a5"/>
          </w:rPr>
          <w:t>https://doi.org/10.1007/s40894-024-00237-z</w:t>
        </w:r>
      </w:hyperlink>
    </w:p>
    <w:p w14:paraId="0DDA0703" w14:textId="4D0E88F5" w:rsidR="00874DC1" w:rsidRPr="008A0D89" w:rsidRDefault="00874DC1" w:rsidP="008A0D89">
      <w:pPr>
        <w:spacing w:after="120" w:line="360" w:lineRule="auto"/>
        <w:ind w:left="720" w:hanging="720"/>
      </w:pPr>
      <w:r w:rsidRPr="00874DC1">
        <w:t xml:space="preserve">Reynolds, W. M. (2002). </w:t>
      </w:r>
      <w:r w:rsidRPr="00874DC1">
        <w:rPr>
          <w:i/>
          <w:iCs/>
        </w:rPr>
        <w:t>Reynolds Adolescent Depression Scale–2nd Edition (RADS-2): Professional manual</w:t>
      </w:r>
      <w:r w:rsidRPr="00874DC1">
        <w:t>. Lutz, FL: PAR.</w:t>
      </w:r>
    </w:p>
    <w:p w14:paraId="411B1F60" w14:textId="77777777" w:rsidR="000C3784" w:rsidRDefault="00D450DC">
      <w:pPr>
        <w:spacing w:after="120" w:line="360" w:lineRule="auto"/>
        <w:ind w:left="720" w:hanging="720"/>
      </w:pPr>
      <w:r>
        <w:rPr>
          <w:rFonts w:eastAsia="Times New Roman"/>
        </w:rPr>
        <w:t xml:space="preserve">R Core Team. (2024). </w:t>
      </w:r>
      <w:r>
        <w:rPr>
          <w:rFonts w:eastAsia="Times New Roman"/>
          <w:i/>
          <w:iCs/>
        </w:rPr>
        <w:t>R: A language and environment for statistical computing</w:t>
      </w:r>
      <w:r>
        <w:rPr>
          <w:rFonts w:eastAsia="Times New Roman"/>
        </w:rPr>
        <w:t>. R Foundation for Statistical Computing.</w:t>
      </w:r>
    </w:p>
    <w:p w14:paraId="488F7380" w14:textId="77777777" w:rsidR="000C3784" w:rsidRDefault="00D450DC">
      <w:pPr>
        <w:spacing w:after="120" w:line="360" w:lineRule="auto"/>
        <w:ind w:left="720" w:hanging="720"/>
      </w:pPr>
      <w:proofErr w:type="spellStart"/>
      <w:r>
        <w:rPr>
          <w:rFonts w:eastAsia="Times New Roman"/>
        </w:rPr>
        <w:t>Rugulies</w:t>
      </w:r>
      <w:proofErr w:type="spellEnd"/>
      <w:r>
        <w:rPr>
          <w:rFonts w:eastAsia="Times New Roman"/>
        </w:rPr>
        <w:t xml:space="preserve">, R. (2002). Depression as a predictor for coronary heart disease: A review and meta-analysis. </w:t>
      </w:r>
      <w:r>
        <w:rPr>
          <w:rFonts w:eastAsia="Times New Roman"/>
          <w:i/>
          <w:iCs/>
        </w:rPr>
        <w:t>American Journal of Preventive Medicine, 23</w:t>
      </w:r>
      <w:r>
        <w:rPr>
          <w:rFonts w:eastAsia="Times New Roman"/>
        </w:rPr>
        <w:t>(1), 51–61.</w:t>
      </w:r>
    </w:p>
    <w:p w14:paraId="657D8261" w14:textId="77777777" w:rsidR="000C3784" w:rsidRDefault="00D450DC">
      <w:pPr>
        <w:spacing w:after="120" w:line="360" w:lineRule="auto"/>
        <w:ind w:left="720" w:hanging="720"/>
      </w:pPr>
      <w:r>
        <w:rPr>
          <w:rFonts w:eastAsia="Times New Roman"/>
        </w:rPr>
        <w:lastRenderedPageBreak/>
        <w:t xml:space="preserve">Steinberg, L. (2005). Cognitive and affective development in adolescence. </w:t>
      </w:r>
      <w:r>
        <w:rPr>
          <w:rFonts w:eastAsia="Times New Roman"/>
          <w:i/>
          <w:iCs/>
        </w:rPr>
        <w:t>Trends in Cognitive Sciences, 9</w:t>
      </w:r>
      <w:r>
        <w:rPr>
          <w:rFonts w:eastAsia="Times New Roman"/>
        </w:rPr>
        <w:t>(2), 69–74.</w:t>
      </w:r>
    </w:p>
    <w:p w14:paraId="1AFFA120" w14:textId="77777777" w:rsidR="000C3784" w:rsidRDefault="00D450DC">
      <w:pPr>
        <w:spacing w:after="120" w:line="360" w:lineRule="auto"/>
        <w:ind w:left="720" w:hanging="720"/>
      </w:pPr>
      <w:r>
        <w:rPr>
          <w:rFonts w:eastAsia="Times New Roman"/>
        </w:rPr>
        <w:t xml:space="preserve">Sterne, J. A. C., Savović, J., Page, M. J., Elbers, R. G., Blencowe, N. S., </w:t>
      </w:r>
      <w:proofErr w:type="spellStart"/>
      <w:r>
        <w:rPr>
          <w:rFonts w:eastAsia="Times New Roman"/>
        </w:rPr>
        <w:t>Boutron</w:t>
      </w:r>
      <w:proofErr w:type="spellEnd"/>
      <w:r>
        <w:rPr>
          <w:rFonts w:eastAsia="Times New Roman"/>
        </w:rPr>
        <w:t xml:space="preserve">, I., … Higgins, J. P. T. (2019). </w:t>
      </w:r>
      <w:proofErr w:type="spellStart"/>
      <w:r>
        <w:rPr>
          <w:rFonts w:eastAsia="Times New Roman"/>
        </w:rPr>
        <w:t>RoB</w:t>
      </w:r>
      <w:proofErr w:type="spellEnd"/>
      <w:r>
        <w:rPr>
          <w:rFonts w:eastAsia="Times New Roman"/>
        </w:rPr>
        <w:t xml:space="preserve"> 2: A revised tool for assessing risk of bias in </w:t>
      </w:r>
      <w:proofErr w:type="spellStart"/>
      <w:r>
        <w:rPr>
          <w:rFonts w:eastAsia="Times New Roman"/>
        </w:rPr>
        <w:t>randomised</w:t>
      </w:r>
      <w:proofErr w:type="spellEnd"/>
      <w:r>
        <w:rPr>
          <w:rFonts w:eastAsia="Times New Roman"/>
        </w:rPr>
        <w:t xml:space="preserve"> trials. </w:t>
      </w:r>
      <w:r>
        <w:rPr>
          <w:rFonts w:eastAsia="Times New Roman"/>
          <w:i/>
          <w:iCs/>
        </w:rPr>
        <w:t>BMJ, 366</w:t>
      </w:r>
      <w:r>
        <w:rPr>
          <w:rFonts w:eastAsia="Times New Roman"/>
        </w:rPr>
        <w:t>, l4898.</w:t>
      </w:r>
    </w:p>
    <w:p w14:paraId="42DD357B" w14:textId="66226433" w:rsidR="00071638" w:rsidRPr="00071638" w:rsidRDefault="00071638">
      <w:pPr>
        <w:spacing w:after="120" w:line="360" w:lineRule="auto"/>
        <w:ind w:left="720" w:hanging="720"/>
      </w:pPr>
      <w:r w:rsidRPr="00071638">
        <w:t>Stockings, E. A., Degenhardt, L., Dobbins, T., Lee, Y. Y., Erskine, H. E., Whiteford, H. A., &amp; Patton, G. (2016). Preventing depression and anxiety in young people: A review of the joint efficacy of universal, selective and indicated prevention. Psychological Medicine, 46(1), 11–26</w:t>
      </w:r>
    </w:p>
    <w:p w14:paraId="5BD512F4" w14:textId="77777777" w:rsidR="000C3784" w:rsidRDefault="00D450DC">
      <w:pPr>
        <w:spacing w:after="120" w:line="360" w:lineRule="auto"/>
        <w:ind w:left="720" w:hanging="720"/>
      </w:pPr>
      <w:r>
        <w:rPr>
          <w:rFonts w:eastAsia="Times New Roman"/>
        </w:rPr>
        <w:t xml:space="preserve">Thapar, A., Collishaw, S., Pine, D. S., &amp; Thapar, A. K. (2012). Depression in adolescence. </w:t>
      </w:r>
      <w:r>
        <w:rPr>
          <w:rFonts w:eastAsia="Times New Roman"/>
          <w:i/>
          <w:iCs/>
        </w:rPr>
        <w:t>The Lancet, 379</w:t>
      </w:r>
      <w:r>
        <w:rPr>
          <w:rFonts w:eastAsia="Times New Roman"/>
        </w:rPr>
        <w:t>(9820), 1056–1067.</w:t>
      </w:r>
    </w:p>
    <w:p w14:paraId="1844FBAD" w14:textId="77777777" w:rsidR="000C3784" w:rsidRDefault="00D450DC">
      <w:pPr>
        <w:spacing w:after="120" w:line="360" w:lineRule="auto"/>
        <w:ind w:left="720" w:hanging="720"/>
      </w:pPr>
      <w:r>
        <w:rPr>
          <w:rFonts w:eastAsia="Times New Roman"/>
        </w:rPr>
        <w:t xml:space="preserve">Tong, L., Panagiotopoulou, O.-M., Cuijpers, P., &amp; </w:t>
      </w:r>
      <w:proofErr w:type="spellStart"/>
      <w:r>
        <w:rPr>
          <w:rFonts w:eastAsia="Times New Roman"/>
        </w:rPr>
        <w:t>Karyotaki</w:t>
      </w:r>
      <w:proofErr w:type="spellEnd"/>
      <w:r>
        <w:rPr>
          <w:rFonts w:eastAsia="Times New Roman"/>
        </w:rPr>
        <w:t xml:space="preserve">, E. (2024). The effectiveness of self-guided interventions in adults with depressive symptoms: A systematic review and meta-analysis. </w:t>
      </w:r>
      <w:proofErr w:type="spellStart"/>
      <w:r>
        <w:rPr>
          <w:rFonts w:eastAsia="Times New Roman"/>
          <w:i/>
          <w:iCs/>
        </w:rPr>
        <w:t>eBioMedicine</w:t>
      </w:r>
      <w:proofErr w:type="spellEnd"/>
      <w:r>
        <w:rPr>
          <w:rFonts w:eastAsia="Times New Roman"/>
          <w:i/>
          <w:iCs/>
        </w:rPr>
        <w:t>, 105</w:t>
      </w:r>
      <w:r>
        <w:rPr>
          <w:rFonts w:eastAsia="Times New Roman"/>
        </w:rPr>
        <w:t>, 105208.</w:t>
      </w:r>
    </w:p>
    <w:p w14:paraId="471F8058" w14:textId="0A414C44" w:rsidR="007A02BA" w:rsidRPr="007A02BA" w:rsidRDefault="007A02BA">
      <w:pPr>
        <w:spacing w:after="120" w:line="360" w:lineRule="auto"/>
        <w:ind w:left="720" w:hanging="720"/>
      </w:pPr>
      <w:proofErr w:type="spellStart"/>
      <w:r w:rsidRPr="007A02BA">
        <w:t>Viechtbauer</w:t>
      </w:r>
      <w:proofErr w:type="spellEnd"/>
      <w:r w:rsidRPr="007A02BA">
        <w:t xml:space="preserve">, W. (2005). Bias and efficiency of meta-analytic variance estimators in the random-effects model. </w:t>
      </w:r>
      <w:r w:rsidRPr="007A02BA">
        <w:rPr>
          <w:i/>
          <w:iCs/>
        </w:rPr>
        <w:t>Journal of Educational and Behavioral Statistics, 30</w:t>
      </w:r>
      <w:r w:rsidRPr="007A02BA">
        <w:t xml:space="preserve">(3), 261–293. </w:t>
      </w:r>
      <w:hyperlink r:id="rId36" w:history="1">
        <w:r w:rsidRPr="007A02BA">
          <w:rPr>
            <w:rStyle w:val="a5"/>
          </w:rPr>
          <w:t>https://doi.org/10.3102/10769986030003261</w:t>
        </w:r>
      </w:hyperlink>
    </w:p>
    <w:p w14:paraId="2977D7F1" w14:textId="77777777" w:rsidR="000C3784" w:rsidRDefault="00D450DC">
      <w:pPr>
        <w:spacing w:after="120" w:line="360" w:lineRule="auto"/>
        <w:ind w:left="720" w:hanging="720"/>
      </w:pPr>
      <w:proofErr w:type="spellStart"/>
      <w:r>
        <w:rPr>
          <w:rFonts w:eastAsia="Times New Roman"/>
        </w:rPr>
        <w:t>Viechtbauer</w:t>
      </w:r>
      <w:proofErr w:type="spellEnd"/>
      <w:r>
        <w:rPr>
          <w:rFonts w:eastAsia="Times New Roman"/>
        </w:rPr>
        <w:t xml:space="preserve">, W. (2010). Conducting meta-analyses in R with the </w:t>
      </w:r>
      <w:proofErr w:type="spellStart"/>
      <w:r>
        <w:rPr>
          <w:rFonts w:eastAsia="Times New Roman"/>
        </w:rPr>
        <w:t>metafor</w:t>
      </w:r>
      <w:proofErr w:type="spellEnd"/>
      <w:r>
        <w:rPr>
          <w:rFonts w:eastAsia="Times New Roman"/>
        </w:rPr>
        <w:t xml:space="preserve"> package. </w:t>
      </w:r>
      <w:r>
        <w:rPr>
          <w:rFonts w:eastAsia="Times New Roman"/>
          <w:i/>
          <w:iCs/>
        </w:rPr>
        <w:t>Journal of Statistical Software, 36</w:t>
      </w:r>
      <w:r>
        <w:rPr>
          <w:rFonts w:eastAsia="Times New Roman"/>
        </w:rPr>
        <w:t>(3), 1–48.</w:t>
      </w:r>
    </w:p>
    <w:p w14:paraId="1131315C" w14:textId="5AC6C932" w:rsidR="00742840" w:rsidRPr="00742840" w:rsidRDefault="00742840">
      <w:pPr>
        <w:spacing w:after="120" w:line="360" w:lineRule="auto"/>
        <w:ind w:left="720" w:hanging="720"/>
      </w:pPr>
      <w:r w:rsidRPr="008074FA">
        <w:t xml:space="preserve">Wang, Q., Zhang, W., &amp; An, S. (2023). </w:t>
      </w:r>
      <w:r w:rsidRPr="00742840">
        <w:t xml:space="preserve">A systematic review and meta-analysis of internet-based self-help interventions for mental health among adolescents and college students. </w:t>
      </w:r>
      <w:r w:rsidRPr="00742840">
        <w:rPr>
          <w:i/>
          <w:iCs/>
        </w:rPr>
        <w:t>Internet Interventions, 34</w:t>
      </w:r>
      <w:r w:rsidRPr="00742840">
        <w:t xml:space="preserve">, Article 100690. </w:t>
      </w:r>
      <w:hyperlink r:id="rId37" w:history="1">
        <w:r w:rsidRPr="00742840">
          <w:rPr>
            <w:rStyle w:val="a5"/>
          </w:rPr>
          <w:t>https://doi.org/10.1016/j.invent.2023.100690</w:t>
        </w:r>
      </w:hyperlink>
    </w:p>
    <w:p w14:paraId="30852D78" w14:textId="77777777" w:rsidR="000C3784" w:rsidRDefault="00D450DC">
      <w:pPr>
        <w:spacing w:after="120" w:line="360" w:lineRule="auto"/>
        <w:ind w:left="720" w:hanging="720"/>
      </w:pPr>
      <w:r>
        <w:rPr>
          <w:rFonts w:eastAsia="Times New Roman"/>
        </w:rPr>
        <w:t xml:space="preserve">World Health Organization. (2020). </w:t>
      </w:r>
      <w:r>
        <w:rPr>
          <w:rFonts w:eastAsia="Times New Roman"/>
          <w:i/>
          <w:iCs/>
        </w:rPr>
        <w:t>Depression</w:t>
      </w:r>
      <w:r>
        <w:rPr>
          <w:rFonts w:eastAsia="Times New Roman"/>
        </w:rPr>
        <w:t>. WHO.</w:t>
      </w:r>
    </w:p>
    <w:p w14:paraId="57870560" w14:textId="40D96B09" w:rsidR="00D4385A" w:rsidRPr="00D4385A" w:rsidRDefault="00D4385A">
      <w:pPr>
        <w:spacing w:after="120" w:line="360" w:lineRule="auto"/>
        <w:ind w:left="720" w:hanging="720"/>
      </w:pPr>
      <w:r w:rsidRPr="00D4385A">
        <w:t xml:space="preserve">World Health Organization. (2021). </w:t>
      </w:r>
      <w:r w:rsidRPr="00D4385A">
        <w:rPr>
          <w:i/>
          <w:iCs/>
        </w:rPr>
        <w:t>Mental health atlas 2020</w:t>
      </w:r>
      <w:r w:rsidRPr="00D4385A">
        <w:t>. World Health Organization.</w:t>
      </w:r>
    </w:p>
    <w:p w14:paraId="002E278B" w14:textId="77777777" w:rsidR="000C3784" w:rsidRDefault="00D450DC">
      <w:pPr>
        <w:spacing w:after="120" w:line="360" w:lineRule="auto"/>
        <w:ind w:left="720" w:hanging="720"/>
      </w:pPr>
      <w:r>
        <w:rPr>
          <w:rFonts w:eastAsia="Times New Roman"/>
        </w:rPr>
        <w:t xml:space="preserve">World Health Organization. (2022). </w:t>
      </w:r>
      <w:r>
        <w:rPr>
          <w:rFonts w:eastAsia="Times New Roman"/>
          <w:i/>
          <w:iCs/>
        </w:rPr>
        <w:t>World mental health report: Transforming mental health for all</w:t>
      </w:r>
      <w:r>
        <w:rPr>
          <w:rFonts w:eastAsia="Times New Roman"/>
        </w:rPr>
        <w:t>. WHO.</w:t>
      </w:r>
    </w:p>
    <w:p w14:paraId="132450C8" w14:textId="2427E8B4" w:rsidR="00225D00" w:rsidRPr="00225D00" w:rsidRDefault="00225D00">
      <w:pPr>
        <w:spacing w:after="120" w:line="360" w:lineRule="auto"/>
        <w:ind w:left="720" w:hanging="720"/>
      </w:pPr>
      <w:r w:rsidRPr="00225D00">
        <w:t xml:space="preserve">Yap, M. B. H., Pilkington, P. D., Ryan, S. M., &amp; </w:t>
      </w:r>
      <w:proofErr w:type="spellStart"/>
      <w:r w:rsidRPr="00225D00">
        <w:t>Jorm</w:t>
      </w:r>
      <w:proofErr w:type="spellEnd"/>
      <w:r w:rsidRPr="00225D00">
        <w:t xml:space="preserve">, A. F. (2014). Parental factors associated with depression and anxiety in young people: A systematic review and meta-analysis. </w:t>
      </w:r>
      <w:r w:rsidRPr="00225D00">
        <w:rPr>
          <w:i/>
          <w:iCs/>
        </w:rPr>
        <w:t>Journal of Affective Disorders, 156</w:t>
      </w:r>
      <w:r w:rsidRPr="00225D00">
        <w:t>, 8–23.</w:t>
      </w:r>
    </w:p>
    <w:p w14:paraId="05AFB5E6" w14:textId="77777777" w:rsidR="000C3784" w:rsidRDefault="00D450DC">
      <w:pPr>
        <w:spacing w:after="120" w:line="360" w:lineRule="auto"/>
        <w:ind w:left="720" w:hanging="720"/>
      </w:pPr>
      <w:r>
        <w:rPr>
          <w:rFonts w:eastAsia="Times New Roman"/>
        </w:rPr>
        <w:t xml:space="preserve">Zhou, Q., Fan, L., &amp; Yin, Z. (2018). Association between family socioeconomic status and depressive symptoms among Chinese adolescents: Evidence from a national household survey. </w:t>
      </w:r>
      <w:r>
        <w:rPr>
          <w:rFonts w:eastAsia="Times New Roman"/>
          <w:i/>
          <w:iCs/>
        </w:rPr>
        <w:t>Psychiatry Research, 259</w:t>
      </w:r>
      <w:r>
        <w:rPr>
          <w:rFonts w:eastAsia="Times New Roman"/>
        </w:rPr>
        <w:t>, 81–88.</w:t>
      </w:r>
    </w:p>
    <w:bookmarkEnd w:id="93"/>
    <w:p w14:paraId="40E1E716" w14:textId="77777777" w:rsidR="000C3784" w:rsidRDefault="00D450DC">
      <w:pPr>
        <w:pStyle w:val="1"/>
        <w:pageBreakBefore/>
      </w:pPr>
      <w:r>
        <w:lastRenderedPageBreak/>
        <w:t>Appendix A. Search Terms</w:t>
      </w:r>
    </w:p>
    <w:p w14:paraId="356B177D" w14:textId="77777777" w:rsidR="000C3784" w:rsidRDefault="00D450DC">
      <w:pPr>
        <w:spacing w:after="120" w:line="360" w:lineRule="auto"/>
        <w:ind w:firstLine="360"/>
        <w:jc w:val="both"/>
      </w:pPr>
      <w:r>
        <w:rPr>
          <w:rFonts w:eastAsia="Times New Roman"/>
        </w:rPr>
        <w:t>The search strategy was constructed from four concept blocks combined with AND. Within each block, terms were combined with OR. Full search strings were adapted for each database's syntax; the PubMed strategy is presented here as a worked example.</w:t>
      </w:r>
    </w:p>
    <w:p w14:paraId="6870D798" w14:textId="77777777" w:rsidR="000C3784" w:rsidRDefault="00D450DC">
      <w:pPr>
        <w:pStyle w:val="3"/>
      </w:pPr>
      <w:r>
        <w:t>Block #1. Adolescent</w:t>
      </w:r>
    </w:p>
    <w:p w14:paraId="4C0BE378" w14:textId="77777777" w:rsidR="000C3784" w:rsidRDefault="00D450DC">
      <w:pPr>
        <w:spacing w:after="120" w:line="360" w:lineRule="auto"/>
        <w:ind w:firstLine="360"/>
        <w:jc w:val="both"/>
      </w:pPr>
      <w:r>
        <w:rPr>
          <w:rFonts w:eastAsia="Times New Roman"/>
        </w:rPr>
        <w:t>"Adolescent"[</w:t>
      </w:r>
      <w:proofErr w:type="spellStart"/>
      <w:r>
        <w:rPr>
          <w:rFonts w:eastAsia="Times New Roman"/>
        </w:rPr>
        <w:t>MeSH</w:t>
      </w:r>
      <w:proofErr w:type="spellEnd"/>
      <w:r>
        <w:rPr>
          <w:rFonts w:eastAsia="Times New Roman"/>
        </w:rPr>
        <w:t xml:space="preserve">] OR </w:t>
      </w:r>
      <w:proofErr w:type="gramStart"/>
      <w:r>
        <w:rPr>
          <w:rFonts w:eastAsia="Times New Roman"/>
        </w:rPr>
        <w:t>adolescent[</w:t>
      </w:r>
      <w:proofErr w:type="gramEnd"/>
      <w:r>
        <w:rPr>
          <w:rFonts w:eastAsia="Times New Roman"/>
        </w:rPr>
        <w:t>Title/Abstract] OR adolescents[Title/Abstract] OR adolescence[Title/Abstract] OR youth[Title/Abstract] OR youths[Title/Abstract] OR teen[Title/Abstract] OR teens[Title/Abstract] OR teenager[Title/Abstract] OR teenagers[Title/Abstract]</w:t>
      </w:r>
    </w:p>
    <w:p w14:paraId="7F225918" w14:textId="77777777" w:rsidR="000C3784" w:rsidRDefault="00D450DC">
      <w:pPr>
        <w:pStyle w:val="3"/>
      </w:pPr>
      <w:r>
        <w:t>Block #2. Depression</w:t>
      </w:r>
    </w:p>
    <w:p w14:paraId="63C0DA23" w14:textId="77777777" w:rsidR="000C3784" w:rsidRDefault="00D450DC">
      <w:pPr>
        <w:spacing w:after="120" w:line="360" w:lineRule="auto"/>
        <w:ind w:firstLine="360"/>
        <w:jc w:val="both"/>
      </w:pPr>
      <w:r>
        <w:rPr>
          <w:rFonts w:eastAsia="Times New Roman"/>
        </w:rPr>
        <w:t>"Depressive Disorder"[</w:t>
      </w:r>
      <w:proofErr w:type="spellStart"/>
      <w:r>
        <w:rPr>
          <w:rFonts w:eastAsia="Times New Roman"/>
        </w:rPr>
        <w:t>MeSH</w:t>
      </w:r>
      <w:proofErr w:type="spellEnd"/>
      <w:r>
        <w:rPr>
          <w:rFonts w:eastAsia="Times New Roman"/>
        </w:rPr>
        <w:t>] OR "Depression"[</w:t>
      </w:r>
      <w:proofErr w:type="spellStart"/>
      <w:r>
        <w:rPr>
          <w:rFonts w:eastAsia="Times New Roman"/>
        </w:rPr>
        <w:t>MeSH</w:t>
      </w:r>
      <w:proofErr w:type="spellEnd"/>
      <w:r>
        <w:rPr>
          <w:rFonts w:eastAsia="Times New Roman"/>
        </w:rPr>
        <w:t xml:space="preserve">] OR </w:t>
      </w:r>
      <w:proofErr w:type="gramStart"/>
      <w:r>
        <w:rPr>
          <w:rFonts w:eastAsia="Times New Roman"/>
        </w:rPr>
        <w:t>depression[</w:t>
      </w:r>
      <w:proofErr w:type="gramEnd"/>
      <w:r>
        <w:rPr>
          <w:rFonts w:eastAsia="Times New Roman"/>
        </w:rPr>
        <w:t>Title/Abstract] OR depressive[Title/Abstract] OR dysthymia[Title/Abstract] OR "mood disorder"[Title/Abstract] OR "affective disorder"[Title/Abstract]</w:t>
      </w:r>
    </w:p>
    <w:p w14:paraId="787D6A9F" w14:textId="77777777" w:rsidR="000C3784" w:rsidRDefault="00D450DC">
      <w:pPr>
        <w:pStyle w:val="3"/>
      </w:pPr>
      <w:r>
        <w:t>Block #3. Cognitive Behavioral Therapy</w:t>
      </w:r>
    </w:p>
    <w:p w14:paraId="7E7043E7" w14:textId="77777777" w:rsidR="000C3784" w:rsidRDefault="00D450DC">
      <w:pPr>
        <w:spacing w:after="120" w:line="360" w:lineRule="auto"/>
        <w:ind w:firstLine="360"/>
        <w:jc w:val="both"/>
      </w:pPr>
      <w:r>
        <w:rPr>
          <w:rFonts w:eastAsia="Times New Roman"/>
        </w:rPr>
        <w:t>"Cognitive Behavioral Therapy"[</w:t>
      </w:r>
      <w:proofErr w:type="spellStart"/>
      <w:r>
        <w:rPr>
          <w:rFonts w:eastAsia="Times New Roman"/>
        </w:rPr>
        <w:t>MeSH</w:t>
      </w:r>
      <w:proofErr w:type="spellEnd"/>
      <w:r>
        <w:rPr>
          <w:rFonts w:eastAsia="Times New Roman"/>
        </w:rPr>
        <w:t xml:space="preserve">] OR "cognitive behavioral therapy"[Title/Abstract] OR "cognitive </w:t>
      </w:r>
      <w:proofErr w:type="spellStart"/>
      <w:r>
        <w:rPr>
          <w:rFonts w:eastAsia="Times New Roman"/>
        </w:rPr>
        <w:t>behaviour</w:t>
      </w:r>
      <w:proofErr w:type="spellEnd"/>
      <w:r>
        <w:rPr>
          <w:rFonts w:eastAsia="Times New Roman"/>
        </w:rPr>
        <w:t xml:space="preserve"> therapy"[Title/Abstract] OR CBT[Title/Abstract] OR "cognitive therapy"[Title/Abstract]</w:t>
      </w:r>
    </w:p>
    <w:p w14:paraId="33E9F5B9" w14:textId="77777777" w:rsidR="000C3784" w:rsidRDefault="00D450DC">
      <w:pPr>
        <w:pStyle w:val="3"/>
      </w:pPr>
      <w:r>
        <w:t>Block #4. Unguided Self-Help / Delivery Modality</w:t>
      </w:r>
    </w:p>
    <w:p w14:paraId="318476FA" w14:textId="77777777" w:rsidR="000C3784" w:rsidRDefault="00D450DC">
      <w:pPr>
        <w:spacing w:after="120" w:line="360" w:lineRule="auto"/>
        <w:ind w:firstLine="360"/>
        <w:jc w:val="both"/>
      </w:pPr>
      <w:r>
        <w:rPr>
          <w:rFonts w:eastAsia="Times New Roman"/>
        </w:rPr>
        <w:t>(adapted from Tong et al., 2024) "Bibliotherapy"[</w:t>
      </w:r>
      <w:proofErr w:type="spellStart"/>
      <w:r>
        <w:rPr>
          <w:rFonts w:eastAsia="Times New Roman"/>
        </w:rPr>
        <w:t>MeSH</w:t>
      </w:r>
      <w:proofErr w:type="spellEnd"/>
      <w:r>
        <w:rPr>
          <w:rFonts w:eastAsia="Times New Roman"/>
        </w:rPr>
        <w:t xml:space="preserve">] OR </w:t>
      </w:r>
      <w:proofErr w:type="spellStart"/>
      <w:r>
        <w:rPr>
          <w:rFonts w:eastAsia="Times New Roman"/>
        </w:rPr>
        <w:t>bibliotherap</w:t>
      </w:r>
      <w:proofErr w:type="spellEnd"/>
      <w:r>
        <w:rPr>
          <w:rFonts w:eastAsia="Times New Roman"/>
        </w:rPr>
        <w:t>*[Title/Abstract] OR "self-help"[Title/Abstract] OR "</w:t>
      </w:r>
      <w:proofErr w:type="spellStart"/>
      <w:r>
        <w:rPr>
          <w:rFonts w:eastAsia="Times New Roman"/>
        </w:rPr>
        <w:t>self help</w:t>
      </w:r>
      <w:proofErr w:type="spellEnd"/>
      <w:r>
        <w:rPr>
          <w:rFonts w:eastAsia="Times New Roman"/>
        </w:rPr>
        <w:t xml:space="preserve">"[Title/Abstract] OR </w:t>
      </w:r>
      <w:proofErr w:type="spellStart"/>
      <w:r>
        <w:rPr>
          <w:rFonts w:eastAsia="Times New Roman"/>
        </w:rPr>
        <w:t>selfhelp</w:t>
      </w:r>
      <w:proofErr w:type="spellEnd"/>
      <w:r>
        <w:rPr>
          <w:rFonts w:eastAsia="Times New Roman"/>
        </w:rPr>
        <w:t>[Title/Abstract] OR workbook[Title/Abstract] OR manual[Title/Abstract] OR "Telemedicine"[</w:t>
      </w:r>
      <w:proofErr w:type="spellStart"/>
      <w:r>
        <w:rPr>
          <w:rFonts w:eastAsia="Times New Roman"/>
        </w:rPr>
        <w:t>MeSH</w:t>
      </w:r>
      <w:proofErr w:type="spellEnd"/>
      <w:r>
        <w:rPr>
          <w:rFonts w:eastAsia="Times New Roman"/>
        </w:rPr>
        <w:t>] OR "Mobile Applications"[</w:t>
      </w:r>
      <w:proofErr w:type="spellStart"/>
      <w:r>
        <w:rPr>
          <w:rFonts w:eastAsia="Times New Roman"/>
        </w:rPr>
        <w:t>MeSH</w:t>
      </w:r>
      <w:proofErr w:type="spellEnd"/>
      <w:r>
        <w:rPr>
          <w:rFonts w:eastAsia="Times New Roman"/>
        </w:rPr>
        <w:t>] OR "Therapy, Computer-Assisted"[</w:t>
      </w:r>
      <w:proofErr w:type="spellStart"/>
      <w:r>
        <w:rPr>
          <w:rFonts w:eastAsia="Times New Roman"/>
        </w:rPr>
        <w:t>MeSH</w:t>
      </w:r>
      <w:proofErr w:type="spellEnd"/>
      <w:r>
        <w:rPr>
          <w:rFonts w:eastAsia="Times New Roman"/>
        </w:rPr>
        <w:t xml:space="preserve">] OR telehealth[Title/Abstract] OR e-health[Title/Abstract] OR m-health[Title/Abstract] OR </w:t>
      </w:r>
      <w:proofErr w:type="spellStart"/>
      <w:r>
        <w:rPr>
          <w:rFonts w:eastAsia="Times New Roman"/>
        </w:rPr>
        <w:t>mhealth</w:t>
      </w:r>
      <w:proofErr w:type="spellEnd"/>
      <w:r>
        <w:rPr>
          <w:rFonts w:eastAsia="Times New Roman"/>
        </w:rPr>
        <w:t xml:space="preserve">[Title/Abstract] OR </w:t>
      </w:r>
      <w:proofErr w:type="spellStart"/>
      <w:r>
        <w:rPr>
          <w:rFonts w:eastAsia="Times New Roman"/>
        </w:rPr>
        <w:t>ehealth</w:t>
      </w:r>
      <w:proofErr w:type="spellEnd"/>
      <w:r>
        <w:rPr>
          <w:rFonts w:eastAsia="Times New Roman"/>
        </w:rPr>
        <w:t>[Title/Abstract] OR "internet-based"[Title/Abstract] OR "web-based"[Title/Abstract] OR online[Title/Abstract] OR app[Title/Abstract] OR smartphone[Title/Abstract] OR digital[Title/Abstract]</w:t>
      </w:r>
    </w:p>
    <w:p w14:paraId="41D51436" w14:textId="77777777" w:rsidR="000C3784" w:rsidRDefault="00D450DC">
      <w:pPr>
        <w:pStyle w:val="3"/>
      </w:pPr>
      <w:r>
        <w:t>Combined Strategy</w:t>
      </w:r>
    </w:p>
    <w:p w14:paraId="267528B8" w14:textId="77777777" w:rsidR="000C3784" w:rsidRDefault="00D450DC">
      <w:pPr>
        <w:spacing w:after="120" w:line="360" w:lineRule="auto"/>
        <w:ind w:firstLine="360"/>
        <w:jc w:val="both"/>
      </w:pPr>
      <w:r>
        <w:rPr>
          <w:rFonts w:eastAsia="Times New Roman"/>
        </w:rPr>
        <w:t>#1 AND #2 AND #3 AND #4</w:t>
      </w:r>
    </w:p>
    <w:p w14:paraId="77A7F128" w14:textId="77777777" w:rsidR="000C3784" w:rsidRDefault="00D450DC">
      <w:pPr>
        <w:pStyle w:val="1"/>
        <w:pageBreakBefore/>
      </w:pPr>
      <w:r>
        <w:lastRenderedPageBreak/>
        <w:t>Appendix B. CBT Component Abbreviations</w:t>
      </w:r>
    </w:p>
    <w:p w14:paraId="00DB9554" w14:textId="77777777" w:rsidR="000C3784" w:rsidRDefault="00D450DC">
      <w:pPr>
        <w:spacing w:after="120" w:line="360" w:lineRule="auto"/>
        <w:ind w:firstLine="360"/>
        <w:jc w:val="both"/>
      </w:pPr>
      <w:r>
        <w:rPr>
          <w:rFonts w:eastAsia="Times New Roman"/>
        </w:rPr>
        <w:t xml:space="preserve">CBT components were coded using the component framework of Furukawa et al. (2021). The abbreviations used in the </w:t>
      </w:r>
      <w:proofErr w:type="spellStart"/>
      <w:r>
        <w:rPr>
          <w:rFonts w:eastAsia="Times New Roman"/>
        </w:rPr>
        <w:t>Study_Info</w:t>
      </w:r>
      <w:proofErr w:type="spellEnd"/>
      <w:r>
        <w:rPr>
          <w:rFonts w:eastAsia="Times New Roman"/>
        </w:rPr>
        <w:t xml:space="preserve"> data-extraction sheet are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000"/>
        <w:gridCol w:w="4960"/>
      </w:tblGrid>
      <w:tr w:rsidR="000C3784" w14:paraId="73BB2BC2" w14:textId="77777777">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02FC6C7E" w14:textId="77777777" w:rsidR="000C3784" w:rsidRDefault="00D450DC">
            <w:pPr>
              <w:spacing w:line="276" w:lineRule="auto"/>
              <w:jc w:val="center"/>
            </w:pPr>
            <w:bookmarkStart w:id="95" w:name="OLE_LINK44"/>
            <w:r>
              <w:rPr>
                <w:rFonts w:eastAsia="Times New Roman"/>
                <w:b/>
                <w:bCs/>
                <w:sz w:val="20"/>
                <w:szCs w:val="20"/>
              </w:rPr>
              <w:t>Abbreviation</w:t>
            </w:r>
          </w:p>
        </w:tc>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8DAE15D" w14:textId="77777777" w:rsidR="000C3784" w:rsidRDefault="00D450DC">
            <w:pPr>
              <w:spacing w:line="276" w:lineRule="auto"/>
            </w:pPr>
            <w:r>
              <w:rPr>
                <w:rFonts w:eastAsia="Times New Roman"/>
                <w:b/>
                <w:bCs/>
                <w:sz w:val="20"/>
                <w:szCs w:val="20"/>
              </w:rPr>
              <w:t>Component</w:t>
            </w:r>
          </w:p>
        </w:tc>
        <w:tc>
          <w:tcPr>
            <w:tcW w:w="4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004659D" w14:textId="77777777" w:rsidR="000C3784" w:rsidRDefault="00D450DC">
            <w:pPr>
              <w:spacing w:line="276" w:lineRule="auto"/>
            </w:pPr>
            <w:r>
              <w:rPr>
                <w:rFonts w:eastAsia="Times New Roman"/>
                <w:b/>
                <w:bCs/>
                <w:sz w:val="20"/>
                <w:szCs w:val="20"/>
              </w:rPr>
              <w:t>Definition</w:t>
            </w:r>
          </w:p>
        </w:tc>
      </w:tr>
      <w:tr w:rsidR="000C3784" w14:paraId="318D72A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8AB37A" w14:textId="77777777" w:rsidR="000C3784" w:rsidRDefault="00D450DC">
            <w:pPr>
              <w:spacing w:line="276" w:lineRule="auto"/>
              <w:jc w:val="center"/>
            </w:pPr>
            <w:proofErr w:type="spellStart"/>
            <w:r>
              <w:rPr>
                <w:rFonts w:eastAsia="Times New Roman"/>
                <w:b/>
                <w:bCs/>
                <w:sz w:val="20"/>
                <w:szCs w:val="20"/>
              </w:rPr>
              <w:t>cr</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142EDA" w14:textId="77777777" w:rsidR="000C3784" w:rsidRDefault="00D450DC">
            <w:pPr>
              <w:spacing w:line="276" w:lineRule="auto"/>
            </w:pPr>
            <w:r>
              <w:rPr>
                <w:rFonts w:eastAsia="Times New Roman"/>
                <w:sz w:val="20"/>
                <w:szCs w:val="20"/>
              </w:rPr>
              <w:t>Cognitive restructuring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5651D0" w14:textId="30AF5EEB" w:rsidR="000C3784" w:rsidRDefault="00AC639D">
            <w:pPr>
              <w:spacing w:line="276" w:lineRule="auto"/>
            </w:pPr>
            <w:r>
              <w:rPr>
                <w:rFonts w:hint="eastAsia"/>
              </w:rPr>
              <w:t>T</w:t>
            </w:r>
            <w:r w:rsidRPr="00AC639D">
              <w:t xml:space="preserve">he integrated process of identifying, evaluating, and modifying maladaptive thoughts. The three steps form a single skill sequence rather than separable </w:t>
            </w:r>
            <w:proofErr w:type="gramStart"/>
            <w:r w:rsidRPr="00AC639D">
              <w:t>components, and</w:t>
            </w:r>
            <w:proofErr w:type="gramEnd"/>
            <w:r w:rsidRPr="00AC639D">
              <w:t xml:space="preserve"> are typically taught and practiced together using techniques such as Socratic questioning, thought records, and guided imagery.</w:t>
            </w:r>
          </w:p>
        </w:tc>
      </w:tr>
      <w:tr w:rsidR="000C3784" w14:paraId="3A18ABE5"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734AB4" w14:textId="77777777" w:rsidR="000C3784" w:rsidRDefault="00D450DC">
            <w:pPr>
              <w:spacing w:line="276" w:lineRule="auto"/>
              <w:jc w:val="center"/>
            </w:pPr>
            <w:proofErr w:type="spellStart"/>
            <w:r>
              <w:rPr>
                <w:rFonts w:eastAsia="Times New Roman"/>
                <w:b/>
                <w:bCs/>
                <w:sz w:val="20"/>
                <w:szCs w:val="20"/>
              </w:rPr>
              <w:t>ba</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05A86A" w14:textId="77777777" w:rsidR="000C3784" w:rsidRDefault="00D450DC">
            <w:pPr>
              <w:spacing w:line="276" w:lineRule="auto"/>
            </w:pPr>
            <w:r>
              <w:rPr>
                <w:rFonts w:eastAsia="Times New Roman"/>
                <w:sz w:val="20"/>
                <w:szCs w:val="20"/>
              </w:rPr>
              <w:t>Behavioral activation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1AE038" w14:textId="77777777" w:rsidR="000C3784" w:rsidRDefault="00D450DC">
            <w:pPr>
              <w:spacing w:line="276" w:lineRule="auto"/>
            </w:pPr>
            <w:r>
              <w:rPr>
                <w:rFonts w:eastAsia="Times New Roman"/>
                <w:sz w:val="20"/>
                <w:szCs w:val="20"/>
              </w:rPr>
              <w:t>Systematically increasing engagement in activities likely to produce positive reinforcement or a sense of accomplishment, via activity monitoring and scheduling.</w:t>
            </w:r>
          </w:p>
        </w:tc>
      </w:tr>
      <w:tr w:rsidR="000C3784" w14:paraId="7F04F0FF"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874B3A" w14:textId="77777777" w:rsidR="000C3784" w:rsidRDefault="00D450DC">
            <w:pPr>
              <w:spacing w:line="276" w:lineRule="auto"/>
              <w:jc w:val="center"/>
            </w:pPr>
            <w:proofErr w:type="spellStart"/>
            <w:r>
              <w:rPr>
                <w:rFonts w:eastAsia="Times New Roman"/>
                <w:b/>
                <w:bCs/>
                <w:sz w:val="20"/>
                <w:szCs w:val="20"/>
              </w:rPr>
              <w:t>ps</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5DE482" w14:textId="77777777" w:rsidR="000C3784" w:rsidRDefault="00D450DC">
            <w:pPr>
              <w:spacing w:line="276" w:lineRule="auto"/>
            </w:pPr>
            <w:r>
              <w:rPr>
                <w:rFonts w:eastAsia="Times New Roman"/>
                <w:sz w:val="20"/>
                <w:szCs w:val="20"/>
              </w:rPr>
              <w:t>Problem-solving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143369" w14:textId="77777777" w:rsidR="000C3784" w:rsidRDefault="00D450DC">
            <w:pPr>
              <w:spacing w:line="276" w:lineRule="auto"/>
            </w:pPr>
            <w:r>
              <w:rPr>
                <w:rFonts w:eastAsia="Times New Roman"/>
                <w:sz w:val="20"/>
                <w:szCs w:val="20"/>
              </w:rPr>
              <w:t>A stepwise approach to personal problems: defining the problem, generating alternatives, selecting and implementing solutions, and evaluating outcomes.</w:t>
            </w:r>
          </w:p>
        </w:tc>
      </w:tr>
      <w:tr w:rsidR="000C3784" w14:paraId="318183C2"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9E6D22" w14:textId="77777777" w:rsidR="000C3784" w:rsidRDefault="00D450DC">
            <w:pPr>
              <w:spacing w:line="276" w:lineRule="auto"/>
              <w:jc w:val="center"/>
            </w:pPr>
            <w:proofErr w:type="spellStart"/>
            <w:r>
              <w:rPr>
                <w:rFonts w:eastAsia="Times New Roman"/>
                <w:b/>
                <w:bCs/>
                <w:sz w:val="20"/>
                <w:szCs w:val="20"/>
              </w:rPr>
              <w:t>rx</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CD9888" w14:textId="77777777" w:rsidR="000C3784" w:rsidRDefault="00D450DC">
            <w:pPr>
              <w:spacing w:line="276" w:lineRule="auto"/>
            </w:pPr>
            <w:r>
              <w:rPr>
                <w:rFonts w:eastAsia="Times New Roman"/>
                <w:sz w:val="20"/>
                <w:szCs w:val="20"/>
              </w:rPr>
              <w:t>Relaxation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615186" w14:textId="77777777" w:rsidR="000C3784" w:rsidRDefault="00D450DC">
            <w:pPr>
              <w:spacing w:line="276" w:lineRule="auto"/>
            </w:pPr>
            <w:r>
              <w:rPr>
                <w:rFonts w:eastAsia="Times New Roman"/>
                <w:sz w:val="20"/>
                <w:szCs w:val="20"/>
              </w:rPr>
              <w:t>Techniques aimed at reducing physiological tension, most commonly Jacobson's progressive muscle relaxation or applied relaxation.</w:t>
            </w:r>
          </w:p>
        </w:tc>
      </w:tr>
      <w:tr w:rsidR="000C3784" w14:paraId="29464E6F"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A8698A" w14:textId="77777777" w:rsidR="000C3784" w:rsidRDefault="00D450DC">
            <w:pPr>
              <w:spacing w:line="276" w:lineRule="auto"/>
              <w:jc w:val="center"/>
            </w:pPr>
            <w:proofErr w:type="spellStart"/>
            <w:r>
              <w:rPr>
                <w:rFonts w:eastAsia="Times New Roman"/>
                <w:b/>
                <w:bCs/>
                <w:sz w:val="20"/>
                <w:szCs w:val="20"/>
              </w:rPr>
              <w:t>ist</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E5B895" w14:textId="77777777" w:rsidR="000C3784" w:rsidRDefault="00D450DC">
            <w:pPr>
              <w:spacing w:line="276" w:lineRule="auto"/>
            </w:pPr>
            <w:r>
              <w:rPr>
                <w:rFonts w:eastAsia="Times New Roman"/>
                <w:sz w:val="20"/>
                <w:szCs w:val="20"/>
              </w:rPr>
              <w:t>Interpersonal skills training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2E72A15" w14:textId="77777777" w:rsidR="000C3784" w:rsidRDefault="00D450DC">
            <w:pPr>
              <w:spacing w:line="276" w:lineRule="auto"/>
            </w:pPr>
            <w:r>
              <w:rPr>
                <w:rFonts w:eastAsia="Times New Roman"/>
                <w:sz w:val="20"/>
                <w:szCs w:val="20"/>
              </w:rPr>
              <w:t>Training in adaptive social behaviors, including assertiveness training, active listening, and conflict resolution.</w:t>
            </w:r>
          </w:p>
        </w:tc>
      </w:tr>
      <w:tr w:rsidR="000C3784" w14:paraId="3CB8948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3BB3E5" w14:textId="77777777" w:rsidR="000C3784" w:rsidRDefault="00D450DC">
            <w:pPr>
              <w:spacing w:line="276" w:lineRule="auto"/>
              <w:jc w:val="center"/>
            </w:pPr>
            <w:r>
              <w:rPr>
                <w:rFonts w:eastAsia="Times New Roman"/>
                <w:b/>
                <w:bCs/>
                <w:sz w:val="20"/>
                <w:szCs w:val="20"/>
              </w:rPr>
              <w:t>pe</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711B2D" w14:textId="77777777" w:rsidR="000C3784" w:rsidRDefault="00D450DC">
            <w:pPr>
              <w:spacing w:line="276" w:lineRule="auto"/>
            </w:pPr>
            <w:r>
              <w:rPr>
                <w:rFonts w:eastAsia="Times New Roman"/>
                <w:sz w:val="20"/>
                <w:szCs w:val="20"/>
              </w:rPr>
              <w:t>Psychoeducation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2C7605" w14:textId="77777777" w:rsidR="000C3784" w:rsidRDefault="00D450DC">
            <w:pPr>
              <w:spacing w:line="276" w:lineRule="auto"/>
            </w:pPr>
            <w:r>
              <w:rPr>
                <w:rFonts w:eastAsia="Times New Roman"/>
                <w:sz w:val="20"/>
                <w:szCs w:val="20"/>
              </w:rPr>
              <w:t>Information about the nature, causes, and course of depression, framed within a coherent therapeutic model.</w:t>
            </w:r>
          </w:p>
        </w:tc>
      </w:tr>
      <w:tr w:rsidR="000C3784" w14:paraId="6BF67BEA"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25E7EA" w14:textId="77777777" w:rsidR="000C3784" w:rsidRDefault="00D450DC">
            <w:pPr>
              <w:spacing w:line="276" w:lineRule="auto"/>
              <w:jc w:val="center"/>
            </w:pPr>
            <w:proofErr w:type="spellStart"/>
            <w:r>
              <w:rPr>
                <w:rFonts w:eastAsia="Times New Roman"/>
                <w:b/>
                <w:bCs/>
                <w:sz w:val="20"/>
                <w:szCs w:val="20"/>
              </w:rPr>
              <w:t>hw</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3EC7B0" w14:textId="77777777" w:rsidR="000C3784" w:rsidRDefault="00D450DC">
            <w:pPr>
              <w:spacing w:line="276" w:lineRule="auto"/>
            </w:pPr>
            <w:r>
              <w:rPr>
                <w:rFonts w:eastAsia="Times New Roman"/>
                <w:sz w:val="20"/>
                <w:szCs w:val="20"/>
              </w:rPr>
              <w:t>Homework</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7F6FF3" w14:textId="77777777" w:rsidR="000C3784" w:rsidRDefault="00D450DC">
            <w:pPr>
              <w:spacing w:line="276" w:lineRule="auto"/>
            </w:pPr>
            <w:r>
              <w:rPr>
                <w:rFonts w:eastAsia="Times New Roman"/>
                <w:sz w:val="20"/>
                <w:szCs w:val="20"/>
              </w:rPr>
              <w:t>Between-session or between-module assignments requiring application of skills in the participant's own environment.</w:t>
            </w:r>
          </w:p>
        </w:tc>
      </w:tr>
      <w:tr w:rsidR="000C3784" w14:paraId="4667C723"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9FCBA83" w14:textId="77777777" w:rsidR="000C3784" w:rsidRDefault="00D450DC">
            <w:pPr>
              <w:spacing w:line="276" w:lineRule="auto"/>
              <w:jc w:val="center"/>
            </w:pPr>
            <w:proofErr w:type="spellStart"/>
            <w:r>
              <w:rPr>
                <w:rFonts w:eastAsia="Times New Roman"/>
                <w:b/>
                <w:bCs/>
                <w:sz w:val="20"/>
                <w:szCs w:val="20"/>
              </w:rPr>
              <w:t>rp</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8C3332" w14:textId="77777777" w:rsidR="000C3784" w:rsidRDefault="00D450DC">
            <w:pPr>
              <w:spacing w:line="276" w:lineRule="auto"/>
            </w:pPr>
            <w:r>
              <w:rPr>
                <w:rFonts w:eastAsia="Times New Roman"/>
                <w:sz w:val="20"/>
                <w:szCs w:val="20"/>
              </w:rPr>
              <w:t>Relapse prevention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94C573" w14:textId="77777777" w:rsidR="000C3784" w:rsidRDefault="00D450DC">
            <w:pPr>
              <w:spacing w:line="276" w:lineRule="auto"/>
            </w:pPr>
            <w:r>
              <w:rPr>
                <w:rFonts w:eastAsia="Times New Roman"/>
                <w:sz w:val="20"/>
                <w:szCs w:val="20"/>
              </w:rPr>
              <w:t>Review of learned skills and construction of a concrete plan for handling foreseeable future challenges.</w:t>
            </w:r>
          </w:p>
        </w:tc>
      </w:tr>
      <w:tr w:rsidR="000C3784" w14:paraId="7E6A05FB"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4F54F2" w14:textId="77777777" w:rsidR="000C3784" w:rsidRDefault="00D450DC">
            <w:pPr>
              <w:spacing w:line="276" w:lineRule="auto"/>
              <w:jc w:val="center"/>
            </w:pPr>
            <w:r>
              <w:rPr>
                <w:rFonts w:eastAsia="Times New Roman"/>
                <w:b/>
                <w:bCs/>
                <w:sz w:val="20"/>
                <w:szCs w:val="20"/>
              </w:rPr>
              <w:t>3w</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7A8979" w14:textId="77777777" w:rsidR="000C3784" w:rsidRDefault="00D450DC">
            <w:pPr>
              <w:spacing w:line="276" w:lineRule="auto"/>
            </w:pPr>
            <w:r>
              <w:rPr>
                <w:rFonts w:eastAsia="Times New Roman"/>
                <w:sz w:val="20"/>
                <w:szCs w:val="20"/>
              </w:rPr>
              <w:t>Third-wave elements</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F8E4B1" w14:textId="77777777" w:rsidR="000C3784" w:rsidRDefault="00D450DC">
            <w:pPr>
              <w:spacing w:line="276" w:lineRule="auto"/>
            </w:pPr>
            <w:r>
              <w:rPr>
                <w:rFonts w:eastAsia="Times New Roman"/>
                <w:sz w:val="20"/>
                <w:szCs w:val="20"/>
              </w:rPr>
              <w:t>Mindfulness, acceptance, and self-compassion components drawn from third-wave CBT approaches.</w:t>
            </w:r>
          </w:p>
        </w:tc>
      </w:tr>
      <w:tr w:rsidR="000C3784" w14:paraId="7009F49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746A6A" w14:textId="77777777" w:rsidR="000C3784" w:rsidRDefault="00D450DC">
            <w:pPr>
              <w:spacing w:line="276" w:lineRule="auto"/>
              <w:jc w:val="center"/>
            </w:pPr>
            <w:r>
              <w:rPr>
                <w:rFonts w:eastAsia="Times New Roman"/>
                <w:b/>
                <w:bCs/>
                <w:sz w:val="20"/>
                <w:szCs w:val="20"/>
              </w:rPr>
              <w:t>pr</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2344A4" w14:textId="77777777" w:rsidR="000C3784" w:rsidRDefault="00D450DC">
            <w:pPr>
              <w:spacing w:line="276" w:lineRule="auto"/>
            </w:pPr>
            <w:r>
              <w:rPr>
                <w:rFonts w:eastAsia="Times New Roman"/>
                <w:sz w:val="20"/>
                <w:szCs w:val="20"/>
              </w:rPr>
              <w:t>Behavioral therapy for insomnia</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0D2325" w14:textId="77777777" w:rsidR="000C3784" w:rsidRDefault="00D450DC">
            <w:pPr>
              <w:spacing w:line="276" w:lineRule="auto"/>
            </w:pPr>
            <w:r>
              <w:rPr>
                <w:rFonts w:eastAsia="Times New Roman"/>
                <w:sz w:val="20"/>
                <w:szCs w:val="20"/>
              </w:rPr>
              <w:t>Sleep restriction and stimulus control procedures targeting insomnia co-occurring with depression.</w:t>
            </w:r>
          </w:p>
        </w:tc>
      </w:tr>
    </w:tbl>
    <w:bookmarkEnd w:id="95"/>
    <w:p w14:paraId="48F84C5F" w14:textId="77777777" w:rsidR="000C3784" w:rsidRDefault="00D450DC">
      <w:pPr>
        <w:pStyle w:val="1"/>
        <w:pageBreakBefore/>
      </w:pPr>
      <w:r>
        <w:lastRenderedPageBreak/>
        <w:t>Appendix C. Exclusion Reason Codes</w:t>
      </w:r>
    </w:p>
    <w:p w14:paraId="7896BAE4" w14:textId="77777777" w:rsidR="000C3784" w:rsidRDefault="00D450DC">
      <w:pPr>
        <w:spacing w:after="120" w:line="360" w:lineRule="auto"/>
        <w:ind w:firstLine="360"/>
        <w:jc w:val="both"/>
      </w:pPr>
      <w:r>
        <w:rPr>
          <w:rFonts w:eastAsia="Times New Roman"/>
        </w:rPr>
        <w:t>At the full-text screening stage, excluded studies were assigned a standardized exclusion reason code. The codes are defined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8160"/>
      </w:tblGrid>
      <w:tr w:rsidR="000C3784" w14:paraId="1C9EBE7A" w14:textId="77777777">
        <w:tc>
          <w:tcPr>
            <w:tcW w:w="12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498CA9A0" w14:textId="77777777" w:rsidR="000C3784" w:rsidRDefault="00D450DC">
            <w:pPr>
              <w:spacing w:line="276" w:lineRule="auto"/>
              <w:jc w:val="center"/>
            </w:pPr>
            <w:r>
              <w:rPr>
                <w:rFonts w:eastAsia="Times New Roman"/>
                <w:b/>
                <w:bCs/>
                <w:sz w:val="20"/>
                <w:szCs w:val="20"/>
              </w:rPr>
              <w:t>Code</w:t>
            </w:r>
          </w:p>
        </w:tc>
        <w:tc>
          <w:tcPr>
            <w:tcW w:w="81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4542F13" w14:textId="77777777" w:rsidR="000C3784" w:rsidRDefault="00D450DC">
            <w:pPr>
              <w:spacing w:line="276" w:lineRule="auto"/>
            </w:pPr>
            <w:r>
              <w:rPr>
                <w:rFonts w:eastAsia="Times New Roman"/>
                <w:b/>
                <w:bCs/>
                <w:sz w:val="20"/>
                <w:szCs w:val="20"/>
              </w:rPr>
              <w:t>Reason for Exclusion</w:t>
            </w:r>
          </w:p>
        </w:tc>
      </w:tr>
      <w:tr w:rsidR="000C3784" w14:paraId="137324A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FE083E" w14:textId="77777777" w:rsidR="000C3784" w:rsidRDefault="00D450DC">
            <w:pPr>
              <w:spacing w:line="276" w:lineRule="auto"/>
              <w:jc w:val="center"/>
            </w:pPr>
            <w:bookmarkStart w:id="96" w:name="_Hlk228529360"/>
            <w:r>
              <w:rPr>
                <w:rFonts w:eastAsia="Times New Roman"/>
                <w:b/>
                <w:bCs/>
                <w:sz w:val="20"/>
                <w:szCs w:val="20"/>
              </w:rPr>
              <w:t>E1</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8EF5A8" w14:textId="77777777" w:rsidR="000C3784" w:rsidRDefault="00D450DC">
            <w:pPr>
              <w:spacing w:line="276" w:lineRule="auto"/>
            </w:pPr>
            <w:r>
              <w:rPr>
                <w:rFonts w:eastAsia="Times New Roman"/>
                <w:sz w:val="20"/>
                <w:szCs w:val="20"/>
              </w:rPr>
              <w:t>Not a randomized controlled trial</w:t>
            </w:r>
          </w:p>
        </w:tc>
      </w:tr>
      <w:bookmarkEnd w:id="96"/>
      <w:tr w:rsidR="000C3784" w14:paraId="671E52B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3519619" w14:textId="77777777" w:rsidR="000C3784" w:rsidRDefault="00D450DC">
            <w:pPr>
              <w:spacing w:line="276" w:lineRule="auto"/>
              <w:jc w:val="center"/>
            </w:pPr>
            <w:r>
              <w:rPr>
                <w:rFonts w:eastAsia="Times New Roman"/>
                <w:b/>
                <w:bCs/>
                <w:sz w:val="20"/>
                <w:szCs w:val="20"/>
              </w:rPr>
              <w:t>E2</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F813DA" w14:textId="77777777" w:rsidR="000C3784" w:rsidRDefault="00D450DC">
            <w:pPr>
              <w:spacing w:line="276" w:lineRule="auto"/>
            </w:pPr>
            <w:r>
              <w:rPr>
                <w:rFonts w:eastAsia="Times New Roman"/>
                <w:sz w:val="20"/>
                <w:szCs w:val="20"/>
              </w:rPr>
              <w:t>Participant age range extends outside 10–19 years</w:t>
            </w:r>
          </w:p>
        </w:tc>
      </w:tr>
      <w:tr w:rsidR="000C3784" w14:paraId="3AD57B3E"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157D2A8" w14:textId="77777777" w:rsidR="000C3784" w:rsidRDefault="00D450DC">
            <w:pPr>
              <w:spacing w:line="276" w:lineRule="auto"/>
              <w:jc w:val="center"/>
            </w:pPr>
            <w:r>
              <w:rPr>
                <w:rFonts w:eastAsia="Times New Roman"/>
                <w:b/>
                <w:bCs/>
                <w:sz w:val="20"/>
                <w:szCs w:val="20"/>
              </w:rPr>
              <w:t>E3</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3935E5" w14:textId="295EB12E" w:rsidR="000C3784" w:rsidRDefault="00AC639D">
            <w:pPr>
              <w:spacing w:line="276" w:lineRule="auto"/>
            </w:pPr>
            <w:bookmarkStart w:id="97" w:name="OLE_LINK5"/>
            <w:r w:rsidRPr="00AC639D">
              <w:t>Intervention is not CBT-based or lacks required CBT components (cognitive restructuring and at least one behavioral component)</w:t>
            </w:r>
            <w:bookmarkEnd w:id="97"/>
          </w:p>
        </w:tc>
      </w:tr>
      <w:tr w:rsidR="000C3784" w14:paraId="1D6704B4"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AE5C67A" w14:textId="77777777" w:rsidR="000C3784" w:rsidRDefault="00D450DC">
            <w:pPr>
              <w:spacing w:line="276" w:lineRule="auto"/>
              <w:jc w:val="center"/>
            </w:pPr>
            <w:r>
              <w:rPr>
                <w:rFonts w:eastAsia="Times New Roman"/>
                <w:b/>
                <w:bCs/>
                <w:sz w:val="20"/>
                <w:szCs w:val="20"/>
              </w:rPr>
              <w:t>E4</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FBFEB3" w14:textId="77777777" w:rsidR="000C3784" w:rsidRDefault="00D450DC">
            <w:pPr>
              <w:spacing w:line="276" w:lineRule="auto"/>
            </w:pPr>
            <w:r>
              <w:rPr>
                <w:rFonts w:eastAsia="Times New Roman"/>
                <w:sz w:val="20"/>
                <w:szCs w:val="20"/>
              </w:rPr>
              <w:t>Intervention includes therapist-delivered therapeutic content (i.e., guided rather than unguided)</w:t>
            </w:r>
          </w:p>
        </w:tc>
      </w:tr>
      <w:tr w:rsidR="000C3784" w14:paraId="7CD9FA3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2C218B" w14:textId="77777777" w:rsidR="000C3784" w:rsidRDefault="00D450DC">
            <w:pPr>
              <w:spacing w:line="276" w:lineRule="auto"/>
              <w:jc w:val="center"/>
            </w:pPr>
            <w:r>
              <w:rPr>
                <w:rFonts w:eastAsia="Times New Roman"/>
                <w:b/>
                <w:bCs/>
                <w:sz w:val="20"/>
                <w:szCs w:val="20"/>
              </w:rPr>
              <w:t>E5</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0F9527" w14:textId="77777777" w:rsidR="000C3784" w:rsidRDefault="00D450DC">
            <w:pPr>
              <w:spacing w:line="276" w:lineRule="auto"/>
            </w:pPr>
            <w:r>
              <w:rPr>
                <w:rFonts w:eastAsia="Times New Roman"/>
                <w:sz w:val="20"/>
                <w:szCs w:val="20"/>
              </w:rPr>
              <w:t>Depression is neither a primary outcome nor a primary target, or no baseline cutoff met</w:t>
            </w:r>
          </w:p>
        </w:tc>
      </w:tr>
      <w:tr w:rsidR="000C3784" w14:paraId="0F657857"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6021E9" w14:textId="77777777" w:rsidR="000C3784" w:rsidRDefault="00D450DC">
            <w:pPr>
              <w:spacing w:line="276" w:lineRule="auto"/>
              <w:jc w:val="center"/>
            </w:pPr>
            <w:r>
              <w:rPr>
                <w:rFonts w:eastAsia="Times New Roman"/>
                <w:b/>
                <w:bCs/>
                <w:sz w:val="20"/>
                <w:szCs w:val="20"/>
              </w:rPr>
              <w:t>E6</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01C813" w14:textId="2DDDCAA0" w:rsidR="000C3784" w:rsidRDefault="00AC639D">
            <w:pPr>
              <w:spacing w:line="276" w:lineRule="auto"/>
            </w:pPr>
            <w:r w:rsidRPr="00AC639D">
              <w:rPr>
                <w:rFonts w:eastAsia="Times New Roman"/>
                <w:sz w:val="20"/>
                <w:szCs w:val="20"/>
              </w:rPr>
              <w:t>Comparator is an active treatment (psychological or pharmacological) rather than a non-active control</w:t>
            </w:r>
          </w:p>
        </w:tc>
      </w:tr>
      <w:tr w:rsidR="000C3784" w14:paraId="77F3052F"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C669C3" w14:textId="77777777" w:rsidR="000C3784" w:rsidRDefault="00D450DC">
            <w:pPr>
              <w:spacing w:line="276" w:lineRule="auto"/>
              <w:jc w:val="center"/>
            </w:pPr>
            <w:r>
              <w:rPr>
                <w:rFonts w:eastAsia="Times New Roman"/>
                <w:b/>
                <w:bCs/>
                <w:sz w:val="20"/>
                <w:szCs w:val="20"/>
              </w:rPr>
              <w:t>E7</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D4349B" w14:textId="77777777" w:rsidR="000C3784" w:rsidRDefault="00D450DC">
            <w:pPr>
              <w:spacing w:line="276" w:lineRule="auto"/>
            </w:pPr>
            <w:r>
              <w:rPr>
                <w:rFonts w:eastAsia="Times New Roman"/>
                <w:sz w:val="20"/>
                <w:szCs w:val="20"/>
              </w:rPr>
              <w:t>Insufficient data to compute effect size</w:t>
            </w:r>
          </w:p>
        </w:tc>
      </w:tr>
      <w:tr w:rsidR="000C3784" w14:paraId="0CFA47A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1AC4F9" w14:textId="77777777" w:rsidR="000C3784" w:rsidRDefault="00D450DC">
            <w:pPr>
              <w:spacing w:line="276" w:lineRule="auto"/>
              <w:jc w:val="center"/>
            </w:pPr>
            <w:r>
              <w:rPr>
                <w:rFonts w:eastAsia="Times New Roman"/>
                <w:b/>
                <w:bCs/>
                <w:sz w:val="20"/>
                <w:szCs w:val="20"/>
              </w:rPr>
              <w:t>E8</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0369B0" w14:textId="77777777" w:rsidR="000C3784" w:rsidRDefault="00D450DC">
            <w:pPr>
              <w:spacing w:line="276" w:lineRule="auto"/>
            </w:pPr>
            <w:bookmarkStart w:id="98" w:name="OLE_LINK6"/>
            <w:r>
              <w:rPr>
                <w:rFonts w:eastAsia="Times New Roman"/>
                <w:sz w:val="20"/>
                <w:szCs w:val="20"/>
              </w:rPr>
              <w:t>Conference abstract or protocol-only publication</w:t>
            </w:r>
            <w:bookmarkEnd w:id="98"/>
          </w:p>
        </w:tc>
      </w:tr>
      <w:tr w:rsidR="000C3784" w14:paraId="2804BED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9A91EC" w14:textId="77777777" w:rsidR="000C3784" w:rsidRDefault="00D450DC">
            <w:pPr>
              <w:spacing w:line="276" w:lineRule="auto"/>
              <w:jc w:val="center"/>
            </w:pPr>
            <w:r>
              <w:rPr>
                <w:rFonts w:eastAsia="Times New Roman"/>
                <w:b/>
                <w:bCs/>
                <w:sz w:val="20"/>
                <w:szCs w:val="20"/>
              </w:rPr>
              <w:t>E9</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DD11E7" w14:textId="77777777" w:rsidR="000C3784" w:rsidRDefault="00D450DC">
            <w:pPr>
              <w:spacing w:line="276" w:lineRule="auto"/>
            </w:pPr>
            <w:r>
              <w:rPr>
                <w:rFonts w:eastAsia="Times New Roman"/>
                <w:sz w:val="20"/>
                <w:szCs w:val="20"/>
              </w:rPr>
              <w:t>Comorbid condition directly confounds depression outcome (e.g., hypothyroidism)</w:t>
            </w:r>
          </w:p>
        </w:tc>
      </w:tr>
      <w:tr w:rsidR="000C3784" w14:paraId="1E9F09F4"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19CB24" w14:textId="77777777" w:rsidR="000C3784" w:rsidRDefault="00D450DC">
            <w:pPr>
              <w:spacing w:line="276" w:lineRule="auto"/>
              <w:jc w:val="center"/>
            </w:pPr>
            <w:bookmarkStart w:id="99" w:name="_Hlk228529567"/>
            <w:r>
              <w:rPr>
                <w:rFonts w:eastAsia="Times New Roman"/>
                <w:b/>
                <w:bCs/>
                <w:sz w:val="20"/>
                <w:szCs w:val="20"/>
              </w:rPr>
              <w:t>E10</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931525" w14:textId="77777777" w:rsidR="000C3784" w:rsidRDefault="00D450DC">
            <w:pPr>
              <w:spacing w:line="276" w:lineRule="auto"/>
            </w:pPr>
            <w:r>
              <w:rPr>
                <w:rFonts w:eastAsia="Times New Roman"/>
                <w:sz w:val="20"/>
                <w:szCs w:val="20"/>
              </w:rPr>
              <w:t>Sample population substantially limits generalizability (e.g., pregnant adolescents)</w:t>
            </w:r>
          </w:p>
        </w:tc>
      </w:tr>
      <w:bookmarkEnd w:id="99"/>
      <w:tr w:rsidR="000C3784" w14:paraId="5B23F4F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4DA37D" w14:textId="77777777" w:rsidR="000C3784" w:rsidRDefault="00D450DC">
            <w:pPr>
              <w:spacing w:line="276" w:lineRule="auto"/>
              <w:jc w:val="center"/>
            </w:pPr>
            <w:r>
              <w:rPr>
                <w:rFonts w:eastAsia="Times New Roman"/>
                <w:b/>
                <w:bCs/>
                <w:sz w:val="20"/>
                <w:szCs w:val="20"/>
              </w:rPr>
              <w:t>E11</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85E80B" w14:textId="77777777" w:rsidR="000C3784" w:rsidRDefault="00D450DC">
            <w:pPr>
              <w:spacing w:line="276" w:lineRule="auto"/>
            </w:pPr>
            <w:r>
              <w:rPr>
                <w:rFonts w:eastAsia="Times New Roman"/>
                <w:sz w:val="20"/>
                <w:szCs w:val="20"/>
              </w:rPr>
              <w:t>Duplicate publication of an already-included study</w:t>
            </w:r>
          </w:p>
        </w:tc>
      </w:tr>
      <w:tr w:rsidR="000C3784" w14:paraId="7F1C56BB"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78A0A3" w14:textId="77777777" w:rsidR="000C3784" w:rsidRDefault="00D450DC">
            <w:pPr>
              <w:spacing w:line="276" w:lineRule="auto"/>
              <w:jc w:val="center"/>
            </w:pPr>
            <w:r>
              <w:rPr>
                <w:rFonts w:eastAsia="Times New Roman"/>
                <w:b/>
                <w:bCs/>
                <w:sz w:val="20"/>
                <w:szCs w:val="20"/>
              </w:rPr>
              <w:t>E12</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B753F2" w14:textId="77777777" w:rsidR="000C3784" w:rsidRDefault="00D450DC">
            <w:pPr>
              <w:spacing w:line="276" w:lineRule="auto"/>
            </w:pPr>
            <w:r>
              <w:rPr>
                <w:rFonts w:eastAsia="Times New Roman"/>
                <w:sz w:val="20"/>
                <w:szCs w:val="20"/>
              </w:rPr>
              <w:t>Full text unavailable after author contact</w:t>
            </w:r>
          </w:p>
        </w:tc>
      </w:tr>
    </w:tbl>
    <w:p w14:paraId="7D3852BE" w14:textId="77777777" w:rsidR="000C3784" w:rsidRDefault="00D450DC">
      <w:pPr>
        <w:pStyle w:val="1"/>
        <w:pageBreakBefore/>
      </w:pPr>
      <w:r>
        <w:lastRenderedPageBreak/>
        <w:t>Appendix D. Characteristics of Included Interventions</w:t>
      </w:r>
    </w:p>
    <w:p w14:paraId="74CB4B51" w14:textId="77777777" w:rsidR="000C3784" w:rsidRDefault="00D450DC">
      <w:pPr>
        <w:spacing w:after="120" w:line="360" w:lineRule="auto"/>
        <w:ind w:firstLine="360"/>
        <w:jc w:val="both"/>
      </w:pPr>
      <w:r>
        <w:rPr>
          <w:rFonts w:eastAsia="Times New Roman"/>
        </w:rPr>
        <w:t>This appendix summarizes the characteristics of the self-help intervention programs evaluated in the RCTs included in this review. Part D.1 presents a concise index of the programs together with country, primary mental-health domain, and delivery modality. Part D.2 provides a detailed narrative description of each program, including its structure, content, and constituent CBT components. Where a program was evaluated across multiple trials, all corresponding references are listed together to make the many-to-one mapping between trials and programs explicit.</w:t>
      </w:r>
    </w:p>
    <w:p w14:paraId="36154BDA" w14:textId="77777777" w:rsidR="000C3784" w:rsidRDefault="00D450DC">
      <w:pPr>
        <w:pStyle w:val="2"/>
      </w:pPr>
      <w:r>
        <w:t>D.1. Summary Index of Included Intervention Programs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560"/>
        <w:gridCol w:w="1500"/>
        <w:gridCol w:w="2400"/>
        <w:gridCol w:w="2300"/>
      </w:tblGrid>
      <w:tr w:rsidR="000C3784" w14:paraId="7D738DEB" w14:textId="77777777">
        <w:trPr>
          <w:tblHeader/>
        </w:trPr>
        <w:tc>
          <w:tcPr>
            <w:tcW w:w="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A0BB38C" w14:textId="77777777" w:rsidR="000C3784" w:rsidRDefault="00D450DC">
            <w:pPr>
              <w:spacing w:line="276" w:lineRule="auto"/>
              <w:jc w:val="center"/>
            </w:pPr>
            <w:r>
              <w:rPr>
                <w:rFonts w:eastAsia="Times New Roman"/>
                <w:b/>
                <w:bCs/>
                <w:sz w:val="20"/>
                <w:szCs w:val="20"/>
              </w:rPr>
              <w:t>#</w:t>
            </w:r>
          </w:p>
        </w:tc>
        <w:tc>
          <w:tcPr>
            <w:tcW w:w="25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5DF3FB64" w14:textId="77777777" w:rsidR="000C3784" w:rsidRDefault="00D450DC">
            <w:pPr>
              <w:spacing w:line="276" w:lineRule="auto"/>
            </w:pPr>
            <w:r>
              <w:rPr>
                <w:rFonts w:eastAsia="Times New Roman"/>
                <w:b/>
                <w:bCs/>
                <w:sz w:val="20"/>
                <w:szCs w:val="20"/>
              </w:rPr>
              <w:t>Program (References)</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4001CFE" w14:textId="77777777" w:rsidR="000C3784" w:rsidRDefault="00D450DC">
            <w:pPr>
              <w:spacing w:line="276" w:lineRule="auto"/>
            </w:pPr>
            <w:r>
              <w:rPr>
                <w:rFonts w:eastAsia="Times New Roman"/>
                <w:b/>
                <w:bCs/>
                <w:sz w:val="20"/>
                <w:szCs w:val="20"/>
              </w:rPr>
              <w:t>Country</w:t>
            </w:r>
          </w:p>
        </w:tc>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43652B2B" w14:textId="77777777" w:rsidR="000C3784" w:rsidRDefault="00D450DC">
            <w:pPr>
              <w:spacing w:line="276" w:lineRule="auto"/>
            </w:pPr>
            <w:r>
              <w:rPr>
                <w:rFonts w:eastAsia="Times New Roman"/>
                <w:b/>
                <w:bCs/>
                <w:sz w:val="20"/>
                <w:szCs w:val="20"/>
              </w:rPr>
              <w:t>Mental Health Domain</w:t>
            </w:r>
          </w:p>
        </w:tc>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B35E3DE" w14:textId="77777777" w:rsidR="000C3784" w:rsidRDefault="00D450DC">
            <w:pPr>
              <w:spacing w:line="276" w:lineRule="auto"/>
            </w:pPr>
            <w:r>
              <w:rPr>
                <w:rFonts w:eastAsia="Times New Roman"/>
                <w:b/>
                <w:bCs/>
                <w:sz w:val="20"/>
                <w:szCs w:val="20"/>
              </w:rPr>
              <w:t>Delivery Modality</w:t>
            </w:r>
          </w:p>
        </w:tc>
      </w:tr>
      <w:tr w:rsidR="000C3784" w14:paraId="12F43939"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185B25" w14:textId="77777777" w:rsidR="000C3784" w:rsidRDefault="00D450DC">
            <w:pPr>
              <w:spacing w:line="276" w:lineRule="auto"/>
              <w:jc w:val="center"/>
            </w:pPr>
            <w:r>
              <w:rPr>
                <w:rFonts w:eastAsia="Times New Roman"/>
                <w:b/>
                <w:bCs/>
                <w:sz w:val="20"/>
                <w:szCs w:val="20"/>
              </w:rPr>
              <w:t>1</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26D6E23" w14:textId="77777777" w:rsidR="000C3784" w:rsidRDefault="00D450DC">
            <w:pPr>
              <w:spacing w:line="276" w:lineRule="auto"/>
            </w:pPr>
            <w:r>
              <w:rPr>
                <w:rFonts w:eastAsia="Times New Roman"/>
                <w:sz w:val="20"/>
                <w:szCs w:val="20"/>
              </w:rPr>
              <w:t>Blueblaster (</w:t>
            </w:r>
            <w:proofErr w:type="spellStart"/>
            <w:r>
              <w:rPr>
                <w:rFonts w:eastAsia="Times New Roman"/>
                <w:sz w:val="20"/>
                <w:szCs w:val="20"/>
              </w:rPr>
              <w:t>Makarushka</w:t>
            </w:r>
            <w:proofErr w:type="spellEnd"/>
            <w:r>
              <w:rPr>
                <w:rFonts w:eastAsia="Times New Roman"/>
                <w:sz w:val="20"/>
                <w:szCs w:val="20"/>
              </w:rPr>
              <w:t>, 2011)</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270A6E"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C81660"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0F1062" w14:textId="77777777" w:rsidR="000C3784" w:rsidRDefault="00D450DC">
            <w:pPr>
              <w:spacing w:line="276" w:lineRule="auto"/>
            </w:pPr>
            <w:r>
              <w:rPr>
                <w:rFonts w:eastAsia="Times New Roman"/>
                <w:sz w:val="20"/>
                <w:szCs w:val="20"/>
              </w:rPr>
              <w:t>Internet</w:t>
            </w:r>
          </w:p>
        </w:tc>
      </w:tr>
      <w:tr w:rsidR="000C3784" w14:paraId="5535D1DD"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E440D55" w14:textId="77777777" w:rsidR="000C3784" w:rsidRDefault="00D450DC">
            <w:pPr>
              <w:spacing w:line="276" w:lineRule="auto"/>
              <w:jc w:val="center"/>
            </w:pPr>
            <w:r>
              <w:rPr>
                <w:rFonts w:eastAsia="Times New Roman"/>
                <w:b/>
                <w:bCs/>
                <w:sz w:val="20"/>
                <w:szCs w:val="20"/>
              </w:rPr>
              <w:t>2</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C0569C" w14:textId="77777777" w:rsidR="000C3784" w:rsidRDefault="00D450DC">
            <w:pPr>
              <w:spacing w:line="276" w:lineRule="auto"/>
            </w:pPr>
            <w:proofErr w:type="spellStart"/>
            <w:r>
              <w:rPr>
                <w:rFonts w:eastAsia="Times New Roman"/>
                <w:sz w:val="20"/>
                <w:szCs w:val="20"/>
              </w:rPr>
              <w:t>BlueIce</w:t>
            </w:r>
            <w:proofErr w:type="spellEnd"/>
            <w:r>
              <w:rPr>
                <w:rFonts w:eastAsia="Times New Roman"/>
                <w:sz w:val="20"/>
                <w:szCs w:val="20"/>
              </w:rPr>
              <w:t xml:space="preserve"> (Stallard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C78B9F" w14:textId="77777777" w:rsidR="000C3784" w:rsidRDefault="00D450DC">
            <w:pPr>
              <w:spacing w:line="276" w:lineRule="auto"/>
            </w:pPr>
            <w:r>
              <w:rPr>
                <w:rFonts w:eastAsia="Times New Roman"/>
                <w:sz w:val="20"/>
                <w:szCs w:val="20"/>
              </w:rPr>
              <w:t>UK</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440A49" w14:textId="77777777" w:rsidR="000C3784" w:rsidRDefault="00D450DC">
            <w:pPr>
              <w:spacing w:line="276" w:lineRule="auto"/>
            </w:pPr>
            <w:r>
              <w:rPr>
                <w:rFonts w:eastAsia="Times New Roman"/>
                <w:sz w:val="20"/>
                <w:szCs w:val="20"/>
              </w:rPr>
              <w:t>Self-harm (with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4B5CD9" w14:textId="77777777" w:rsidR="000C3784" w:rsidRDefault="00D450DC">
            <w:pPr>
              <w:spacing w:line="276" w:lineRule="auto"/>
            </w:pPr>
            <w:r>
              <w:rPr>
                <w:rFonts w:eastAsia="Times New Roman"/>
                <w:sz w:val="20"/>
                <w:szCs w:val="20"/>
              </w:rPr>
              <w:t>Mobile app</w:t>
            </w:r>
          </w:p>
        </w:tc>
      </w:tr>
      <w:tr w:rsidR="000C3784" w14:paraId="35E3A1D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C0EDBF" w14:textId="77777777" w:rsidR="000C3784" w:rsidRDefault="00D450DC">
            <w:pPr>
              <w:spacing w:line="276" w:lineRule="auto"/>
              <w:jc w:val="center"/>
            </w:pPr>
            <w:r>
              <w:rPr>
                <w:rFonts w:eastAsia="Times New Roman"/>
                <w:b/>
                <w:bCs/>
                <w:sz w:val="20"/>
                <w:szCs w:val="20"/>
              </w:rPr>
              <w:t>3</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6D5F6C" w14:textId="77777777" w:rsidR="000C3784" w:rsidRDefault="00D450DC">
            <w:pPr>
              <w:spacing w:line="276" w:lineRule="auto"/>
            </w:pPr>
            <w:r>
              <w:rPr>
                <w:rFonts w:eastAsia="Times New Roman"/>
                <w:sz w:val="20"/>
                <w:szCs w:val="20"/>
              </w:rPr>
              <w:t>CATCH-IT (Saulsberry, 2013; Soares et al., 2022; Gladstone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F2A46C" w14:textId="77777777" w:rsidR="000C3784" w:rsidRDefault="00D450DC">
            <w:pPr>
              <w:spacing w:line="276" w:lineRule="auto"/>
            </w:pPr>
            <w:r>
              <w:rPr>
                <w:rFonts w:eastAsia="Times New Roman"/>
                <w:sz w:val="20"/>
                <w:szCs w:val="20"/>
              </w:rPr>
              <w:t>USA / Netherlands</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9ABC8C"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3FFD42" w14:textId="77777777" w:rsidR="000C3784" w:rsidRDefault="00D450DC">
            <w:pPr>
              <w:spacing w:line="276" w:lineRule="auto"/>
            </w:pPr>
            <w:r>
              <w:rPr>
                <w:rFonts w:eastAsia="Times New Roman"/>
                <w:sz w:val="20"/>
                <w:szCs w:val="20"/>
              </w:rPr>
              <w:t>Internet</w:t>
            </w:r>
          </w:p>
        </w:tc>
      </w:tr>
      <w:tr w:rsidR="000C3784" w14:paraId="651FE8A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C5BA21" w14:textId="77777777" w:rsidR="000C3784" w:rsidRDefault="00D450DC">
            <w:pPr>
              <w:spacing w:line="276" w:lineRule="auto"/>
              <w:jc w:val="center"/>
            </w:pPr>
            <w:r>
              <w:rPr>
                <w:rFonts w:eastAsia="Times New Roman"/>
                <w:b/>
                <w:bCs/>
                <w:sz w:val="20"/>
                <w:szCs w:val="20"/>
              </w:rPr>
              <w:t>4</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828730" w14:textId="77777777" w:rsidR="000C3784" w:rsidRDefault="00D450DC">
            <w:pPr>
              <w:spacing w:line="276" w:lineRule="auto"/>
            </w:pPr>
            <w:proofErr w:type="spellStart"/>
            <w:r>
              <w:rPr>
                <w:rFonts w:eastAsia="Times New Roman"/>
                <w:sz w:val="20"/>
                <w:szCs w:val="20"/>
              </w:rPr>
              <w:t>ClearlyMe</w:t>
            </w:r>
            <w:proofErr w:type="spellEnd"/>
            <w:r>
              <w:rPr>
                <w:rFonts w:eastAsia="Times New Roman"/>
                <w:sz w:val="20"/>
                <w:szCs w:val="20"/>
              </w:rPr>
              <w:t xml:space="preserve"> (O'Dea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891860"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78EFD8"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960A8F" w14:textId="77777777" w:rsidR="000C3784" w:rsidRDefault="00D450DC">
            <w:pPr>
              <w:spacing w:line="276" w:lineRule="auto"/>
            </w:pPr>
            <w:r>
              <w:rPr>
                <w:rFonts w:eastAsia="Times New Roman"/>
                <w:sz w:val="20"/>
                <w:szCs w:val="20"/>
              </w:rPr>
              <w:t>Mobile app</w:t>
            </w:r>
          </w:p>
        </w:tc>
      </w:tr>
      <w:tr w:rsidR="000C3784" w14:paraId="319FBAA8"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2D9DFF" w14:textId="77777777" w:rsidR="000C3784" w:rsidRDefault="00D450DC">
            <w:pPr>
              <w:spacing w:line="276" w:lineRule="auto"/>
              <w:jc w:val="center"/>
            </w:pPr>
            <w:r>
              <w:rPr>
                <w:rFonts w:eastAsia="Times New Roman"/>
                <w:b/>
                <w:bCs/>
                <w:sz w:val="20"/>
                <w:szCs w:val="20"/>
              </w:rPr>
              <w:t>5</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130A1E" w14:textId="77777777" w:rsidR="000C3784" w:rsidRDefault="00D450DC">
            <w:pPr>
              <w:spacing w:line="276" w:lineRule="auto"/>
            </w:pPr>
            <w:r>
              <w:rPr>
                <w:rFonts w:eastAsia="Times New Roman"/>
                <w:sz w:val="20"/>
                <w:szCs w:val="20"/>
              </w:rPr>
              <w:t>COPE (Melnyk et al., 2015)</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77E981"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45D414"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E5D16A" w14:textId="77777777" w:rsidR="000C3784" w:rsidRDefault="00D450DC">
            <w:pPr>
              <w:spacing w:line="276" w:lineRule="auto"/>
            </w:pPr>
            <w:r>
              <w:rPr>
                <w:rFonts w:eastAsia="Times New Roman"/>
                <w:sz w:val="20"/>
                <w:szCs w:val="20"/>
              </w:rPr>
              <w:t>Internet</w:t>
            </w:r>
          </w:p>
        </w:tc>
      </w:tr>
      <w:tr w:rsidR="000C3784" w14:paraId="34F9459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C88F21" w14:textId="77777777" w:rsidR="000C3784" w:rsidRDefault="00D450DC">
            <w:pPr>
              <w:spacing w:line="276" w:lineRule="auto"/>
              <w:jc w:val="center"/>
            </w:pPr>
            <w:r>
              <w:rPr>
                <w:rFonts w:eastAsia="Times New Roman"/>
                <w:b/>
                <w:bCs/>
                <w:sz w:val="20"/>
                <w:szCs w:val="20"/>
              </w:rPr>
              <w:t>6</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27C57F" w14:textId="0B06E8C4" w:rsidR="000C3784" w:rsidRDefault="00D450DC">
            <w:pPr>
              <w:spacing w:line="276" w:lineRule="auto"/>
            </w:pPr>
            <w:r>
              <w:rPr>
                <w:rFonts w:eastAsia="Times New Roman"/>
                <w:sz w:val="20"/>
                <w:szCs w:val="20"/>
              </w:rPr>
              <w:t>Feeling Good (Stice et al., 2008, 2010; Rohde et al., 2014, 2015</w:t>
            </w:r>
            <w:r w:rsidR="00971672">
              <w:rPr>
                <w:rFonts w:hint="eastAsia"/>
                <w:sz w:val="20"/>
                <w:szCs w:val="20"/>
              </w:rPr>
              <w:t>; Ackerson et al., 1998</w:t>
            </w:r>
            <w:r>
              <w:rPr>
                <w:rFonts w:eastAsia="Times New Roman"/>
                <w:sz w:val="20"/>
                <w:szCs w:val="20"/>
              </w:rPr>
              <w:t>)</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D0712D"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92B599"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4D77CA" w14:textId="77777777" w:rsidR="000C3784" w:rsidRDefault="00D450DC">
            <w:pPr>
              <w:spacing w:line="276" w:lineRule="auto"/>
            </w:pPr>
            <w:r>
              <w:rPr>
                <w:rFonts w:eastAsia="Times New Roman"/>
                <w:sz w:val="20"/>
                <w:szCs w:val="20"/>
              </w:rPr>
              <w:t>Bibliotherapy</w:t>
            </w:r>
          </w:p>
        </w:tc>
      </w:tr>
      <w:tr w:rsidR="000C3784" w14:paraId="74142739"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F091F1" w14:textId="77777777" w:rsidR="000C3784" w:rsidRDefault="00D450DC">
            <w:pPr>
              <w:spacing w:line="276" w:lineRule="auto"/>
              <w:jc w:val="center"/>
            </w:pPr>
            <w:r>
              <w:rPr>
                <w:rFonts w:eastAsia="Times New Roman"/>
                <w:b/>
                <w:bCs/>
                <w:sz w:val="20"/>
                <w:szCs w:val="20"/>
              </w:rPr>
              <w:t>7</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D1BB8B1" w14:textId="77777777" w:rsidR="000C3784" w:rsidRDefault="00D450DC">
            <w:pPr>
              <w:spacing w:line="276" w:lineRule="auto"/>
            </w:pPr>
            <w:r>
              <w:rPr>
                <w:rFonts w:eastAsia="Times New Roman"/>
                <w:sz w:val="20"/>
                <w:szCs w:val="20"/>
              </w:rPr>
              <w:t>Grasp the Opportunity (Ip et al., 2016)</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895EF4" w14:textId="77777777" w:rsidR="000C3784" w:rsidRDefault="00D450DC">
            <w:pPr>
              <w:spacing w:line="276" w:lineRule="auto"/>
            </w:pPr>
            <w:r>
              <w:rPr>
                <w:rFonts w:eastAsia="Times New Roman"/>
                <w:sz w:val="20"/>
                <w:szCs w:val="20"/>
              </w:rPr>
              <w:t>Hong Kong, China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0C8BD5"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5D5861" w14:textId="77777777" w:rsidR="000C3784" w:rsidRDefault="00D450DC">
            <w:pPr>
              <w:spacing w:line="276" w:lineRule="auto"/>
            </w:pPr>
            <w:r>
              <w:rPr>
                <w:rFonts w:eastAsia="Times New Roman"/>
                <w:sz w:val="20"/>
                <w:szCs w:val="20"/>
              </w:rPr>
              <w:t>Internet</w:t>
            </w:r>
          </w:p>
        </w:tc>
      </w:tr>
      <w:tr w:rsidR="000C3784" w14:paraId="265E710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31B96E" w14:textId="77777777" w:rsidR="000C3784" w:rsidRDefault="00D450DC">
            <w:pPr>
              <w:spacing w:line="276" w:lineRule="auto"/>
              <w:jc w:val="center"/>
            </w:pPr>
            <w:r>
              <w:rPr>
                <w:rFonts w:eastAsia="Times New Roman"/>
                <w:b/>
                <w:bCs/>
                <w:sz w:val="20"/>
                <w:szCs w:val="20"/>
              </w:rPr>
              <w:t>8</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A39763" w14:textId="77777777" w:rsidR="000C3784" w:rsidRDefault="00D450DC">
            <w:pPr>
              <w:spacing w:line="276" w:lineRule="auto"/>
            </w:pPr>
            <w:proofErr w:type="spellStart"/>
            <w:r>
              <w:rPr>
                <w:rFonts w:eastAsia="Times New Roman"/>
                <w:sz w:val="20"/>
                <w:szCs w:val="20"/>
              </w:rPr>
              <w:t>iCBT</w:t>
            </w:r>
            <w:proofErr w:type="spellEnd"/>
            <w:r>
              <w:rPr>
                <w:rFonts w:eastAsia="Times New Roman"/>
                <w:sz w:val="20"/>
                <w:szCs w:val="20"/>
              </w:rPr>
              <w:t xml:space="preserve"> (</w:t>
            </w:r>
            <w:proofErr w:type="spellStart"/>
            <w:r>
              <w:rPr>
                <w:rFonts w:eastAsia="Times New Roman"/>
                <w:sz w:val="20"/>
                <w:szCs w:val="20"/>
              </w:rPr>
              <w:t>Sekizaki</w:t>
            </w:r>
            <w:proofErr w:type="spellEnd"/>
            <w:r>
              <w:rPr>
                <w:rFonts w:eastAsia="Times New Roman"/>
                <w:sz w:val="20"/>
                <w:szCs w:val="20"/>
              </w:rPr>
              <w:t xml:space="preserve"> et al., 2019)</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F3966C" w14:textId="77777777" w:rsidR="000C3784" w:rsidRDefault="00D450DC">
            <w:pPr>
              <w:spacing w:line="276" w:lineRule="auto"/>
            </w:pPr>
            <w:r>
              <w:rPr>
                <w:rFonts w:eastAsia="Times New Roman"/>
                <w:sz w:val="20"/>
                <w:szCs w:val="20"/>
              </w:rPr>
              <w:t>Japan</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DE5E76"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DABBAC" w14:textId="77777777" w:rsidR="000C3784" w:rsidRDefault="00D450DC">
            <w:pPr>
              <w:spacing w:line="276" w:lineRule="auto"/>
            </w:pPr>
            <w:r>
              <w:rPr>
                <w:rFonts w:eastAsia="Times New Roman"/>
                <w:sz w:val="20"/>
                <w:szCs w:val="20"/>
              </w:rPr>
              <w:t>Internet</w:t>
            </w:r>
          </w:p>
        </w:tc>
      </w:tr>
      <w:tr w:rsidR="000C3784" w14:paraId="1CE238F4"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23E913" w14:textId="77777777" w:rsidR="000C3784" w:rsidRDefault="00D450DC">
            <w:pPr>
              <w:spacing w:line="276" w:lineRule="auto"/>
              <w:jc w:val="center"/>
            </w:pPr>
            <w:r>
              <w:rPr>
                <w:rFonts w:eastAsia="Times New Roman"/>
                <w:b/>
                <w:bCs/>
                <w:sz w:val="20"/>
                <w:szCs w:val="20"/>
              </w:rPr>
              <w:t>9</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B14037" w14:textId="77777777" w:rsidR="000C3784" w:rsidRDefault="00D450DC">
            <w:pPr>
              <w:spacing w:line="276" w:lineRule="auto"/>
            </w:pPr>
            <w:proofErr w:type="spellStart"/>
            <w:r>
              <w:rPr>
                <w:rFonts w:eastAsia="Times New Roman"/>
                <w:sz w:val="20"/>
                <w:szCs w:val="20"/>
              </w:rPr>
              <w:t>iDOVE</w:t>
            </w:r>
            <w:proofErr w:type="spellEnd"/>
            <w:r>
              <w:rPr>
                <w:rFonts w:eastAsia="Times New Roman"/>
                <w:sz w:val="20"/>
                <w:szCs w:val="20"/>
              </w:rPr>
              <w:t xml:space="preserve"> (Ranney et al., 2018)</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F94E4E"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3DD562" w14:textId="77777777" w:rsidR="000C3784" w:rsidRDefault="00D450DC">
            <w:pPr>
              <w:spacing w:line="276" w:lineRule="auto"/>
            </w:pPr>
            <w:r>
              <w:rPr>
                <w:rFonts w:eastAsia="Times New Roman"/>
                <w:sz w:val="20"/>
                <w:szCs w:val="20"/>
              </w:rPr>
              <w:t>Peer violence;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3002A5" w14:textId="77777777" w:rsidR="000C3784" w:rsidRDefault="00D450DC">
            <w:pPr>
              <w:spacing w:line="276" w:lineRule="auto"/>
            </w:pPr>
            <w:r>
              <w:rPr>
                <w:rFonts w:eastAsia="Times New Roman"/>
                <w:sz w:val="20"/>
                <w:szCs w:val="20"/>
              </w:rPr>
              <w:t>Text-messaging</w:t>
            </w:r>
          </w:p>
        </w:tc>
      </w:tr>
      <w:tr w:rsidR="000C3784" w14:paraId="7D7E75D6"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DAFA748" w14:textId="77777777" w:rsidR="000C3784" w:rsidRDefault="00D450DC">
            <w:pPr>
              <w:spacing w:line="276" w:lineRule="auto"/>
              <w:jc w:val="center"/>
            </w:pPr>
            <w:r>
              <w:rPr>
                <w:rFonts w:eastAsia="Times New Roman"/>
                <w:b/>
                <w:bCs/>
                <w:sz w:val="20"/>
                <w:szCs w:val="20"/>
              </w:rPr>
              <w:t>10</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B1494D" w14:textId="77777777" w:rsidR="000C3784" w:rsidRDefault="00D450DC">
            <w:pPr>
              <w:spacing w:line="276" w:lineRule="auto"/>
            </w:pPr>
            <w:r>
              <w:rPr>
                <w:rFonts w:eastAsia="Times New Roman"/>
                <w:sz w:val="20"/>
                <w:szCs w:val="20"/>
              </w:rPr>
              <w:t>MEMO (Whittaker et al., 2012, 2017)</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55E824"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B76665"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E02F2B" w14:textId="77777777" w:rsidR="000C3784" w:rsidRDefault="00D450DC">
            <w:pPr>
              <w:spacing w:line="276" w:lineRule="auto"/>
            </w:pPr>
            <w:r>
              <w:rPr>
                <w:rFonts w:eastAsia="Times New Roman"/>
                <w:sz w:val="20"/>
                <w:szCs w:val="20"/>
              </w:rPr>
              <w:t>Internet (SMS/MMS)</w:t>
            </w:r>
          </w:p>
        </w:tc>
      </w:tr>
      <w:tr w:rsidR="000C3784" w14:paraId="471610B7"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7B7E30" w14:textId="77777777" w:rsidR="000C3784" w:rsidRDefault="00D450DC">
            <w:pPr>
              <w:spacing w:line="276" w:lineRule="auto"/>
              <w:jc w:val="center"/>
            </w:pPr>
            <w:r>
              <w:rPr>
                <w:rFonts w:eastAsia="Times New Roman"/>
                <w:b/>
                <w:bCs/>
                <w:sz w:val="20"/>
                <w:szCs w:val="20"/>
              </w:rPr>
              <w:t>11</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A4E38F" w14:textId="77777777" w:rsidR="000C3784" w:rsidRDefault="00D450DC">
            <w:pPr>
              <w:spacing w:line="276" w:lineRule="auto"/>
            </w:pPr>
            <w:r>
              <w:rPr>
                <w:rFonts w:eastAsia="Times New Roman"/>
                <w:sz w:val="20"/>
                <w:szCs w:val="20"/>
              </w:rPr>
              <w:t>Mello (Bell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BAC2FB"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D715CF"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6CA581" w14:textId="77777777" w:rsidR="000C3784" w:rsidRDefault="00D450DC">
            <w:pPr>
              <w:spacing w:line="276" w:lineRule="auto"/>
            </w:pPr>
            <w:r>
              <w:rPr>
                <w:rFonts w:eastAsia="Times New Roman"/>
                <w:sz w:val="20"/>
                <w:szCs w:val="20"/>
              </w:rPr>
              <w:t>Mobile app</w:t>
            </w:r>
          </w:p>
        </w:tc>
      </w:tr>
      <w:tr w:rsidR="000C3784" w14:paraId="570C504C"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8C27EE" w14:textId="77777777" w:rsidR="000C3784" w:rsidRDefault="00D450DC">
            <w:pPr>
              <w:spacing w:line="276" w:lineRule="auto"/>
              <w:jc w:val="center"/>
            </w:pPr>
            <w:r>
              <w:rPr>
                <w:rFonts w:eastAsia="Times New Roman"/>
                <w:b/>
                <w:bCs/>
                <w:sz w:val="20"/>
                <w:szCs w:val="20"/>
              </w:rPr>
              <w:t>12</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49B11" w14:textId="77777777" w:rsidR="000C3784" w:rsidRDefault="00D450DC">
            <w:pPr>
              <w:spacing w:line="276" w:lineRule="auto"/>
            </w:pPr>
            <w:proofErr w:type="spellStart"/>
            <w:r>
              <w:rPr>
                <w:rFonts w:eastAsia="Times New Roman"/>
                <w:sz w:val="20"/>
                <w:szCs w:val="20"/>
              </w:rPr>
              <w:t>MoodGYM</w:t>
            </w:r>
            <w:proofErr w:type="spellEnd"/>
            <w:r>
              <w:rPr>
                <w:rFonts w:eastAsia="Times New Roman"/>
                <w:sz w:val="20"/>
                <w:szCs w:val="20"/>
              </w:rPr>
              <w:t xml:space="preserve"> (</w:t>
            </w:r>
            <w:proofErr w:type="spellStart"/>
            <w:r>
              <w:rPr>
                <w:rFonts w:eastAsia="Times New Roman"/>
                <w:sz w:val="20"/>
                <w:szCs w:val="20"/>
              </w:rPr>
              <w:t>Calear</w:t>
            </w:r>
            <w:proofErr w:type="spellEnd"/>
            <w:r>
              <w:rPr>
                <w:rFonts w:eastAsia="Times New Roman"/>
                <w:sz w:val="20"/>
                <w:szCs w:val="20"/>
              </w:rPr>
              <w:t xml:space="preserve"> et al., 2009; Neil et al., 2009; </w:t>
            </w:r>
            <w:proofErr w:type="spellStart"/>
            <w:r>
              <w:rPr>
                <w:rFonts w:eastAsia="Times New Roman"/>
                <w:sz w:val="20"/>
                <w:szCs w:val="20"/>
              </w:rPr>
              <w:lastRenderedPageBreak/>
              <w:t>O'Kearney</w:t>
            </w:r>
            <w:proofErr w:type="spellEnd"/>
            <w:r>
              <w:rPr>
                <w:rFonts w:eastAsia="Times New Roman"/>
                <w:sz w:val="20"/>
                <w:szCs w:val="20"/>
              </w:rPr>
              <w:t xml:space="preserve"> et al., 2009; Sethi, Campbell, &amp; Ellis, 2010)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01DD191" w14:textId="77777777" w:rsidR="000C3784" w:rsidRDefault="00D450DC">
            <w:pPr>
              <w:spacing w:line="276" w:lineRule="auto"/>
            </w:pPr>
            <w:r>
              <w:rPr>
                <w:rFonts w:eastAsia="Times New Roman"/>
                <w:sz w:val="20"/>
                <w:szCs w:val="20"/>
              </w:rPr>
              <w:lastRenderedPageBreak/>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2FD5ADB"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93395C" w14:textId="77777777" w:rsidR="000C3784" w:rsidRDefault="00D450DC">
            <w:pPr>
              <w:spacing w:line="276" w:lineRule="auto"/>
            </w:pPr>
            <w:r>
              <w:rPr>
                <w:rFonts w:eastAsia="Times New Roman"/>
                <w:sz w:val="20"/>
                <w:szCs w:val="20"/>
              </w:rPr>
              <w:t>Internet</w:t>
            </w:r>
          </w:p>
        </w:tc>
      </w:tr>
      <w:tr w:rsidR="000C3784" w14:paraId="2F49E71B"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E7169C6" w14:textId="77777777" w:rsidR="000C3784" w:rsidRDefault="00D450DC">
            <w:pPr>
              <w:spacing w:line="276" w:lineRule="auto"/>
              <w:jc w:val="center"/>
            </w:pPr>
            <w:r>
              <w:rPr>
                <w:rFonts w:eastAsia="Times New Roman"/>
                <w:b/>
                <w:bCs/>
                <w:sz w:val="20"/>
                <w:szCs w:val="20"/>
              </w:rPr>
              <w:t>13</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F39591" w14:textId="77777777" w:rsidR="000C3784" w:rsidRDefault="00D450DC">
            <w:pPr>
              <w:spacing w:line="276" w:lineRule="auto"/>
            </w:pPr>
            <w:r>
              <w:rPr>
                <w:rFonts w:eastAsia="Times New Roman"/>
                <w:sz w:val="20"/>
                <w:szCs w:val="20"/>
              </w:rPr>
              <w:t>Reframe-IT (Robinson et al., 2014, 2014a, 2014b)</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BD9DD7"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5D037E" w14:textId="77777777" w:rsidR="000C3784" w:rsidRDefault="00D450DC">
            <w:pPr>
              <w:spacing w:line="276" w:lineRule="auto"/>
            </w:pPr>
            <w:r>
              <w:rPr>
                <w:rFonts w:eastAsia="Times New Roman"/>
                <w:sz w:val="20"/>
                <w:szCs w:val="20"/>
              </w:rPr>
              <w:t>Depression; Suicidal ideation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5BD010" w14:textId="77777777" w:rsidR="000C3784" w:rsidRDefault="00D450DC">
            <w:pPr>
              <w:spacing w:line="276" w:lineRule="auto"/>
            </w:pPr>
            <w:r>
              <w:rPr>
                <w:rFonts w:eastAsia="Times New Roman"/>
                <w:sz w:val="20"/>
                <w:szCs w:val="20"/>
              </w:rPr>
              <w:t>Internet</w:t>
            </w:r>
          </w:p>
        </w:tc>
      </w:tr>
      <w:tr w:rsidR="000C3784" w14:paraId="232B39BD"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33C2DC" w14:textId="77777777" w:rsidR="000C3784" w:rsidRDefault="00D450DC">
            <w:pPr>
              <w:spacing w:line="276" w:lineRule="auto"/>
              <w:jc w:val="center"/>
            </w:pPr>
            <w:r>
              <w:rPr>
                <w:rFonts w:eastAsia="Times New Roman"/>
                <w:b/>
                <w:bCs/>
                <w:sz w:val="20"/>
                <w:szCs w:val="20"/>
              </w:rPr>
              <w:t>14</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C759C5" w14:textId="77777777" w:rsidR="000C3784" w:rsidRDefault="00D450DC">
            <w:pPr>
              <w:spacing w:line="276" w:lineRule="auto"/>
            </w:pPr>
            <w:r>
              <w:rPr>
                <w:rFonts w:eastAsia="Times New Roman"/>
                <w:sz w:val="20"/>
                <w:szCs w:val="20"/>
              </w:rPr>
              <w:t>Sleep Ninja (Werner-Seidler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CBD153"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2A599B" w14:textId="77777777" w:rsidR="000C3784" w:rsidRDefault="00D450DC">
            <w:pPr>
              <w:spacing w:line="276" w:lineRule="auto"/>
            </w:pPr>
            <w:r>
              <w:rPr>
                <w:rFonts w:eastAsia="Times New Roman"/>
                <w:sz w:val="20"/>
                <w:szCs w:val="20"/>
              </w:rPr>
              <w:t>Insomnia (with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BC8445" w14:textId="77777777" w:rsidR="000C3784" w:rsidRDefault="00D450DC">
            <w:pPr>
              <w:spacing w:line="276" w:lineRule="auto"/>
            </w:pPr>
            <w:r>
              <w:rPr>
                <w:rFonts w:eastAsia="Times New Roman"/>
                <w:sz w:val="20"/>
                <w:szCs w:val="20"/>
              </w:rPr>
              <w:t>Mobile app</w:t>
            </w:r>
          </w:p>
        </w:tc>
      </w:tr>
      <w:tr w:rsidR="000C3784" w14:paraId="5E16CDD7"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52C600" w14:textId="77777777" w:rsidR="000C3784" w:rsidRDefault="00D450DC">
            <w:pPr>
              <w:spacing w:line="276" w:lineRule="auto"/>
              <w:jc w:val="center"/>
            </w:pPr>
            <w:r>
              <w:rPr>
                <w:rFonts w:eastAsia="Times New Roman"/>
                <w:b/>
                <w:bCs/>
                <w:sz w:val="20"/>
                <w:szCs w:val="20"/>
              </w:rPr>
              <w:t>15</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82CCA3" w14:textId="77777777" w:rsidR="000C3784" w:rsidRDefault="00D450DC">
            <w:pPr>
              <w:spacing w:line="276" w:lineRule="auto"/>
            </w:pPr>
            <w:r>
              <w:rPr>
                <w:rFonts w:eastAsia="Times New Roman"/>
                <w:sz w:val="20"/>
                <w:szCs w:val="20"/>
              </w:rPr>
              <w:t>Spark v.2.2 (Peake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F14C81"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10A8B0"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2427C7" w14:textId="77777777" w:rsidR="000C3784" w:rsidRDefault="00D450DC">
            <w:pPr>
              <w:spacing w:line="276" w:lineRule="auto"/>
            </w:pPr>
            <w:r>
              <w:rPr>
                <w:rFonts w:eastAsia="Times New Roman"/>
                <w:sz w:val="20"/>
                <w:szCs w:val="20"/>
              </w:rPr>
              <w:t>Mobile app</w:t>
            </w:r>
          </w:p>
        </w:tc>
      </w:tr>
      <w:tr w:rsidR="000C3784" w14:paraId="2976976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E39510" w14:textId="77777777" w:rsidR="000C3784" w:rsidRDefault="00D450DC">
            <w:pPr>
              <w:spacing w:line="276" w:lineRule="auto"/>
              <w:jc w:val="center"/>
            </w:pPr>
            <w:r>
              <w:rPr>
                <w:rFonts w:eastAsia="Times New Roman"/>
                <w:b/>
                <w:bCs/>
                <w:sz w:val="20"/>
                <w:szCs w:val="20"/>
              </w:rPr>
              <w:t>16</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DA4620" w14:textId="77777777" w:rsidR="000C3784" w:rsidRDefault="00D450DC">
            <w:pPr>
              <w:spacing w:line="276" w:lineRule="auto"/>
            </w:pPr>
            <w:r>
              <w:rPr>
                <w:rFonts w:eastAsia="Times New Roman"/>
                <w:sz w:val="20"/>
                <w:szCs w:val="20"/>
              </w:rPr>
              <w:t xml:space="preserve">SPARX (Fleming et al., 2012, 2019; Merry et al., 2012; Bohr &amp; Merry et al., 2016; </w:t>
            </w:r>
            <w:proofErr w:type="spellStart"/>
            <w:r>
              <w:rPr>
                <w:rFonts w:eastAsia="Times New Roman"/>
                <w:sz w:val="20"/>
                <w:szCs w:val="20"/>
              </w:rPr>
              <w:t>Poppelaars</w:t>
            </w:r>
            <w:proofErr w:type="spellEnd"/>
            <w:r>
              <w:rPr>
                <w:rFonts w:eastAsia="Times New Roman"/>
                <w:sz w:val="20"/>
                <w:szCs w:val="20"/>
              </w:rPr>
              <w:t xml:space="preserve"> et al., 2016; Perry et al., 2017; Lucassen et al., 2020; Bohr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C1261F"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E04DB4"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11AF16" w14:textId="77777777" w:rsidR="000C3784" w:rsidRDefault="00D450DC">
            <w:pPr>
              <w:spacing w:line="276" w:lineRule="auto"/>
            </w:pPr>
            <w:r>
              <w:rPr>
                <w:rFonts w:eastAsia="Times New Roman"/>
                <w:sz w:val="20"/>
                <w:szCs w:val="20"/>
              </w:rPr>
              <w:t>Computer program (game)</w:t>
            </w:r>
          </w:p>
        </w:tc>
      </w:tr>
      <w:tr w:rsidR="000C3784" w14:paraId="5FAA13C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59B8EBB" w14:textId="77777777" w:rsidR="000C3784" w:rsidRDefault="00D450DC">
            <w:pPr>
              <w:spacing w:line="276" w:lineRule="auto"/>
              <w:jc w:val="center"/>
            </w:pPr>
            <w:r>
              <w:rPr>
                <w:rFonts w:eastAsia="Times New Roman"/>
                <w:b/>
                <w:bCs/>
                <w:sz w:val="20"/>
                <w:szCs w:val="20"/>
              </w:rPr>
              <w:t>17</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BF71DF" w14:textId="77777777" w:rsidR="000C3784" w:rsidRDefault="00D450DC">
            <w:pPr>
              <w:spacing w:line="276" w:lineRule="auto"/>
            </w:pPr>
            <w:r>
              <w:rPr>
                <w:rFonts w:eastAsia="Times New Roman"/>
                <w:sz w:val="20"/>
                <w:szCs w:val="20"/>
              </w:rPr>
              <w:t>Stressbuster (Smith et al., 2015; Wright et al., 2017, 2020)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808553" w14:textId="77777777" w:rsidR="000C3784" w:rsidRDefault="00D450DC">
            <w:pPr>
              <w:spacing w:line="276" w:lineRule="auto"/>
            </w:pPr>
            <w:r>
              <w:rPr>
                <w:rFonts w:eastAsia="Times New Roman"/>
                <w:sz w:val="20"/>
                <w:szCs w:val="20"/>
              </w:rPr>
              <w:t>UK</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87B12C"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A4ADBE" w14:textId="77777777" w:rsidR="000C3784" w:rsidRDefault="00D450DC">
            <w:pPr>
              <w:spacing w:line="276" w:lineRule="auto"/>
            </w:pPr>
            <w:r>
              <w:rPr>
                <w:rFonts w:eastAsia="Times New Roman"/>
                <w:sz w:val="20"/>
                <w:szCs w:val="20"/>
              </w:rPr>
              <w:t>Computer program</w:t>
            </w:r>
          </w:p>
        </w:tc>
      </w:tr>
      <w:tr w:rsidR="000C3784" w14:paraId="57E0EF3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C6D879" w14:textId="77777777" w:rsidR="000C3784" w:rsidRDefault="00D450DC">
            <w:pPr>
              <w:spacing w:line="276" w:lineRule="auto"/>
              <w:jc w:val="center"/>
            </w:pPr>
            <w:r>
              <w:rPr>
                <w:rFonts w:eastAsia="Times New Roman"/>
                <w:b/>
                <w:bCs/>
                <w:sz w:val="20"/>
                <w:szCs w:val="20"/>
              </w:rPr>
              <w:t>18</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6B5F7D" w14:textId="77777777" w:rsidR="000C3784" w:rsidRDefault="00D450DC">
            <w:pPr>
              <w:spacing w:line="276" w:lineRule="auto"/>
            </w:pPr>
            <w:r>
              <w:rPr>
                <w:rFonts w:eastAsia="Times New Roman"/>
                <w:sz w:val="20"/>
                <w:szCs w:val="20"/>
              </w:rPr>
              <w:t>The Journey (Stasiak et al., 2014)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3B2DD5"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459FBAE"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18F7A3" w14:textId="77777777" w:rsidR="000C3784" w:rsidRDefault="00D450DC">
            <w:pPr>
              <w:spacing w:line="276" w:lineRule="auto"/>
            </w:pPr>
            <w:r>
              <w:rPr>
                <w:rFonts w:eastAsia="Times New Roman"/>
                <w:sz w:val="20"/>
                <w:szCs w:val="20"/>
              </w:rPr>
              <w:t>Computer program (game)</w:t>
            </w:r>
          </w:p>
        </w:tc>
      </w:tr>
      <w:tr w:rsidR="000C3784" w14:paraId="25039511"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472537" w14:textId="77777777" w:rsidR="000C3784" w:rsidRDefault="00D450DC">
            <w:pPr>
              <w:spacing w:line="276" w:lineRule="auto"/>
              <w:jc w:val="center"/>
            </w:pPr>
            <w:r>
              <w:rPr>
                <w:rFonts w:eastAsia="Times New Roman"/>
                <w:b/>
                <w:bCs/>
                <w:sz w:val="20"/>
                <w:szCs w:val="20"/>
              </w:rPr>
              <w:t>19</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BAD50" w14:textId="77777777" w:rsidR="000C3784" w:rsidRDefault="00D450DC">
            <w:pPr>
              <w:spacing w:line="276" w:lineRule="auto"/>
            </w:pPr>
            <w:proofErr w:type="spellStart"/>
            <w:r>
              <w:rPr>
                <w:rFonts w:eastAsia="Times New Roman"/>
                <w:sz w:val="20"/>
                <w:szCs w:val="20"/>
              </w:rPr>
              <w:t>WeClick</w:t>
            </w:r>
            <w:proofErr w:type="spellEnd"/>
            <w:r>
              <w:rPr>
                <w:rFonts w:eastAsia="Times New Roman"/>
                <w:sz w:val="20"/>
                <w:szCs w:val="20"/>
              </w:rPr>
              <w:t xml:space="preserve"> (O'Dea et al., 2020)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4E49320"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D343F" w14:textId="77777777" w:rsidR="000C3784" w:rsidRDefault="00D450DC">
            <w:pPr>
              <w:spacing w:line="276" w:lineRule="auto"/>
            </w:pPr>
            <w:r>
              <w:rPr>
                <w:rFonts w:eastAsia="Times New Roman"/>
                <w:sz w:val="20"/>
                <w:szCs w:val="20"/>
              </w:rPr>
              <w:t>Mental health (incl.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FA5E61" w14:textId="77777777" w:rsidR="000C3784" w:rsidRDefault="00D450DC">
            <w:pPr>
              <w:spacing w:line="276" w:lineRule="auto"/>
            </w:pPr>
            <w:r>
              <w:rPr>
                <w:rFonts w:eastAsia="Times New Roman"/>
                <w:sz w:val="20"/>
                <w:szCs w:val="20"/>
              </w:rPr>
              <w:t>Mobile app</w:t>
            </w:r>
          </w:p>
        </w:tc>
      </w:tr>
    </w:tbl>
    <w:p w14:paraId="157A8140" w14:textId="77777777" w:rsidR="000C3784" w:rsidRDefault="00D450DC">
      <w:pPr>
        <w:spacing w:after="120" w:line="360" w:lineRule="auto"/>
        <w:ind w:firstLine="360"/>
      </w:pPr>
      <w:r>
        <w:rPr>
          <w:rFonts w:eastAsia="Times New Roman"/>
        </w:rPr>
        <w:t>Note. Countries indicate where the primary trial was conducted; where programs have been adapted and evaluated across multiple settings, the country list reflects the set of national contexts represented by the included trials. Delivery modality reflects the principal medium of content delivery.</w:t>
      </w:r>
    </w:p>
    <w:p w14:paraId="17BD2016" w14:textId="77777777" w:rsidR="000C3784" w:rsidRDefault="00D450DC">
      <w:pPr>
        <w:pStyle w:val="2"/>
      </w:pPr>
      <w:r>
        <w:t>D.2. Detailed Description of Each Program</w:t>
      </w:r>
    </w:p>
    <w:p w14:paraId="4D84A96F" w14:textId="77777777" w:rsidR="000C3784" w:rsidRDefault="00D450DC">
      <w:pPr>
        <w:spacing w:after="120" w:line="360" w:lineRule="auto"/>
        <w:ind w:firstLine="360"/>
        <w:jc w:val="both"/>
      </w:pPr>
      <w:r>
        <w:rPr>
          <w:rFonts w:eastAsia="Times New Roman"/>
        </w:rPr>
        <w:t>For each program evaluated in the included trials, Table D.2 summarizes the program's content structure and the CBT components it contains. CBT components are listed using the terminology used in the primary reports. Content descriptions are synthesized from the primary reports of the intervention as cited in Part D.1.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5000"/>
        <w:gridCol w:w="2660"/>
      </w:tblGrid>
      <w:tr w:rsidR="000C3784" w14:paraId="22596B7D" w14:textId="77777777">
        <w:trPr>
          <w:tblHeader/>
        </w:trPr>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564DF10" w14:textId="77777777" w:rsidR="000C3784" w:rsidRDefault="00D450DC">
            <w:pPr>
              <w:spacing w:line="276" w:lineRule="auto"/>
            </w:pPr>
            <w:r>
              <w:rPr>
                <w:rFonts w:eastAsia="Times New Roman"/>
                <w:b/>
                <w:bCs/>
                <w:sz w:val="20"/>
                <w:szCs w:val="20"/>
              </w:rPr>
              <w:t>Program</w:t>
            </w:r>
          </w:p>
        </w:tc>
        <w:tc>
          <w:tcPr>
            <w:tcW w:w="5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9CE5D8D" w14:textId="77777777" w:rsidR="000C3784" w:rsidRDefault="00D450DC">
            <w:pPr>
              <w:spacing w:line="276" w:lineRule="auto"/>
            </w:pPr>
            <w:r>
              <w:rPr>
                <w:rFonts w:eastAsia="Times New Roman"/>
                <w:b/>
                <w:bCs/>
                <w:sz w:val="20"/>
                <w:szCs w:val="20"/>
              </w:rPr>
              <w:t>Content</w:t>
            </w:r>
          </w:p>
        </w:tc>
        <w:tc>
          <w:tcPr>
            <w:tcW w:w="26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CE7C410" w14:textId="77777777" w:rsidR="000C3784" w:rsidRDefault="00D450DC">
            <w:pPr>
              <w:spacing w:line="276" w:lineRule="auto"/>
            </w:pPr>
            <w:r>
              <w:rPr>
                <w:rFonts w:eastAsia="Times New Roman"/>
                <w:b/>
                <w:bCs/>
                <w:sz w:val="20"/>
                <w:szCs w:val="20"/>
              </w:rPr>
              <w:t>CBT Components</w:t>
            </w:r>
          </w:p>
        </w:tc>
      </w:tr>
      <w:tr w:rsidR="000C3784" w14:paraId="46C837E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7D4D6F" w14:textId="77777777" w:rsidR="000C3784" w:rsidRDefault="00D450DC">
            <w:pPr>
              <w:spacing w:line="276" w:lineRule="auto"/>
            </w:pPr>
            <w:r>
              <w:rPr>
                <w:rFonts w:eastAsia="Times New Roman"/>
                <w:b/>
                <w:bCs/>
                <w:sz w:val="20"/>
                <w:szCs w:val="20"/>
              </w:rPr>
              <w:t>Blueblaster</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108FE9" w14:textId="77777777" w:rsidR="000C3784" w:rsidRDefault="00D450DC">
            <w:pPr>
              <w:spacing w:line="276" w:lineRule="auto"/>
            </w:pPr>
            <w:r>
              <w:rPr>
                <w:rFonts w:eastAsia="Times New Roman"/>
                <w:sz w:val="20"/>
                <w:szCs w:val="20"/>
              </w:rPr>
              <w:t xml:space="preserve">Blueblaster is an interactive depression education program consisting of 6 modules with 5 daily </w:t>
            </w:r>
            <w:proofErr w:type="gramStart"/>
            <w:r>
              <w:rPr>
                <w:rFonts w:eastAsia="Times New Roman"/>
                <w:sz w:val="20"/>
                <w:szCs w:val="20"/>
              </w:rPr>
              <w:t>mini-sessions</w:t>
            </w:r>
            <w:proofErr w:type="gramEnd"/>
            <w:r>
              <w:rPr>
                <w:rFonts w:eastAsia="Times New Roman"/>
                <w:sz w:val="20"/>
                <w:szCs w:val="20"/>
              </w:rPr>
              <w:t xml:space="preserve"> each. </w:t>
            </w:r>
            <w:r>
              <w:rPr>
                <w:rFonts w:eastAsia="Times New Roman"/>
                <w:sz w:val="20"/>
                <w:szCs w:val="20"/>
              </w:rPr>
              <w:lastRenderedPageBreak/>
              <w:t>Each session follows a multi-modal structure: a video and graphic illustration introduce the lesson goal; a flash animation provides instruction, followed by a second animation for reinforcement; a comic strip demonstrates practical application; a testimonial video illustrates relevance; and the session concludes with a summary statement, comprehension quizzes, and a wrap-up video. Module topics include defining depression, mood monitoring, increasing fun activities, increasing positive thinking, recognizing negative thinking, and decreasing negative thinking.</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DCFC3" w14:textId="77777777" w:rsidR="000C3784" w:rsidRDefault="00D450DC">
            <w:pPr>
              <w:spacing w:line="276" w:lineRule="auto"/>
            </w:pPr>
            <w:r>
              <w:rPr>
                <w:rFonts w:eastAsia="Times New Roman"/>
                <w:sz w:val="20"/>
                <w:szCs w:val="20"/>
              </w:rPr>
              <w:lastRenderedPageBreak/>
              <w:t xml:space="preserve">Cognitive restructuring; Behavioral activation; </w:t>
            </w:r>
            <w:r>
              <w:rPr>
                <w:rFonts w:eastAsia="Times New Roman"/>
                <w:sz w:val="20"/>
                <w:szCs w:val="20"/>
              </w:rPr>
              <w:lastRenderedPageBreak/>
              <w:t>Psychoeducation; Relaxation</w:t>
            </w:r>
          </w:p>
        </w:tc>
      </w:tr>
      <w:tr w:rsidR="000C3784" w14:paraId="170367DC"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A150DAF" w14:textId="77777777" w:rsidR="000C3784" w:rsidRDefault="00D450DC">
            <w:pPr>
              <w:spacing w:line="276" w:lineRule="auto"/>
            </w:pPr>
            <w:proofErr w:type="spellStart"/>
            <w:r>
              <w:rPr>
                <w:rFonts w:eastAsia="Times New Roman"/>
                <w:b/>
                <w:bCs/>
                <w:sz w:val="20"/>
                <w:szCs w:val="20"/>
              </w:rPr>
              <w:t>BlueIce</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BA9C9B" w14:textId="77777777" w:rsidR="000C3784" w:rsidRDefault="00D450DC">
            <w:pPr>
              <w:spacing w:line="276" w:lineRule="auto"/>
            </w:pPr>
            <w:proofErr w:type="spellStart"/>
            <w:r>
              <w:rPr>
                <w:rFonts w:eastAsia="Times New Roman"/>
                <w:sz w:val="20"/>
                <w:szCs w:val="20"/>
              </w:rPr>
              <w:t>BlueIce</w:t>
            </w:r>
            <w:proofErr w:type="spellEnd"/>
            <w:r>
              <w:rPr>
                <w:rFonts w:eastAsia="Times New Roman"/>
                <w:sz w:val="20"/>
                <w:szCs w:val="20"/>
              </w:rPr>
              <w:t xml:space="preserve"> is a password-protected, prescription-based application targeting young people who self-harm, integrating approaches from CBT and DBT. The application contains three sections. On entry, the user rates their mood; if low, they are routed to a mood-lifting section (also accessible from the main menu) offering eight personalized activities: Get Active (physical activity), Do Something (enjoyable activities), Chill and Relax (mindfulness audio), Thinking Traps (thought records), Good Times (positive memory album), Contact Friends (supportive contacts), Listen and Relax (uplifting music), and Ride it Out (DBT distress-tolerance techniques, including ice-dive exercises). After this section, the user re-rates their mood; if mood remains low, the app guides them to a final section providing emergency support contact information.</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16E2B0" w14:textId="77777777" w:rsidR="000C3784" w:rsidRDefault="00D450DC">
            <w:pPr>
              <w:spacing w:line="276" w:lineRule="auto"/>
            </w:pPr>
            <w:r>
              <w:rPr>
                <w:rFonts w:eastAsia="Times New Roman"/>
                <w:sz w:val="20"/>
                <w:szCs w:val="20"/>
              </w:rPr>
              <w:t>Cognitive restructuring; Behavioral activation; Third-wave components</w:t>
            </w:r>
          </w:p>
        </w:tc>
      </w:tr>
      <w:tr w:rsidR="000C3784" w14:paraId="35851BED"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B4284D" w14:textId="77777777" w:rsidR="000C3784" w:rsidRDefault="00D450DC">
            <w:pPr>
              <w:spacing w:line="276" w:lineRule="auto"/>
            </w:pPr>
            <w:bookmarkStart w:id="100" w:name="_Hlk230302761"/>
            <w:r>
              <w:rPr>
                <w:rFonts w:eastAsia="Times New Roman"/>
                <w:b/>
                <w:bCs/>
                <w:sz w:val="20"/>
                <w:szCs w:val="20"/>
              </w:rPr>
              <w:t>CATCH-IT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27B19D2" w14:textId="77777777" w:rsidR="000C3784" w:rsidRDefault="00D450DC">
            <w:pPr>
              <w:spacing w:line="276" w:lineRule="auto"/>
            </w:pPr>
            <w:r>
              <w:rPr>
                <w:rFonts w:eastAsia="Times New Roman"/>
                <w:sz w:val="20"/>
                <w:szCs w:val="20"/>
              </w:rPr>
              <w:t>Competent Adulthood Transition with Cognitive-behavioral, Humanistic, and Interpersonal Training (CATCH-IT) delivers resiliency training through 14 web-based modules designed to increase protective behaviors and reduce vulnerability. Content is delivered through first-person narratives to enhance engagement and retention. In the Hong Kong adaptation (Grasp the Opportunity), the interpersonal psychotherapy modules and motivational interview/brief advice components were omitted.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9A4CE7" w14:textId="77777777" w:rsidR="000C3784" w:rsidRDefault="00D450DC">
            <w:pPr>
              <w:spacing w:line="276" w:lineRule="auto"/>
            </w:pPr>
            <w:r>
              <w:rPr>
                <w:rFonts w:eastAsia="Times New Roman"/>
                <w:sz w:val="20"/>
                <w:szCs w:val="20"/>
              </w:rPr>
              <w:t>Cognitive restructuring; Behavioral activation; Interpersonal skills training; Initial face-to-face contact</w:t>
            </w:r>
          </w:p>
        </w:tc>
      </w:tr>
      <w:bookmarkEnd w:id="100"/>
      <w:tr w:rsidR="000C3784" w14:paraId="38A8314D"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8D1D0D" w14:textId="77777777" w:rsidR="000C3784" w:rsidRDefault="00D450DC">
            <w:pPr>
              <w:spacing w:line="276" w:lineRule="auto"/>
            </w:pPr>
            <w:proofErr w:type="spellStart"/>
            <w:r>
              <w:rPr>
                <w:rFonts w:eastAsia="Times New Roman"/>
                <w:b/>
                <w:bCs/>
                <w:sz w:val="20"/>
                <w:szCs w:val="20"/>
              </w:rPr>
              <w:t>ClearlyMe</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A06047" w14:textId="77777777" w:rsidR="000C3784" w:rsidRDefault="00D450DC">
            <w:pPr>
              <w:spacing w:line="276" w:lineRule="auto"/>
            </w:pPr>
            <w:proofErr w:type="spellStart"/>
            <w:r>
              <w:rPr>
                <w:rFonts w:eastAsia="Times New Roman"/>
                <w:sz w:val="20"/>
                <w:szCs w:val="20"/>
              </w:rPr>
              <w:t>ClearlyMe</w:t>
            </w:r>
            <w:proofErr w:type="spellEnd"/>
            <w:r>
              <w:rPr>
                <w:rFonts w:eastAsia="Times New Roman"/>
                <w:sz w:val="20"/>
                <w:szCs w:val="20"/>
              </w:rPr>
              <w:t xml:space="preserve"> is a free, self-directed, non-sequential smartphone app based on CBT for depression management, developed by the Black Dog Institute (UNSW Sydney). Its content comprises 37 brief activities (under 10 minutes each) and 9 themed collections (under 20 minutes each), covering psychoeducation, cognitive restructuring, emotion awareness, activity scheduling, relaxation, and mindfulness. Key features include </w:t>
            </w:r>
            <w:proofErr w:type="spellStart"/>
            <w:r>
              <w:rPr>
                <w:rFonts w:eastAsia="Times New Roman"/>
                <w:sz w:val="20"/>
                <w:szCs w:val="20"/>
              </w:rPr>
              <w:t>MoodCheck</w:t>
            </w:r>
            <w:proofErr w:type="spellEnd"/>
            <w:r>
              <w:rPr>
                <w:rFonts w:eastAsia="Times New Roman"/>
                <w:sz w:val="20"/>
                <w:szCs w:val="20"/>
              </w:rPr>
              <w:t xml:space="preserve"> (mood </w:t>
            </w:r>
            <w:r>
              <w:rPr>
                <w:rFonts w:eastAsia="Times New Roman"/>
                <w:sz w:val="20"/>
                <w:szCs w:val="20"/>
              </w:rPr>
              <w:lastRenderedPageBreak/>
              <w:t xml:space="preserve">tracking), </w:t>
            </w:r>
            <w:proofErr w:type="spellStart"/>
            <w:r>
              <w:rPr>
                <w:rFonts w:eastAsia="Times New Roman"/>
                <w:sz w:val="20"/>
                <w:szCs w:val="20"/>
              </w:rPr>
              <w:t>MindHacks</w:t>
            </w:r>
            <w:proofErr w:type="spellEnd"/>
            <w:r>
              <w:rPr>
                <w:rFonts w:eastAsia="Times New Roman"/>
                <w:sz w:val="20"/>
                <w:szCs w:val="20"/>
              </w:rPr>
              <w:t xml:space="preserve"> (in-the-moment coping strategies), and adolescent-led video stories on mental health experiences. Support systems include in-app reminders, favorites/save functions, a Get Help referral section, and on-demand technical support.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19A547E" w14:textId="77777777" w:rsidR="000C3784" w:rsidRDefault="00D450DC">
            <w:pPr>
              <w:spacing w:line="276" w:lineRule="auto"/>
            </w:pPr>
            <w:r>
              <w:rPr>
                <w:rFonts w:eastAsia="Times New Roman"/>
                <w:sz w:val="20"/>
                <w:szCs w:val="20"/>
              </w:rPr>
              <w:lastRenderedPageBreak/>
              <w:t>Cognitive restructuring; Behavioral activation; Relaxation; Psychoeducation; Third-wave components; Automated encouragement; Technical support</w:t>
            </w:r>
          </w:p>
        </w:tc>
      </w:tr>
      <w:tr w:rsidR="000C3784" w14:paraId="1B67B966"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7783469" w14:textId="77777777" w:rsidR="000C3784" w:rsidRDefault="00D450DC">
            <w:pPr>
              <w:spacing w:line="276" w:lineRule="auto"/>
            </w:pPr>
            <w:r>
              <w:rPr>
                <w:rFonts w:eastAsia="Times New Roman"/>
                <w:b/>
                <w:bCs/>
                <w:sz w:val="20"/>
                <w:szCs w:val="20"/>
              </w:rPr>
              <w:t>COPE</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7F6707" w14:textId="77777777" w:rsidR="000C3784" w:rsidRDefault="00D450DC">
            <w:pPr>
              <w:spacing w:line="276" w:lineRule="auto"/>
            </w:pPr>
            <w:r>
              <w:rPr>
                <w:rFonts w:eastAsia="Times New Roman"/>
                <w:sz w:val="20"/>
                <w:szCs w:val="20"/>
              </w:rPr>
              <w:t xml:space="preserve">Creating Opportunities for Personal Empowerment (COPE) teaches users to reframe negative beliefs into positive ones </w:t>
            </w:r>
            <w:proofErr w:type="gramStart"/>
            <w:r>
              <w:rPr>
                <w:rFonts w:eastAsia="Times New Roman"/>
                <w:sz w:val="20"/>
                <w:szCs w:val="20"/>
              </w:rPr>
              <w:t>in order to</w:t>
            </w:r>
            <w:proofErr w:type="gramEnd"/>
            <w:r>
              <w:rPr>
                <w:rFonts w:eastAsia="Times New Roman"/>
                <w:sz w:val="20"/>
                <w:szCs w:val="20"/>
              </w:rPr>
              <w:t xml:space="preserve"> feel better and behave more healthily. The program covers: an introduction to the COPE program and the thinking-feeling-behaving triangle (ABC model) with positive self-talk; self-esteem and positive self-talk; stress and coping, including signs of anxiety and depression; problem-solving and goal-setting (a four-step process); managing emotions through positive thinking and communication, including mental imagery and guided visualization; coping with stressful situations; and a concluding integration session.</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A04AF0" w14:textId="77777777" w:rsidR="000C3784" w:rsidRDefault="00D450DC">
            <w:pPr>
              <w:spacing w:line="276" w:lineRule="auto"/>
            </w:pPr>
            <w:r>
              <w:rPr>
                <w:rFonts w:eastAsia="Times New Roman"/>
                <w:sz w:val="20"/>
                <w:szCs w:val="20"/>
              </w:rPr>
              <w:t>Cognitive restructuring; Behavioral activation; Interpersonal skills training; Problem-solving; Third-wave components; Homework</w:t>
            </w:r>
          </w:p>
        </w:tc>
      </w:tr>
      <w:tr w:rsidR="000C3784" w14:paraId="78D28A8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403A38" w14:textId="77777777" w:rsidR="000C3784" w:rsidRDefault="00D450DC">
            <w:pPr>
              <w:spacing w:line="276" w:lineRule="auto"/>
            </w:pPr>
            <w:r>
              <w:rPr>
                <w:rFonts w:eastAsia="Times New Roman"/>
                <w:b/>
                <w:bCs/>
                <w:sz w:val="20"/>
                <w:szCs w:val="20"/>
              </w:rPr>
              <w:t>Feeling Good</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C067114" w14:textId="77777777" w:rsidR="000C3784" w:rsidRDefault="00D450DC">
            <w:pPr>
              <w:spacing w:line="276" w:lineRule="auto"/>
            </w:pPr>
            <w:r>
              <w:rPr>
                <w:rFonts w:eastAsia="Times New Roman"/>
                <w:sz w:val="20"/>
                <w:szCs w:val="20"/>
              </w:rPr>
              <w:t xml:space="preserve">Feeling Good is a bibliotherapy intervention based on Burns' self-help book. It provides practical tools and techniques empowering readers to manage their own mental health. Through real-life stories it illustrates how distorted thinking affects emotion and how to challenge and reframe such thoughts. Key ideas </w:t>
            </w:r>
            <w:proofErr w:type="gramStart"/>
            <w:r>
              <w:rPr>
                <w:rFonts w:eastAsia="Times New Roman"/>
                <w:sz w:val="20"/>
                <w:szCs w:val="20"/>
              </w:rPr>
              <w:t>include:</w:t>
            </w:r>
            <w:proofErr w:type="gramEnd"/>
            <w:r>
              <w:rPr>
                <w:rFonts w:eastAsia="Times New Roman"/>
                <w:sz w:val="20"/>
                <w:szCs w:val="20"/>
              </w:rPr>
              <w:t xml:space="preserve"> feelings are dictated by thoughts; shifting thought patterns promotes mental clarity; recognizing cognitive distortions allows one to regain control over emotional health; the triple-column technique challenges negative thinking; and structuring daily goals rebuilds confidence and disrupts depressive cycles.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2CD41F" w14:textId="77777777" w:rsidR="000C3784" w:rsidRDefault="00D450DC">
            <w:pPr>
              <w:spacing w:line="276" w:lineRule="auto"/>
            </w:pPr>
            <w:r>
              <w:rPr>
                <w:rFonts w:eastAsia="Times New Roman"/>
                <w:sz w:val="20"/>
                <w:szCs w:val="20"/>
              </w:rPr>
              <w:t>Cognitive restructuring; Psychoeducation; Homework; Relapse prevention; Relaxation</w:t>
            </w:r>
          </w:p>
        </w:tc>
      </w:tr>
      <w:tr w:rsidR="000C3784" w14:paraId="55AA8058"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18E150" w14:textId="77777777" w:rsidR="000C3784" w:rsidRDefault="00D450DC">
            <w:pPr>
              <w:spacing w:line="276" w:lineRule="auto"/>
            </w:pPr>
            <w:r>
              <w:rPr>
                <w:rFonts w:eastAsia="Times New Roman"/>
                <w:b/>
                <w:bCs/>
                <w:sz w:val="20"/>
                <w:szCs w:val="20"/>
              </w:rPr>
              <w:t>Grasp the Opportunity</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2DEA54" w14:textId="77777777" w:rsidR="000C3784" w:rsidRPr="00AA6E3B" w:rsidRDefault="00D450DC">
            <w:pPr>
              <w:spacing w:line="276" w:lineRule="auto"/>
            </w:pPr>
            <w:r w:rsidRPr="00AA6E3B">
              <w:rPr>
                <w:rFonts w:eastAsia="Times New Roman"/>
              </w:rPr>
              <w:t>Grasp the Opportunity is a Chinese internet intervention adapted from CATCH-IT for Hong Kong adolescents. The program comprises 10 modules targeting four core goals: improving negative cognition, reducing negative behaviors, strengthening resilience, and reinforcing positive behaviors.</w:t>
            </w:r>
          </w:p>
          <w:p w14:paraId="1AC24F90" w14:textId="77777777" w:rsidR="00AA6E3B" w:rsidRPr="00AA6E3B" w:rsidRDefault="00AA6E3B">
            <w:pPr>
              <w:spacing w:line="276" w:lineRule="auto"/>
            </w:pPr>
          </w:p>
          <w:p w14:paraId="1588A18B" w14:textId="5C35D65F" w:rsidR="00AA6E3B" w:rsidRPr="00AA6E3B" w:rsidRDefault="00AA6E3B">
            <w:pPr>
              <w:spacing w:line="276" w:lineRule="auto"/>
            </w:pPr>
            <w:r w:rsidRPr="00AA6E3B">
              <w:t>DOI:</w:t>
            </w:r>
            <w:hyperlink r:id="rId38" w:tgtFrame="_blank" w:history="1">
              <w:r w:rsidRPr="00AA6E3B">
                <w:rPr>
                  <w:rStyle w:val="a5"/>
                </w:rPr>
                <w:t>10.1515/ijamh-2013-0020</w:t>
              </w:r>
            </w:hyperlink>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A9FF0E" w14:textId="77777777" w:rsidR="000C3784" w:rsidRDefault="00D450DC">
            <w:pPr>
              <w:spacing w:line="276" w:lineRule="auto"/>
            </w:pPr>
            <w:r>
              <w:rPr>
                <w:rFonts w:eastAsia="Times New Roman"/>
                <w:sz w:val="20"/>
                <w:szCs w:val="20"/>
              </w:rPr>
              <w:t>Cognitive restructuring; Behavioral activation; Relaxation</w:t>
            </w:r>
          </w:p>
        </w:tc>
      </w:tr>
      <w:tr w:rsidR="000C3784" w14:paraId="2A18C5EB"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0A9C05" w14:textId="77777777" w:rsidR="000C3784" w:rsidRDefault="00D450DC">
            <w:pPr>
              <w:spacing w:line="276" w:lineRule="auto"/>
            </w:pPr>
            <w:proofErr w:type="spellStart"/>
            <w:r>
              <w:rPr>
                <w:rFonts w:eastAsia="Times New Roman"/>
                <w:b/>
                <w:bCs/>
                <w:sz w:val="20"/>
                <w:szCs w:val="20"/>
              </w:rPr>
              <w:t>iCBT</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101C71" w14:textId="77777777" w:rsidR="000C3784" w:rsidRDefault="00D450DC">
            <w:pPr>
              <w:spacing w:line="276" w:lineRule="auto"/>
            </w:pPr>
            <w:r>
              <w:rPr>
                <w:rFonts w:eastAsia="Times New Roman"/>
                <w:sz w:val="20"/>
                <w:szCs w:val="20"/>
              </w:rPr>
              <w:t xml:space="preserve">This Japanese </w:t>
            </w:r>
            <w:proofErr w:type="spellStart"/>
            <w:r>
              <w:rPr>
                <w:rFonts w:eastAsia="Times New Roman"/>
                <w:sz w:val="20"/>
                <w:szCs w:val="20"/>
              </w:rPr>
              <w:t>iCBT</w:t>
            </w:r>
            <w:proofErr w:type="spellEnd"/>
            <w:r>
              <w:rPr>
                <w:rFonts w:eastAsia="Times New Roman"/>
                <w:sz w:val="20"/>
                <w:szCs w:val="20"/>
              </w:rPr>
              <w:t xml:space="preserve"> intervention combines group education with computer-based CBT training. The group education lecture covers the relationship between cognition, mood, and behavior; introduces CBT; and presents its benefits as stress-management skills with real-life examples. Group work and discussion focus on cognitive restructuring, with </w:t>
            </w:r>
            <w:r>
              <w:rPr>
                <w:rFonts w:eastAsia="Times New Roman"/>
                <w:sz w:val="20"/>
                <w:szCs w:val="20"/>
              </w:rPr>
              <w:lastRenderedPageBreak/>
              <w:t xml:space="preserve">participants completing column worksheets to identify their own automatic thoughts and discussing </w:t>
            </w:r>
            <w:proofErr w:type="gramStart"/>
            <w:r>
              <w:rPr>
                <w:rFonts w:eastAsia="Times New Roman"/>
                <w:sz w:val="20"/>
                <w:szCs w:val="20"/>
              </w:rPr>
              <w:t>counter-evidence</w:t>
            </w:r>
            <w:proofErr w:type="gramEnd"/>
            <w:r>
              <w:rPr>
                <w:rFonts w:eastAsia="Times New Roman"/>
                <w:sz w:val="20"/>
                <w:szCs w:val="20"/>
              </w:rPr>
              <w:t xml:space="preserve"> and adaptive thoughts. The </w:t>
            </w:r>
            <w:proofErr w:type="spellStart"/>
            <w:r>
              <w:rPr>
                <w:rFonts w:eastAsia="Times New Roman"/>
                <w:sz w:val="20"/>
                <w:szCs w:val="20"/>
              </w:rPr>
              <w:t>iCBT</w:t>
            </w:r>
            <w:proofErr w:type="spellEnd"/>
            <w:r>
              <w:rPr>
                <w:rFonts w:eastAsia="Times New Roman"/>
                <w:sz w:val="20"/>
                <w:szCs w:val="20"/>
              </w:rPr>
              <w:t xml:space="preserve"> training component delivers cognitive restructuring via an online platform (http://www.cbtjp.com).</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2016D5" w14:textId="77777777" w:rsidR="000C3784" w:rsidRDefault="00D450DC">
            <w:pPr>
              <w:spacing w:line="276" w:lineRule="auto"/>
            </w:pPr>
            <w:r>
              <w:rPr>
                <w:rFonts w:eastAsia="Times New Roman"/>
                <w:sz w:val="20"/>
                <w:szCs w:val="20"/>
              </w:rPr>
              <w:lastRenderedPageBreak/>
              <w:t>Cognitive restructuring; Psychoeducation; Homework; Initial face-to-face contact; Automated encouragement</w:t>
            </w:r>
          </w:p>
        </w:tc>
      </w:tr>
      <w:tr w:rsidR="000C3784" w14:paraId="26B580B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36D885D" w14:textId="77777777" w:rsidR="000C3784" w:rsidRDefault="00D450DC">
            <w:pPr>
              <w:spacing w:line="276" w:lineRule="auto"/>
            </w:pPr>
            <w:proofErr w:type="spellStart"/>
            <w:r>
              <w:rPr>
                <w:rFonts w:eastAsia="Times New Roman"/>
                <w:b/>
                <w:bCs/>
                <w:sz w:val="20"/>
                <w:szCs w:val="20"/>
              </w:rPr>
              <w:t>iDOVE</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150FE7" w14:textId="77777777" w:rsidR="000C3784" w:rsidRDefault="00D450DC">
            <w:pPr>
              <w:spacing w:line="276" w:lineRule="auto"/>
            </w:pPr>
            <w:r>
              <w:rPr>
                <w:rFonts w:eastAsia="Times New Roman"/>
                <w:sz w:val="20"/>
                <w:szCs w:val="20"/>
              </w:rPr>
              <w:t xml:space="preserve">The </w:t>
            </w:r>
            <w:proofErr w:type="spellStart"/>
            <w:r>
              <w:rPr>
                <w:rFonts w:eastAsia="Times New Roman"/>
                <w:sz w:val="20"/>
                <w:szCs w:val="20"/>
              </w:rPr>
              <w:t>iDOVE</w:t>
            </w:r>
            <w:proofErr w:type="spellEnd"/>
            <w:r>
              <w:rPr>
                <w:rFonts w:eastAsia="Times New Roman"/>
                <w:sz w:val="20"/>
                <w:szCs w:val="20"/>
              </w:rPr>
              <w:t xml:space="preserve"> program is a computerized intervention for adolescents recruited from a pediatric emergency department with peer violence exposure and depressive symptoms. It begins with a brief (15–20 minute) computer-guided session in the Emergency Department, followed by an 8-week automated text-message curriculum. The initial face-to-face session includes motivational interviewing and CBT-informed feedback, feedback on peer violence and depressive symptoms, encouragement of </w:t>
            </w:r>
            <w:proofErr w:type="gramStart"/>
            <w:r>
              <w:rPr>
                <w:rFonts w:eastAsia="Times New Roman"/>
                <w:sz w:val="20"/>
                <w:szCs w:val="20"/>
              </w:rPr>
              <w:t>goal-setting</w:t>
            </w:r>
            <w:proofErr w:type="gramEnd"/>
            <w:r>
              <w:rPr>
                <w:rFonts w:eastAsia="Times New Roman"/>
                <w:sz w:val="20"/>
                <w:szCs w:val="20"/>
              </w:rPr>
              <w:t xml:space="preserve"> and self-reflection, an introduction to basic CBT concepts and their relation to the participant's experience of peer violence and depression, and an overview of the text-message component. The follow-up SMS messages include daily mood check-ins, psychoeducational content, reminders, crisis support, and behavioral prompts or motivational messages.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1012FD" w14:textId="77777777" w:rsidR="000C3784" w:rsidRDefault="00D450DC">
            <w:pPr>
              <w:spacing w:line="276" w:lineRule="auto"/>
            </w:pPr>
            <w:r>
              <w:rPr>
                <w:rFonts w:eastAsia="Times New Roman"/>
                <w:sz w:val="20"/>
                <w:szCs w:val="20"/>
              </w:rPr>
              <w:t>Cognitive restructuring; Behavioral activation; Psychoeducation; Initial face-to-face contact; Automated encouragement; Technical support</w:t>
            </w:r>
          </w:p>
        </w:tc>
      </w:tr>
      <w:tr w:rsidR="000C3784" w14:paraId="63296B91"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17388F" w14:textId="77777777" w:rsidR="000C3784" w:rsidRDefault="00D450DC">
            <w:pPr>
              <w:spacing w:line="276" w:lineRule="auto"/>
            </w:pPr>
            <w:r>
              <w:rPr>
                <w:rFonts w:eastAsia="Times New Roman"/>
                <w:b/>
                <w:bCs/>
                <w:sz w:val="20"/>
                <w:szCs w:val="20"/>
              </w:rPr>
              <w:t>MEMO</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E17E25" w14:textId="77777777" w:rsidR="000C3784" w:rsidRDefault="00D450DC">
            <w:pPr>
              <w:spacing w:line="276" w:lineRule="auto"/>
            </w:pPr>
            <w:r>
              <w:rPr>
                <w:rFonts w:eastAsia="Times New Roman"/>
                <w:sz w:val="20"/>
                <w:szCs w:val="20"/>
              </w:rPr>
              <w:t>MEMO is a fully automated CBT-based web/mobile program delivered via a mixture of text, video, and cartoon messages. Fifteen key CBT-derived messages are delivered at a rate of 2 messages per day for 9 weeks. Key messages include: feelings result from thoughts and actions; one can take control of mental state; staying active improves overall happiness; engage in enjoyable activities; avoid procrastination; practice relaxation; spend time with people you enjoy; avoid unnecessary conflict; seek help when needed; focusing only on weakness leads to negative feelings; events affect us through interpretation; one can choose positive or negative perspectives; negative thoughts can be managed; stress-management techniques are available; and problem-solving skills can be learned and applied. Short videos demonstrate how thoughts influence mood, featuring adolescents and celebrities describing applications; cartoons present the key messages in alternative story formats; homework is assigned as weekly challenges.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B13420" w14:textId="77777777" w:rsidR="000C3784" w:rsidRDefault="00D450DC">
            <w:pPr>
              <w:spacing w:line="276" w:lineRule="auto"/>
            </w:pPr>
            <w:r>
              <w:rPr>
                <w:rFonts w:eastAsia="Times New Roman"/>
                <w:sz w:val="20"/>
                <w:szCs w:val="20"/>
              </w:rPr>
              <w:t>Cognitive restructuring; Behavioral activation; Problem-solving; Relaxation; Homework</w:t>
            </w:r>
          </w:p>
        </w:tc>
      </w:tr>
      <w:tr w:rsidR="000C3784" w14:paraId="47ADBA0E"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107F81" w14:textId="77777777" w:rsidR="000C3784" w:rsidRDefault="00D450DC">
            <w:pPr>
              <w:spacing w:line="276" w:lineRule="auto"/>
            </w:pPr>
            <w:r>
              <w:rPr>
                <w:rFonts w:eastAsia="Times New Roman"/>
                <w:b/>
                <w:bCs/>
                <w:sz w:val="20"/>
                <w:szCs w:val="20"/>
              </w:rPr>
              <w:t>Mello</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F862EF" w14:textId="77777777" w:rsidR="000C3784" w:rsidRDefault="00D450DC">
            <w:pPr>
              <w:spacing w:line="276" w:lineRule="auto"/>
            </w:pPr>
            <w:r>
              <w:rPr>
                <w:rFonts w:eastAsia="Times New Roman"/>
                <w:sz w:val="20"/>
                <w:szCs w:val="20"/>
              </w:rPr>
              <w:t xml:space="preserve">Mello offers real-time assessment and tailored intervention strategies to disrupt repetitive negative thinking (RNT) in young people with depression and anxiety. Key features </w:t>
            </w:r>
            <w:proofErr w:type="gramStart"/>
            <w:r>
              <w:rPr>
                <w:rFonts w:eastAsia="Times New Roman"/>
                <w:sz w:val="20"/>
                <w:szCs w:val="20"/>
              </w:rPr>
              <w:t>include:</w:t>
            </w:r>
            <w:proofErr w:type="gramEnd"/>
            <w:r>
              <w:rPr>
                <w:rFonts w:eastAsia="Times New Roman"/>
                <w:sz w:val="20"/>
                <w:szCs w:val="20"/>
              </w:rPr>
              <w:t xml:space="preserve"> randomized notifications three times daily (9am–</w:t>
            </w:r>
            <w:r>
              <w:rPr>
                <w:rFonts w:eastAsia="Times New Roman"/>
                <w:sz w:val="20"/>
                <w:szCs w:val="20"/>
              </w:rPr>
              <w:lastRenderedPageBreak/>
              <w:t xml:space="preserve">9pm); check-ins assessing current RNT levels, mood state, ongoing activities, and location; algorithmic recommendation of appropriate CBT activities based on level of stuck thinking, current mood, context, and activity level. Each recommended activity takes 2–12 minutes and is delivered via animations with guided text or audio — including mindfulness exercises, problem-solving techniques, </w:t>
            </w:r>
            <w:proofErr w:type="spellStart"/>
            <w:r>
              <w:rPr>
                <w:rFonts w:eastAsia="Times New Roman"/>
                <w:sz w:val="20"/>
                <w:szCs w:val="20"/>
              </w:rPr>
              <w:t>defusion</w:t>
            </w:r>
            <w:proofErr w:type="spellEnd"/>
            <w:r>
              <w:rPr>
                <w:rFonts w:eastAsia="Times New Roman"/>
                <w:sz w:val="20"/>
                <w:szCs w:val="20"/>
              </w:rPr>
              <w:t xml:space="preserve"> strategies, worry-time scheduling, thought challenging, and self-compassion practices. After each activity, users report updated RNT levels and rate helpfulness; a profile analysis shows patterns between RNT and contextual factors; all therapy activities are accessible on demand.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F85A50" w14:textId="77777777" w:rsidR="000C3784" w:rsidRDefault="00D450DC">
            <w:pPr>
              <w:spacing w:line="276" w:lineRule="auto"/>
            </w:pPr>
            <w:r>
              <w:rPr>
                <w:rFonts w:eastAsia="Times New Roman"/>
                <w:sz w:val="20"/>
                <w:szCs w:val="20"/>
              </w:rPr>
              <w:lastRenderedPageBreak/>
              <w:t>Cognitive restructuring; Behavioral activation; Relaxation; Problem-solving; Third-wave components</w:t>
            </w:r>
          </w:p>
        </w:tc>
      </w:tr>
      <w:tr w:rsidR="000C3784" w14:paraId="2EEFF65F"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C782D3" w14:textId="77777777" w:rsidR="000C3784" w:rsidRDefault="00D450DC">
            <w:pPr>
              <w:spacing w:line="276" w:lineRule="auto"/>
            </w:pPr>
            <w:proofErr w:type="spellStart"/>
            <w:r>
              <w:rPr>
                <w:rFonts w:eastAsia="Times New Roman"/>
                <w:b/>
                <w:bCs/>
                <w:sz w:val="20"/>
                <w:szCs w:val="20"/>
              </w:rPr>
              <w:t>MoodGYM</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F2CD63" w14:textId="77777777" w:rsidR="000C3784" w:rsidRDefault="00D450DC">
            <w:pPr>
              <w:spacing w:line="276" w:lineRule="auto"/>
            </w:pPr>
            <w:proofErr w:type="spellStart"/>
            <w:r>
              <w:rPr>
                <w:rFonts w:eastAsia="Times New Roman"/>
                <w:sz w:val="20"/>
                <w:szCs w:val="20"/>
              </w:rPr>
              <w:t>MoodGYM</w:t>
            </w:r>
            <w:proofErr w:type="spellEnd"/>
            <w:r>
              <w:rPr>
                <w:rFonts w:eastAsia="Times New Roman"/>
                <w:sz w:val="20"/>
                <w:szCs w:val="20"/>
              </w:rPr>
              <w:t xml:space="preserve"> comprises five modules plus a workbook. Module 1: Feelings — Why You Feel the Way You Do (20 min) explores the connection between thoughts and emotions, identifies emotional impacts of negative thinking, and introduces the WUTIWUF principle (What You Think Is What You Feel). Module 2: Thoughts — Changing the Way We Think (25 min) covers types of dysfunctional thinking and strategies to challenge them, common challenges in authority and intimate relationships, and techniques for improving self-esteem. Module 3: Unwarping — Changing Warped Thoughts (30 min) addresses methods to reframe dysfunctional thought patterns and enhance self-esteem through engagement in positive experiences. Module 4: Destressing — Recognizing Triggers and Coping Strategies (variable duration) covers trigger identification, relaxation techniques (with downloadable resources), and problem-solving frameworks. Module 5: Relationships — Navigating Breakups and Parental Influence (25 min). A workbook with 29 interactive quizzes and diaries allows users to retake quizzes and track progress over time.</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BE4F2A" w14:textId="77777777" w:rsidR="000C3784" w:rsidRDefault="00D450DC">
            <w:pPr>
              <w:spacing w:line="276" w:lineRule="auto"/>
            </w:pPr>
            <w:r>
              <w:rPr>
                <w:rFonts w:eastAsia="Times New Roman"/>
                <w:sz w:val="20"/>
                <w:szCs w:val="20"/>
              </w:rPr>
              <w:t>Cognitive restructuring; Problem-solving; Interpersonal skills training; Relaxation; Psychoeducation</w:t>
            </w:r>
          </w:p>
        </w:tc>
      </w:tr>
      <w:tr w:rsidR="000C3784" w14:paraId="4F89AB2F"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CB5482" w14:textId="77777777" w:rsidR="000C3784" w:rsidRDefault="00D450DC">
            <w:pPr>
              <w:spacing w:line="276" w:lineRule="auto"/>
            </w:pPr>
            <w:r>
              <w:rPr>
                <w:rFonts w:eastAsia="Times New Roman"/>
                <w:b/>
                <w:bCs/>
                <w:sz w:val="20"/>
                <w:szCs w:val="20"/>
              </w:rPr>
              <w:t>Reframe-IT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75C956" w14:textId="77777777" w:rsidR="000C3784" w:rsidRDefault="00D450DC">
            <w:pPr>
              <w:spacing w:line="276" w:lineRule="auto"/>
            </w:pPr>
            <w:r>
              <w:rPr>
                <w:rFonts w:eastAsia="Times New Roman"/>
                <w:sz w:val="20"/>
                <w:szCs w:val="20"/>
              </w:rPr>
              <w:t xml:space="preserve">Reframe-IT is an online CBT intervention designed for high-school students at risk of suicide. Its 8-module structure delivers one module per week, with two activities and homework per week; a message board is used for communication with therapists; factsheets supplement content. Modules cover schedule setting; emotional recognition and resilience to distress; identification of negative automatic thoughts; behavioral activation including help-seeking, activity scheduling, and relaxation; problem-solving, especially for managing suicidal ideation; detecting and challenging problematic thinking; and </w:t>
            </w:r>
            <w:r>
              <w:rPr>
                <w:rFonts w:eastAsia="Times New Roman"/>
                <w:sz w:val="20"/>
                <w:szCs w:val="20"/>
              </w:rPr>
              <w:lastRenderedPageBreak/>
              <w:t xml:space="preserve">cognitive restructuring. Each participant has access to a personalized webpage with an adult host character delivering therapy content, factsheets, downloadable relaxation files, and a list of local and national helplines. Note: Reframe-IT includes therapist interaction via the message board and is therefore evaluated for eligibility </w:t>
            </w:r>
            <w:proofErr w:type="gramStart"/>
            <w:r>
              <w:rPr>
                <w:rFonts w:eastAsia="Times New Roman"/>
                <w:sz w:val="20"/>
                <w:szCs w:val="20"/>
              </w:rPr>
              <w:t>on the basis of</w:t>
            </w:r>
            <w:proofErr w:type="gramEnd"/>
            <w:r>
              <w:rPr>
                <w:rFonts w:eastAsia="Times New Roman"/>
                <w:sz w:val="20"/>
                <w:szCs w:val="20"/>
              </w:rPr>
              <w:t xml:space="preserve"> whether that interaction constitutes therapeutic guidance.</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B98E02" w14:textId="77777777" w:rsidR="000C3784" w:rsidRDefault="00D450DC">
            <w:pPr>
              <w:spacing w:line="276" w:lineRule="auto"/>
            </w:pPr>
            <w:r>
              <w:rPr>
                <w:rFonts w:eastAsia="Times New Roman"/>
                <w:sz w:val="20"/>
                <w:szCs w:val="20"/>
              </w:rPr>
              <w:lastRenderedPageBreak/>
              <w:t>Cognitive restructuring; Behavioral activation; Problem-solving; Relaxation; Psychoeducation; Homework; Technical support</w:t>
            </w:r>
          </w:p>
        </w:tc>
      </w:tr>
      <w:tr w:rsidR="000C3784" w14:paraId="6EA14CA6"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7901DA" w14:textId="77777777" w:rsidR="000C3784" w:rsidRDefault="00D450DC">
            <w:pPr>
              <w:spacing w:line="276" w:lineRule="auto"/>
            </w:pPr>
            <w:r>
              <w:rPr>
                <w:rFonts w:eastAsia="Times New Roman"/>
                <w:b/>
                <w:bCs/>
                <w:sz w:val="20"/>
                <w:szCs w:val="20"/>
              </w:rPr>
              <w:t>Sleep Ninja</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48ED34" w14:textId="77777777" w:rsidR="000C3784" w:rsidRDefault="00D450DC">
            <w:pPr>
              <w:spacing w:line="276" w:lineRule="auto"/>
            </w:pPr>
            <w:r>
              <w:rPr>
                <w:rFonts w:eastAsia="Times New Roman"/>
                <w:sz w:val="20"/>
                <w:szCs w:val="20"/>
              </w:rPr>
              <w:t>Sleep Ninja is a CBT-I application tailored for adolescents with insomnia. The app is designed for daytime use and includes six structured training sessions delivered through ~10-minute weekly chats with a virtual character over 6 weeks. Chat content educates users about sleep and its importance, helps identify habits that contribute to poor sleep (including sleep environment, daytime routine, and bedtime routine), and teaches evidence-based behavioral and cognitive strategies. Weekly adjustments follow a sleep-restriction formula based on Sleep Efficiency (SE = time asleep / time in bed × 100): SE &lt; 80 → reduce bed time by 15 min; 80 ≤ SE ≤ 85 → no change; SE &gt; 85 with daytime sleepiness → increase bed time by 15 min. App features include encouraging session reminders, personalized chat content, and personalized treatment based on one week of baseline sleep data. Note: Primary target is insomnia; eligibility depends on whether depression is a primary outcome with baseline cutoff met.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C091AC" w14:textId="77777777" w:rsidR="000C3784" w:rsidRDefault="00D450DC">
            <w:pPr>
              <w:spacing w:line="276" w:lineRule="auto"/>
            </w:pPr>
            <w:r>
              <w:rPr>
                <w:rFonts w:eastAsia="Times New Roman"/>
                <w:sz w:val="20"/>
                <w:szCs w:val="20"/>
              </w:rPr>
              <w:t>Behavioral activation; Cognitive restructuring; Relaxation; Psychoeducation; Automated encouragement</w:t>
            </w:r>
          </w:p>
        </w:tc>
      </w:tr>
      <w:tr w:rsidR="000C3784" w14:paraId="269FAC08"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D065BFD" w14:textId="77777777" w:rsidR="000C3784" w:rsidRDefault="00D450DC">
            <w:pPr>
              <w:spacing w:line="276" w:lineRule="auto"/>
            </w:pPr>
            <w:r>
              <w:rPr>
                <w:rFonts w:eastAsia="Times New Roman"/>
                <w:b/>
                <w:bCs/>
                <w:sz w:val="20"/>
                <w:szCs w:val="20"/>
              </w:rPr>
              <w:t>Spark</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03D11A" w14:textId="77777777" w:rsidR="000C3784" w:rsidRDefault="00D450DC">
            <w:pPr>
              <w:spacing w:line="276" w:lineRule="auto"/>
            </w:pPr>
            <w:r>
              <w:rPr>
                <w:rFonts w:eastAsia="Times New Roman"/>
                <w:sz w:val="20"/>
                <w:szCs w:val="20"/>
              </w:rPr>
              <w:t xml:space="preserve">Spark (version 2.2) is a CBT-based smartphone application. A character named </w:t>
            </w:r>
            <w:proofErr w:type="spellStart"/>
            <w:r>
              <w:rPr>
                <w:rFonts w:eastAsia="Times New Roman"/>
                <w:sz w:val="20"/>
                <w:szCs w:val="20"/>
              </w:rPr>
              <w:t>Limbot</w:t>
            </w:r>
            <w:proofErr w:type="spellEnd"/>
            <w:r>
              <w:rPr>
                <w:rFonts w:eastAsia="Times New Roman"/>
                <w:sz w:val="20"/>
                <w:szCs w:val="20"/>
              </w:rPr>
              <w:t xml:space="preserve"> guides users to complete activities outside the application. Users are encouraged to schedule daily activities and reflect on their impact on mood. Within the app, participants read text, answer questions, input text, and complete interactive activities. Version 2.2 comprises four levels: Level 1 — Introduction to Behavioral Activation; Level 2 — Mood Tracking; Level 3 — Mindfulness and Activity Scheduling; Level 4 — Problem-Solving and Activity Scheduling.</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579A445" w14:textId="77777777" w:rsidR="000C3784" w:rsidRDefault="00D450DC">
            <w:pPr>
              <w:spacing w:line="276" w:lineRule="auto"/>
            </w:pPr>
            <w:r>
              <w:rPr>
                <w:rFonts w:eastAsia="Times New Roman"/>
                <w:sz w:val="20"/>
                <w:szCs w:val="20"/>
              </w:rPr>
              <w:t>Behavioral activation; Psychoeducation; Problem-solving; Relapse prevention</w:t>
            </w:r>
          </w:p>
        </w:tc>
      </w:tr>
      <w:tr w:rsidR="000C3784" w14:paraId="29661999"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9774E3" w14:textId="77777777" w:rsidR="000C3784" w:rsidRDefault="00D450DC">
            <w:pPr>
              <w:spacing w:line="276" w:lineRule="auto"/>
            </w:pPr>
            <w:r>
              <w:rPr>
                <w:rFonts w:eastAsia="Times New Roman"/>
                <w:b/>
                <w:bCs/>
                <w:sz w:val="20"/>
                <w:szCs w:val="20"/>
              </w:rPr>
              <w:t>SPARX</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6C1B55" w14:textId="77777777" w:rsidR="000C3784" w:rsidRDefault="00D450DC">
            <w:pPr>
              <w:spacing w:line="276" w:lineRule="auto"/>
            </w:pPr>
            <w:r>
              <w:rPr>
                <w:rFonts w:eastAsia="Times New Roman"/>
                <w:sz w:val="20"/>
                <w:szCs w:val="20"/>
              </w:rPr>
              <w:t xml:space="preserve">Smart, Positive, Active, Realistic, X-factor thoughts (SPARX) is an interactive computer game originally designed for Māori youth in remote areas of New Zealand. The avatar in the game has the mission of removing the gloom and negativity cast by GNATs (Gloomy Negative Automatic Thoughts) and restoring balance in a virtual world. Seven levels are delivered across 4–7 weeks: Level 1 (Cave Province — finding hope): introduction to </w:t>
            </w:r>
            <w:r>
              <w:rPr>
                <w:rFonts w:eastAsia="Times New Roman"/>
                <w:sz w:val="20"/>
                <w:szCs w:val="20"/>
              </w:rPr>
              <w:lastRenderedPageBreak/>
              <w:t>depression and the CBT model, background to the game, and breathing relaxation. Level 2 (Ice Province — being active): behavioral activation, progressive muscle relaxation, interpersonal communication skills. Level 3 (Volcano Province — dealing with emotions): tackling strong emotions, listening and negotiation skills. Level 4 (Mountain Province — overcoming problems): problem-solving procedures, cognitive restructuring (identifying SPARX), negotiation skills. Level 5 (Swamp Province — recognizing unhelpful thoughts): cognitive restructuring (identifying GNATs). Level 6 (Bridgeland Province — challenging unhelpful thoughts): cognitive restructuring (challenging negative thoughts), negotiation skills. Level 7 (Canyon Province — bringing it all together): recap of all skills, mindfulness for distress tolerance, relapse prevention. At the beginning and end of each level, the user receives guidance, including mood tracking, real-life challenges, education, and homework.</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6150D0" w14:textId="77777777" w:rsidR="000C3784" w:rsidRDefault="00D450DC">
            <w:pPr>
              <w:spacing w:line="276" w:lineRule="auto"/>
            </w:pPr>
            <w:r>
              <w:rPr>
                <w:rFonts w:eastAsia="Times New Roman"/>
                <w:sz w:val="20"/>
                <w:szCs w:val="20"/>
              </w:rPr>
              <w:lastRenderedPageBreak/>
              <w:t>Cognitive restructuring; Behavioral activation; Psychoeducation; Relaxation; Interpersonal skills training; Problem-solving; Third-wave components; Homework; Initial face-to-face contact; Technical support</w:t>
            </w:r>
          </w:p>
        </w:tc>
      </w:tr>
      <w:tr w:rsidR="000C3784" w14:paraId="7AD75573"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F0DAD9" w14:textId="77777777" w:rsidR="000C3784" w:rsidRDefault="00D450DC">
            <w:pPr>
              <w:spacing w:line="276" w:lineRule="auto"/>
            </w:pPr>
            <w:r>
              <w:rPr>
                <w:rFonts w:eastAsia="Times New Roman"/>
                <w:b/>
                <w:bCs/>
                <w:sz w:val="20"/>
                <w:szCs w:val="20"/>
              </w:rPr>
              <w:t>Stressbuster</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F088F9F" w14:textId="77777777" w:rsidR="000C3784" w:rsidRDefault="00D450DC">
            <w:pPr>
              <w:spacing w:line="276" w:lineRule="auto"/>
            </w:pPr>
            <w:r>
              <w:rPr>
                <w:rFonts w:eastAsia="Times New Roman"/>
                <w:sz w:val="20"/>
                <w:szCs w:val="20"/>
              </w:rPr>
              <w:t>Stressbuster is a computer-based intervention using interactive multimedia (animations and videos) suitable for the target age group. The program consists of 8 sessions, each lasting 45 minutes, delivered sequentially with each session building on the previous, and guided throughout by a narrator. Session topics include introduction to the program and its goals, behavioral activation, emotional regulation, identifying thoughts, challenging thoughts, problem-solving, enhancing social skills, and relapse prevention. In each session, users log in, submit completed homework and their current mood, learn the session topic, watch videos in which teen actors demonstrate techniques, complete interactive exercises, and receive personalized homework assignments. Printable customized handouts and knowledge sheets covering mental-health practices are also provided.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7AA9F8" w14:textId="77777777" w:rsidR="000C3784" w:rsidRDefault="00D450DC">
            <w:pPr>
              <w:spacing w:line="276" w:lineRule="auto"/>
            </w:pPr>
            <w:r>
              <w:rPr>
                <w:rFonts w:eastAsia="Times New Roman"/>
                <w:sz w:val="20"/>
                <w:szCs w:val="20"/>
              </w:rPr>
              <w:t>Cognitive restructuring; Behavioral activation; Problem-solving; Interpersonal skills training; Psychoeducation; Homework; Relapse prevention</w:t>
            </w:r>
          </w:p>
        </w:tc>
      </w:tr>
      <w:tr w:rsidR="000C3784" w14:paraId="33FB3AAA"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F60C1F" w14:textId="77777777" w:rsidR="000C3784" w:rsidRDefault="00D450DC">
            <w:pPr>
              <w:spacing w:line="276" w:lineRule="auto"/>
            </w:pPr>
            <w:r>
              <w:rPr>
                <w:rFonts w:eastAsia="Times New Roman"/>
                <w:b/>
                <w:bCs/>
                <w:sz w:val="20"/>
                <w:szCs w:val="20"/>
              </w:rPr>
              <w:t>The Journey</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3BD81A" w14:textId="77777777" w:rsidR="000C3784" w:rsidRDefault="00D450DC">
            <w:pPr>
              <w:spacing w:line="276" w:lineRule="auto"/>
            </w:pPr>
            <w:r>
              <w:rPr>
                <w:rFonts w:eastAsia="Times New Roman"/>
                <w:sz w:val="20"/>
                <w:szCs w:val="20"/>
              </w:rPr>
              <w:t xml:space="preserve">The Journey is a fantasy game-based intervention in which players select and customize their avatars and embark on an immersive quest through enchanted lands. CBT content is systematically integrated into the game; module completion awards points and </w:t>
            </w:r>
            <w:proofErr w:type="gramStart"/>
            <w:r>
              <w:rPr>
                <w:rFonts w:eastAsia="Times New Roman"/>
                <w:sz w:val="20"/>
                <w:szCs w:val="20"/>
              </w:rPr>
              <w:t>mini-games</w:t>
            </w:r>
            <w:proofErr w:type="gramEnd"/>
            <w:r>
              <w:rPr>
                <w:rFonts w:eastAsia="Times New Roman"/>
                <w:sz w:val="20"/>
                <w:szCs w:val="20"/>
              </w:rPr>
              <w:t xml:space="preserve"> serve as post-section rewards. The program consists of seven modules of 25–30 minutes each, each focusing on a distinct CBT topic: Introduction to the CBT Model; Behavioral Activation; Problem Solving; Cognitive Restructuring I; Cognitive Restructuring II; Cognitive Restructuring III; and Summary and Relapse Prevention. Each module begins with a mood </w:t>
            </w:r>
            <w:r>
              <w:rPr>
                <w:rFonts w:eastAsia="Times New Roman"/>
                <w:sz w:val="20"/>
                <w:szCs w:val="20"/>
              </w:rPr>
              <w:lastRenderedPageBreak/>
              <w:t xml:space="preserve">assessment, followed by a quiz on the previous module, goal-setting, and interactive elements including exercises, animations, and instructional videos; it concludes with a content summary and a challenge (homework) assignment. A comprehensive guidebook provides module summaries, space for </w:t>
            </w:r>
            <w:proofErr w:type="gramStart"/>
            <w:r>
              <w:rPr>
                <w:rFonts w:eastAsia="Times New Roman"/>
                <w:sz w:val="20"/>
                <w:szCs w:val="20"/>
              </w:rPr>
              <w:t>goal-setting</w:t>
            </w:r>
            <w:proofErr w:type="gramEnd"/>
            <w:r>
              <w:rPr>
                <w:rFonts w:eastAsia="Times New Roman"/>
                <w:sz w:val="20"/>
                <w:szCs w:val="20"/>
              </w:rPr>
              <w:t>, reflection questions, and weekly journaling-based challenges.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DE4B4A" w14:textId="77777777" w:rsidR="000C3784" w:rsidRDefault="00D450DC">
            <w:pPr>
              <w:spacing w:line="276" w:lineRule="auto"/>
            </w:pPr>
            <w:r>
              <w:rPr>
                <w:rFonts w:eastAsia="Times New Roman"/>
                <w:sz w:val="20"/>
                <w:szCs w:val="20"/>
              </w:rPr>
              <w:lastRenderedPageBreak/>
              <w:t>Cognitive restructuring; Behavioral activation; Problem-solving; Relaxation; Psychoeducation; Homework</w:t>
            </w:r>
          </w:p>
        </w:tc>
      </w:tr>
      <w:tr w:rsidR="000C3784" w14:paraId="13F4879C"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064AFF" w14:textId="77777777" w:rsidR="000C3784" w:rsidRDefault="00D450DC">
            <w:pPr>
              <w:spacing w:line="276" w:lineRule="auto"/>
            </w:pPr>
            <w:proofErr w:type="spellStart"/>
            <w:r>
              <w:rPr>
                <w:rFonts w:eastAsia="Times New Roman"/>
                <w:b/>
                <w:bCs/>
                <w:sz w:val="20"/>
                <w:szCs w:val="20"/>
              </w:rPr>
              <w:t>WeClick</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77FE2A" w14:textId="77777777" w:rsidR="000C3784" w:rsidRDefault="00D450DC">
            <w:pPr>
              <w:spacing w:line="276" w:lineRule="auto"/>
            </w:pPr>
            <w:proofErr w:type="spellStart"/>
            <w:r>
              <w:rPr>
                <w:rFonts w:eastAsia="Times New Roman"/>
                <w:sz w:val="20"/>
                <w:szCs w:val="20"/>
              </w:rPr>
              <w:t>WeClick</w:t>
            </w:r>
            <w:proofErr w:type="spellEnd"/>
            <w:r>
              <w:rPr>
                <w:rFonts w:eastAsia="Times New Roman"/>
                <w:sz w:val="20"/>
                <w:szCs w:val="20"/>
              </w:rPr>
              <w:t xml:space="preserve"> is an interactive storytelling application featuring four characters, each confronting different relationship challenges and adolescent issues: family conflicts, peer conflicts, intimate relationship difficulties, and concerns other than relationships (substance use, self-esteem issues, low mood, and anxiety). The user selects a character and progresses through activities designed to develop skills for overcoming negative thinking patterns and enhancing problem-solving. On completing each story, the user obtains a personalized character profile with guidance regarding whom to turn to for support, strategies for emotional balance, methods for seeking help, and techniques for remaining calm. </w:t>
            </w:r>
            <w:proofErr w:type="spellStart"/>
            <w:r>
              <w:rPr>
                <w:rFonts w:eastAsia="Times New Roman"/>
                <w:sz w:val="20"/>
                <w:szCs w:val="20"/>
              </w:rPr>
              <w:t>WeClick</w:t>
            </w:r>
            <w:proofErr w:type="spellEnd"/>
            <w:r>
              <w:rPr>
                <w:rFonts w:eastAsia="Times New Roman"/>
                <w:sz w:val="20"/>
                <w:szCs w:val="20"/>
              </w:rPr>
              <w:t xml:space="preserve"> is entirely self-paced with built-in weekly reminders to encourage engagement.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5E6FD0" w14:textId="77777777" w:rsidR="000C3784" w:rsidRDefault="00D450DC">
            <w:pPr>
              <w:spacing w:line="276" w:lineRule="auto"/>
            </w:pPr>
            <w:r>
              <w:rPr>
                <w:rFonts w:eastAsia="Times New Roman"/>
                <w:sz w:val="20"/>
                <w:szCs w:val="20"/>
              </w:rPr>
              <w:t>Cognitive restructuring; Problem-solving; Interpersonal skills training; Automated encouragement</w:t>
            </w:r>
          </w:p>
        </w:tc>
      </w:tr>
      <w:bookmarkEnd w:id="0"/>
    </w:tbl>
    <w:p w14:paraId="270327B1" w14:textId="77777777" w:rsidR="00DF243B" w:rsidRDefault="00DF243B"/>
    <w:p w14:paraId="02925F50" w14:textId="77777777" w:rsidR="001D4FC3" w:rsidRDefault="001D4FC3" w:rsidP="001D4FC3">
      <w:pPr>
        <w:spacing w:after="120" w:line="360" w:lineRule="auto"/>
        <w:jc w:val="both"/>
        <w:rPr>
          <w:b/>
          <w:bCs/>
        </w:rPr>
      </w:pPr>
    </w:p>
    <w:p w14:paraId="149C378D" w14:textId="77777777" w:rsidR="001D4FC3" w:rsidRDefault="001D4FC3" w:rsidP="001D4FC3">
      <w:pPr>
        <w:spacing w:after="120" w:line="360" w:lineRule="auto"/>
        <w:jc w:val="both"/>
        <w:rPr>
          <w:b/>
          <w:bCs/>
        </w:rPr>
      </w:pPr>
    </w:p>
    <w:p w14:paraId="07AA7D86" w14:textId="77777777" w:rsidR="001D4FC3" w:rsidRDefault="001D4FC3" w:rsidP="001D4FC3">
      <w:pPr>
        <w:spacing w:after="120" w:line="360" w:lineRule="auto"/>
        <w:jc w:val="both"/>
        <w:rPr>
          <w:b/>
          <w:bCs/>
        </w:rPr>
      </w:pPr>
    </w:p>
    <w:p w14:paraId="78CB08F8" w14:textId="77777777" w:rsidR="001D4FC3" w:rsidRDefault="001D4FC3" w:rsidP="001D4FC3">
      <w:pPr>
        <w:spacing w:after="120" w:line="360" w:lineRule="auto"/>
        <w:jc w:val="both"/>
        <w:rPr>
          <w:b/>
          <w:bCs/>
        </w:rPr>
      </w:pPr>
    </w:p>
    <w:p w14:paraId="2182EF15" w14:textId="77777777" w:rsidR="001D4FC3" w:rsidRDefault="001D4FC3" w:rsidP="001D4FC3">
      <w:pPr>
        <w:spacing w:after="120" w:line="360" w:lineRule="auto"/>
        <w:jc w:val="both"/>
        <w:rPr>
          <w:b/>
          <w:bCs/>
        </w:rPr>
      </w:pPr>
    </w:p>
    <w:p w14:paraId="174BE255" w14:textId="77777777" w:rsidR="001D4FC3" w:rsidRDefault="001D4FC3" w:rsidP="001D4FC3">
      <w:pPr>
        <w:spacing w:after="120" w:line="360" w:lineRule="auto"/>
        <w:jc w:val="both"/>
        <w:rPr>
          <w:b/>
          <w:bCs/>
        </w:rPr>
      </w:pPr>
    </w:p>
    <w:p w14:paraId="2CC4C46D" w14:textId="77777777" w:rsidR="001D4FC3" w:rsidRDefault="001D4FC3" w:rsidP="001D4FC3">
      <w:pPr>
        <w:spacing w:after="120" w:line="360" w:lineRule="auto"/>
        <w:jc w:val="both"/>
        <w:rPr>
          <w:b/>
          <w:bCs/>
        </w:rPr>
      </w:pPr>
    </w:p>
    <w:p w14:paraId="6C4BE640" w14:textId="77777777" w:rsidR="001D4FC3" w:rsidRDefault="001D4FC3" w:rsidP="001D4FC3">
      <w:pPr>
        <w:spacing w:after="120" w:line="360" w:lineRule="auto"/>
        <w:jc w:val="both"/>
        <w:rPr>
          <w:b/>
          <w:bCs/>
        </w:rPr>
      </w:pPr>
    </w:p>
    <w:p w14:paraId="76B289DA" w14:textId="77777777" w:rsidR="001D4FC3" w:rsidRDefault="001D4FC3" w:rsidP="001D4FC3">
      <w:pPr>
        <w:spacing w:after="120" w:line="360" w:lineRule="auto"/>
        <w:jc w:val="both"/>
        <w:rPr>
          <w:b/>
          <w:bCs/>
        </w:rPr>
      </w:pPr>
    </w:p>
    <w:p w14:paraId="7B6D5F1B" w14:textId="77777777" w:rsidR="001D4FC3" w:rsidRDefault="001D4FC3" w:rsidP="001D4FC3">
      <w:pPr>
        <w:spacing w:after="120" w:line="360" w:lineRule="auto"/>
        <w:jc w:val="both"/>
        <w:rPr>
          <w:b/>
          <w:bCs/>
        </w:rPr>
      </w:pPr>
    </w:p>
    <w:p w14:paraId="7E9973F9" w14:textId="77777777" w:rsidR="001D4FC3" w:rsidRDefault="001D4FC3" w:rsidP="001D4FC3">
      <w:pPr>
        <w:spacing w:after="120" w:line="360" w:lineRule="auto"/>
        <w:jc w:val="both"/>
        <w:rPr>
          <w:b/>
          <w:bCs/>
        </w:rPr>
      </w:pPr>
    </w:p>
    <w:p w14:paraId="2EFE5AC1" w14:textId="77777777" w:rsidR="001D4FC3" w:rsidRDefault="001D4FC3" w:rsidP="001D4FC3">
      <w:pPr>
        <w:spacing w:after="120" w:line="360" w:lineRule="auto"/>
        <w:jc w:val="both"/>
        <w:rPr>
          <w:b/>
          <w:bCs/>
        </w:rPr>
      </w:pPr>
    </w:p>
    <w:p w14:paraId="4E09ACC2" w14:textId="58B1E773" w:rsidR="001D4FC3" w:rsidRPr="001D4FC3" w:rsidRDefault="001D4FC3" w:rsidP="001D4FC3">
      <w:pPr>
        <w:pStyle w:val="1"/>
        <w:pageBreakBefore/>
      </w:pPr>
      <w:r>
        <w:rPr>
          <w:rFonts w:eastAsiaTheme="minorEastAsia" w:hint="eastAsia"/>
        </w:rPr>
        <w:lastRenderedPageBreak/>
        <w:t>Appendix</w:t>
      </w:r>
      <w:r w:rsidRPr="00032BF3">
        <w:t xml:space="preserve"> </w:t>
      </w:r>
      <w:r>
        <w:rPr>
          <w:rFonts w:eastAsiaTheme="minorEastAsia" w:hint="eastAsia"/>
        </w:rPr>
        <w:t>E</w:t>
      </w:r>
      <w:r w:rsidRPr="00032BF3">
        <w:t>. Influence Diagnostics</w:t>
      </w:r>
    </w:p>
    <w:p w14:paraId="64356577" w14:textId="77777777" w:rsidR="001D4FC3" w:rsidRDefault="001D4FC3" w:rsidP="001D4FC3">
      <w:pPr>
        <w:spacing w:after="120" w:line="360" w:lineRule="auto"/>
        <w:rPr>
          <w:noProof/>
          <w:u w:val="single"/>
        </w:rPr>
      </w:pPr>
      <w:r w:rsidRPr="00032BF3">
        <w:rPr>
          <w:rFonts w:hint="eastAsia"/>
          <w:noProof/>
          <w:u w:val="single"/>
        </w:rPr>
        <w:drawing>
          <wp:inline distT="0" distB="0" distL="0" distR="0" wp14:anchorId="7CC2899F" wp14:editId="4E26A58D">
            <wp:extent cx="5943600" cy="4754880"/>
            <wp:effectExtent l="0" t="0" r="0" b="7620"/>
            <wp:docPr id="1434229335" name="图片 6" descr="图示, 工程绘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229335" name="图片 6" descr="图示, 工程绘图&#10;&#10;描述已自动生成"/>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6F828202" w14:textId="77777777" w:rsidR="001D4FC3" w:rsidRPr="00032BF3" w:rsidRDefault="001D4FC3" w:rsidP="001D4FC3">
      <w:pPr>
        <w:spacing w:after="120"/>
        <w:rPr>
          <w:noProof/>
        </w:rPr>
      </w:pPr>
      <w:r w:rsidRPr="00032BF3">
        <w:rPr>
          <w:i/>
          <w:iCs/>
          <w:noProof/>
        </w:rPr>
        <w:t>Note</w:t>
      </w:r>
      <w:r w:rsidRPr="00032BF3">
        <w:rPr>
          <w:noProof/>
        </w:rPr>
        <w:t>. Viechtbauer-Cheung influence diagnostics (Viechtbauer &amp; Cheung, 2010) for the acceptability meta-analysis. Each panel displays one diagnostic measure across the fifteen included studies, ordered by study identifier (1 = Stice 2008; 2 = Bohr 2023; 3 = Ip 2016; 4 = Makarushka 2011; 5 = O'Dea 2020; 6 = Poppelaars 2016; 7 = Ranney 2018; 8 = Smith 2015; 9 = Stasiak 2014; 10 = Wright 2020; 11 = Rohde 2015; 12 = Ackerson 1998; 13 = Stallard 2024; 14 = Fleming 2012; 15 = O'Dea 2025). The eight measures are the externally standardized residual (</w:t>
      </w:r>
      <w:r w:rsidRPr="00032BF3">
        <w:rPr>
          <w:i/>
          <w:iCs/>
          <w:noProof/>
        </w:rPr>
        <w:t>rstudent</w:t>
      </w:r>
      <w:r w:rsidRPr="00032BF3">
        <w:rPr>
          <w:noProof/>
        </w:rPr>
        <w:t>), the standardized difference in fitted values upon study deletion (</w:t>
      </w:r>
      <w:r w:rsidRPr="00032BF3">
        <w:rPr>
          <w:i/>
          <w:iCs/>
          <w:noProof/>
        </w:rPr>
        <w:t>dffits</w:t>
      </w:r>
      <w:r w:rsidRPr="00032BF3">
        <w:rPr>
          <w:noProof/>
        </w:rPr>
        <w:t>), Cook's distance (</w:t>
      </w:r>
      <w:r w:rsidRPr="00032BF3">
        <w:rPr>
          <w:i/>
          <w:iCs/>
          <w:noProof/>
        </w:rPr>
        <w:t>cook.d</w:t>
      </w:r>
      <w:r w:rsidRPr="00032BF3">
        <w:rPr>
          <w:noProof/>
        </w:rPr>
        <w:t>), the covariance ratio (</w:t>
      </w:r>
      <w:r w:rsidRPr="00032BF3">
        <w:rPr>
          <w:i/>
          <w:iCs/>
          <w:noProof/>
        </w:rPr>
        <w:t>cov.r</w:t>
      </w:r>
      <w:r w:rsidRPr="00032BF3">
        <w:rPr>
          <w:noProof/>
        </w:rPr>
        <w:t>), the leave-one-out estimate of between-study variance (</w:t>
      </w:r>
      <w:r w:rsidRPr="00032BF3">
        <w:rPr>
          <w:i/>
          <w:iCs/>
          <w:noProof/>
        </w:rPr>
        <w:t>tau2.del</w:t>
      </w:r>
      <w:r w:rsidRPr="00032BF3">
        <w:rPr>
          <w:noProof/>
        </w:rPr>
        <w:t>), the residual heterogeneity test statistic with the study deleted (</w:t>
      </w:r>
      <w:r w:rsidRPr="00032BF3">
        <w:rPr>
          <w:i/>
          <w:iCs/>
          <w:noProof/>
        </w:rPr>
        <w:t>QE.del</w:t>
      </w:r>
      <w:r w:rsidRPr="00032BF3">
        <w:rPr>
          <w:noProof/>
        </w:rPr>
        <w:t>), the hat value (</w:t>
      </w:r>
      <w:r w:rsidRPr="00032BF3">
        <w:rPr>
          <w:i/>
          <w:iCs/>
          <w:noProof/>
        </w:rPr>
        <w:t>hat</w:t>
      </w:r>
      <w:r w:rsidRPr="00032BF3">
        <w:rPr>
          <w:noProof/>
        </w:rPr>
        <w:t>), and the random-effects weight (</w:t>
      </w:r>
      <w:r w:rsidRPr="00032BF3">
        <w:rPr>
          <w:i/>
          <w:iCs/>
          <w:noProof/>
        </w:rPr>
        <w:t>weight</w:t>
      </w:r>
      <w:r w:rsidRPr="00032BF3">
        <w:rPr>
          <w:noProof/>
        </w:rPr>
        <w:t xml:space="preserve">). Dashed lines indicate reference thresholds. Filled red points identify studies flagged as influential under the composite Viechtbauer-Cheung criterion. Only O'Dea (2025) was flagged, with values exceeding standard thresholds on </w:t>
      </w:r>
      <w:r w:rsidRPr="00032BF3">
        <w:rPr>
          <w:i/>
          <w:iCs/>
          <w:noProof/>
        </w:rPr>
        <w:t>rstudent</w:t>
      </w:r>
      <w:r w:rsidRPr="00032BF3">
        <w:rPr>
          <w:noProof/>
        </w:rPr>
        <w:t xml:space="preserve"> (2.91), </w:t>
      </w:r>
      <w:r w:rsidRPr="00032BF3">
        <w:rPr>
          <w:i/>
          <w:iCs/>
          <w:noProof/>
        </w:rPr>
        <w:t>dffits</w:t>
      </w:r>
      <w:r w:rsidRPr="00032BF3">
        <w:rPr>
          <w:noProof/>
        </w:rPr>
        <w:t xml:space="preserve"> (1.48), and </w:t>
      </w:r>
      <w:r w:rsidRPr="00032BF3">
        <w:rPr>
          <w:i/>
          <w:iCs/>
          <w:noProof/>
        </w:rPr>
        <w:t>Cook's distance</w:t>
      </w:r>
      <w:r w:rsidRPr="00032BF3">
        <w:rPr>
          <w:noProof/>
        </w:rPr>
        <w:t xml:space="preserve"> (0.65).</w:t>
      </w:r>
    </w:p>
    <w:bookmarkEnd w:id="1"/>
    <w:p w14:paraId="60378C2E" w14:textId="77777777" w:rsidR="001D4FC3" w:rsidRPr="001D4FC3" w:rsidRDefault="001D4FC3"/>
    <w:sectPr w:rsidR="001D4FC3" w:rsidRPr="001D4FC3">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76ABDD" w14:textId="77777777" w:rsidR="006B0386" w:rsidRDefault="006B0386">
      <w:r>
        <w:separator/>
      </w:r>
    </w:p>
  </w:endnote>
  <w:endnote w:type="continuationSeparator" w:id="0">
    <w:p w14:paraId="1AB4B922" w14:textId="77777777" w:rsidR="006B0386" w:rsidRDefault="006B03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C034E" w14:textId="77777777" w:rsidR="000C3784" w:rsidRDefault="00D450DC">
    <w:pPr>
      <w:jc w:val="center"/>
    </w:pPr>
    <w:r>
      <w:rPr>
        <w:rFonts w:eastAsia="Times New Roman"/>
        <w:sz w:val="20"/>
        <w:szCs w:val="20"/>
      </w:rPr>
      <w:t xml:space="preserve">— </w:t>
    </w:r>
    <w:r>
      <w:rPr>
        <w:sz w:val="20"/>
        <w:szCs w:val="20"/>
      </w:rPr>
      <w:fldChar w:fldCharType="begin"/>
    </w:r>
    <w:r>
      <w:rPr>
        <w:rFonts w:eastAsia="Times New Roman"/>
        <w:sz w:val="20"/>
        <w:szCs w:val="20"/>
      </w:rPr>
      <w:instrText>PAGE</w:instrText>
    </w:r>
    <w:r>
      <w:rPr>
        <w:sz w:val="20"/>
        <w:szCs w:val="20"/>
      </w:rPr>
      <w:fldChar w:fldCharType="separate"/>
    </w:r>
    <w:r w:rsidR="00874C70">
      <w:rPr>
        <w:rFonts w:eastAsia="Times New Roman"/>
        <w:noProof/>
        <w:sz w:val="20"/>
        <w:szCs w:val="20"/>
      </w:rPr>
      <w:t>1</w:t>
    </w:r>
    <w:r>
      <w:rPr>
        <w:sz w:val="20"/>
        <w:szCs w:val="20"/>
      </w:rPr>
      <w:fldChar w:fldCharType="end"/>
    </w:r>
    <w:r>
      <w:rPr>
        <w:rFonts w:eastAsia="Times New Roman"/>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939BF1" w14:textId="77777777" w:rsidR="006B0386" w:rsidRDefault="006B0386">
      <w:r>
        <w:separator/>
      </w:r>
    </w:p>
  </w:footnote>
  <w:footnote w:type="continuationSeparator" w:id="0">
    <w:p w14:paraId="21E2B47B" w14:textId="77777777" w:rsidR="006B0386" w:rsidRDefault="006B03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00908" w14:textId="77777777" w:rsidR="000C3784" w:rsidRDefault="000C3784">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231381"/>
    <w:multiLevelType w:val="multilevel"/>
    <w:tmpl w:val="CD827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0BE7C54"/>
    <w:multiLevelType w:val="hybridMultilevel"/>
    <w:tmpl w:val="DAD00330"/>
    <w:lvl w:ilvl="0" w:tplc="9898A414">
      <w:start w:val="1"/>
      <w:numFmt w:val="bullet"/>
      <w:lvlText w:val="●"/>
      <w:lvlJc w:val="left"/>
      <w:pPr>
        <w:ind w:left="720" w:hanging="360"/>
      </w:pPr>
    </w:lvl>
    <w:lvl w:ilvl="1" w:tplc="36D4DCFA">
      <w:start w:val="1"/>
      <w:numFmt w:val="bullet"/>
      <w:lvlText w:val="○"/>
      <w:lvlJc w:val="left"/>
      <w:pPr>
        <w:ind w:left="1440" w:hanging="360"/>
      </w:pPr>
    </w:lvl>
    <w:lvl w:ilvl="2" w:tplc="FBF226D2">
      <w:start w:val="1"/>
      <w:numFmt w:val="bullet"/>
      <w:lvlText w:val="■"/>
      <w:lvlJc w:val="left"/>
      <w:pPr>
        <w:ind w:left="2160" w:hanging="360"/>
      </w:pPr>
    </w:lvl>
    <w:lvl w:ilvl="3" w:tplc="AF92E460">
      <w:start w:val="1"/>
      <w:numFmt w:val="bullet"/>
      <w:lvlText w:val="●"/>
      <w:lvlJc w:val="left"/>
      <w:pPr>
        <w:ind w:left="2880" w:hanging="360"/>
      </w:pPr>
    </w:lvl>
    <w:lvl w:ilvl="4" w:tplc="F7A28878">
      <w:start w:val="1"/>
      <w:numFmt w:val="bullet"/>
      <w:lvlText w:val="○"/>
      <w:lvlJc w:val="left"/>
      <w:pPr>
        <w:ind w:left="3600" w:hanging="360"/>
      </w:pPr>
    </w:lvl>
    <w:lvl w:ilvl="5" w:tplc="ED14B834">
      <w:start w:val="1"/>
      <w:numFmt w:val="bullet"/>
      <w:lvlText w:val="■"/>
      <w:lvlJc w:val="left"/>
      <w:pPr>
        <w:ind w:left="4320" w:hanging="360"/>
      </w:pPr>
    </w:lvl>
    <w:lvl w:ilvl="6" w:tplc="20A4A864">
      <w:start w:val="1"/>
      <w:numFmt w:val="bullet"/>
      <w:lvlText w:val="●"/>
      <w:lvlJc w:val="left"/>
      <w:pPr>
        <w:ind w:left="5040" w:hanging="360"/>
      </w:pPr>
    </w:lvl>
    <w:lvl w:ilvl="7" w:tplc="8EBE80B6">
      <w:start w:val="1"/>
      <w:numFmt w:val="bullet"/>
      <w:lvlText w:val="●"/>
      <w:lvlJc w:val="left"/>
      <w:pPr>
        <w:ind w:left="5760" w:hanging="360"/>
      </w:pPr>
    </w:lvl>
    <w:lvl w:ilvl="8" w:tplc="4F249788">
      <w:start w:val="1"/>
      <w:numFmt w:val="bullet"/>
      <w:lvlText w:val="●"/>
      <w:lvlJc w:val="left"/>
      <w:pPr>
        <w:ind w:left="6480" w:hanging="360"/>
      </w:pPr>
    </w:lvl>
  </w:abstractNum>
  <w:abstractNum w:abstractNumId="2" w15:restartNumberingAfterBreak="0">
    <w:nsid w:val="55AD1645"/>
    <w:multiLevelType w:val="multilevel"/>
    <w:tmpl w:val="F3FA6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76A363D"/>
    <w:multiLevelType w:val="multilevel"/>
    <w:tmpl w:val="0F1CF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0952305">
    <w:abstractNumId w:val="1"/>
    <w:lvlOverride w:ilvl="0">
      <w:startOverride w:val="1"/>
    </w:lvlOverride>
  </w:num>
  <w:num w:numId="2" w16cid:durableId="1778982030">
    <w:abstractNumId w:val="2"/>
  </w:num>
  <w:num w:numId="3" w16cid:durableId="1648628904">
    <w:abstractNumId w:val="3"/>
  </w:num>
  <w:num w:numId="4" w16cid:durableId="14961419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3784"/>
    <w:rsid w:val="00003152"/>
    <w:rsid w:val="00003568"/>
    <w:rsid w:val="00006822"/>
    <w:rsid w:val="00010C8C"/>
    <w:rsid w:val="00010E07"/>
    <w:rsid w:val="000114B9"/>
    <w:rsid w:val="00013C4F"/>
    <w:rsid w:val="00014247"/>
    <w:rsid w:val="00016290"/>
    <w:rsid w:val="00022F86"/>
    <w:rsid w:val="00024818"/>
    <w:rsid w:val="00032587"/>
    <w:rsid w:val="00032BF3"/>
    <w:rsid w:val="000332BE"/>
    <w:rsid w:val="00034D4E"/>
    <w:rsid w:val="00035A05"/>
    <w:rsid w:val="00035DA2"/>
    <w:rsid w:val="000367BB"/>
    <w:rsid w:val="00037717"/>
    <w:rsid w:val="00044937"/>
    <w:rsid w:val="00051379"/>
    <w:rsid w:val="00052872"/>
    <w:rsid w:val="00053D2B"/>
    <w:rsid w:val="000546D9"/>
    <w:rsid w:val="00057441"/>
    <w:rsid w:val="00060371"/>
    <w:rsid w:val="000614FA"/>
    <w:rsid w:val="00066278"/>
    <w:rsid w:val="00066B68"/>
    <w:rsid w:val="0006772F"/>
    <w:rsid w:val="00071638"/>
    <w:rsid w:val="00073A8D"/>
    <w:rsid w:val="0008002C"/>
    <w:rsid w:val="0008077C"/>
    <w:rsid w:val="000817C9"/>
    <w:rsid w:val="00083CED"/>
    <w:rsid w:val="00084FF9"/>
    <w:rsid w:val="00086119"/>
    <w:rsid w:val="000916D0"/>
    <w:rsid w:val="00092C7B"/>
    <w:rsid w:val="00094F1D"/>
    <w:rsid w:val="00096636"/>
    <w:rsid w:val="000A0168"/>
    <w:rsid w:val="000A069E"/>
    <w:rsid w:val="000A329D"/>
    <w:rsid w:val="000A6236"/>
    <w:rsid w:val="000B0963"/>
    <w:rsid w:val="000B0BDA"/>
    <w:rsid w:val="000B16A2"/>
    <w:rsid w:val="000B22FC"/>
    <w:rsid w:val="000B2B90"/>
    <w:rsid w:val="000B40B5"/>
    <w:rsid w:val="000C0538"/>
    <w:rsid w:val="000C0F63"/>
    <w:rsid w:val="000C128F"/>
    <w:rsid w:val="000C1887"/>
    <w:rsid w:val="000C2CFF"/>
    <w:rsid w:val="000C3784"/>
    <w:rsid w:val="000C4420"/>
    <w:rsid w:val="000D3B7B"/>
    <w:rsid w:val="000D4C51"/>
    <w:rsid w:val="000D52E9"/>
    <w:rsid w:val="000E09E1"/>
    <w:rsid w:val="000E108C"/>
    <w:rsid w:val="000E1D84"/>
    <w:rsid w:val="000E2BB3"/>
    <w:rsid w:val="000E3F8B"/>
    <w:rsid w:val="000E45FC"/>
    <w:rsid w:val="000E4D7B"/>
    <w:rsid w:val="000F3597"/>
    <w:rsid w:val="000F48E3"/>
    <w:rsid w:val="000F6555"/>
    <w:rsid w:val="000F6C5A"/>
    <w:rsid w:val="000F7299"/>
    <w:rsid w:val="000F7427"/>
    <w:rsid w:val="000F7A64"/>
    <w:rsid w:val="0010008F"/>
    <w:rsid w:val="0010131B"/>
    <w:rsid w:val="001029E1"/>
    <w:rsid w:val="00102FB7"/>
    <w:rsid w:val="0010303D"/>
    <w:rsid w:val="00107407"/>
    <w:rsid w:val="00107418"/>
    <w:rsid w:val="00113359"/>
    <w:rsid w:val="001156CF"/>
    <w:rsid w:val="0011724F"/>
    <w:rsid w:val="00117B7D"/>
    <w:rsid w:val="001228FD"/>
    <w:rsid w:val="00130DC3"/>
    <w:rsid w:val="0013278B"/>
    <w:rsid w:val="001328FA"/>
    <w:rsid w:val="00134A8E"/>
    <w:rsid w:val="001373F8"/>
    <w:rsid w:val="001378D1"/>
    <w:rsid w:val="00141DB8"/>
    <w:rsid w:val="00151AE7"/>
    <w:rsid w:val="0015256E"/>
    <w:rsid w:val="00153065"/>
    <w:rsid w:val="00153638"/>
    <w:rsid w:val="00160BFD"/>
    <w:rsid w:val="001619F0"/>
    <w:rsid w:val="00162915"/>
    <w:rsid w:val="00170B74"/>
    <w:rsid w:val="001728AF"/>
    <w:rsid w:val="001776F0"/>
    <w:rsid w:val="00180D53"/>
    <w:rsid w:val="00180DF9"/>
    <w:rsid w:val="0018574F"/>
    <w:rsid w:val="0019010B"/>
    <w:rsid w:val="00191D30"/>
    <w:rsid w:val="00192EAA"/>
    <w:rsid w:val="00194998"/>
    <w:rsid w:val="00194D57"/>
    <w:rsid w:val="001A0DB2"/>
    <w:rsid w:val="001B20DB"/>
    <w:rsid w:val="001B4C52"/>
    <w:rsid w:val="001C328D"/>
    <w:rsid w:val="001C4D4A"/>
    <w:rsid w:val="001D1AD6"/>
    <w:rsid w:val="001D221E"/>
    <w:rsid w:val="001D4FC3"/>
    <w:rsid w:val="001D4FDD"/>
    <w:rsid w:val="001E5049"/>
    <w:rsid w:val="001E6F8E"/>
    <w:rsid w:val="001F50C5"/>
    <w:rsid w:val="001F5182"/>
    <w:rsid w:val="001F70E3"/>
    <w:rsid w:val="00200557"/>
    <w:rsid w:val="0020172E"/>
    <w:rsid w:val="0020307E"/>
    <w:rsid w:val="002031FA"/>
    <w:rsid w:val="00204817"/>
    <w:rsid w:val="00205390"/>
    <w:rsid w:val="002060A8"/>
    <w:rsid w:val="0020718F"/>
    <w:rsid w:val="002155F2"/>
    <w:rsid w:val="00216DB4"/>
    <w:rsid w:val="0022279C"/>
    <w:rsid w:val="00223940"/>
    <w:rsid w:val="00225746"/>
    <w:rsid w:val="00225D00"/>
    <w:rsid w:val="00225D40"/>
    <w:rsid w:val="00227013"/>
    <w:rsid w:val="002307C4"/>
    <w:rsid w:val="00232579"/>
    <w:rsid w:val="00233A00"/>
    <w:rsid w:val="0023435C"/>
    <w:rsid w:val="002359C5"/>
    <w:rsid w:val="00240DA3"/>
    <w:rsid w:val="00241A04"/>
    <w:rsid w:val="00241FE4"/>
    <w:rsid w:val="00242A1D"/>
    <w:rsid w:val="0024335A"/>
    <w:rsid w:val="00244084"/>
    <w:rsid w:val="00244CB5"/>
    <w:rsid w:val="00254017"/>
    <w:rsid w:val="00254346"/>
    <w:rsid w:val="002548BB"/>
    <w:rsid w:val="00261750"/>
    <w:rsid w:val="0026581C"/>
    <w:rsid w:val="00270222"/>
    <w:rsid w:val="002706F0"/>
    <w:rsid w:val="00270AB1"/>
    <w:rsid w:val="00271263"/>
    <w:rsid w:val="00272C81"/>
    <w:rsid w:val="00281959"/>
    <w:rsid w:val="00283A20"/>
    <w:rsid w:val="00283D17"/>
    <w:rsid w:val="00284CA0"/>
    <w:rsid w:val="00285A56"/>
    <w:rsid w:val="002863D9"/>
    <w:rsid w:val="00290689"/>
    <w:rsid w:val="00290F5C"/>
    <w:rsid w:val="002918C5"/>
    <w:rsid w:val="002A0F8C"/>
    <w:rsid w:val="002A14F1"/>
    <w:rsid w:val="002A153B"/>
    <w:rsid w:val="002A3A02"/>
    <w:rsid w:val="002B0041"/>
    <w:rsid w:val="002B3CDC"/>
    <w:rsid w:val="002B3FAD"/>
    <w:rsid w:val="002B48EF"/>
    <w:rsid w:val="002C38AB"/>
    <w:rsid w:val="002D4AB1"/>
    <w:rsid w:val="002D791A"/>
    <w:rsid w:val="002E0D82"/>
    <w:rsid w:val="002E444E"/>
    <w:rsid w:val="002E446A"/>
    <w:rsid w:val="002E700D"/>
    <w:rsid w:val="00300B48"/>
    <w:rsid w:val="00303C46"/>
    <w:rsid w:val="00305721"/>
    <w:rsid w:val="00307741"/>
    <w:rsid w:val="0031066D"/>
    <w:rsid w:val="00310732"/>
    <w:rsid w:val="00310A5F"/>
    <w:rsid w:val="00311F0A"/>
    <w:rsid w:val="003142FA"/>
    <w:rsid w:val="003150F6"/>
    <w:rsid w:val="00315DB5"/>
    <w:rsid w:val="00316238"/>
    <w:rsid w:val="003223DF"/>
    <w:rsid w:val="00322DF0"/>
    <w:rsid w:val="00324C91"/>
    <w:rsid w:val="0032532F"/>
    <w:rsid w:val="00325B96"/>
    <w:rsid w:val="00330FF4"/>
    <w:rsid w:val="003320E4"/>
    <w:rsid w:val="003327AA"/>
    <w:rsid w:val="00332E6B"/>
    <w:rsid w:val="00334149"/>
    <w:rsid w:val="00334F69"/>
    <w:rsid w:val="003375F6"/>
    <w:rsid w:val="0034080F"/>
    <w:rsid w:val="0035245C"/>
    <w:rsid w:val="003528C8"/>
    <w:rsid w:val="00361E37"/>
    <w:rsid w:val="003673F1"/>
    <w:rsid w:val="003674DF"/>
    <w:rsid w:val="00371C2A"/>
    <w:rsid w:val="00372BF6"/>
    <w:rsid w:val="00374259"/>
    <w:rsid w:val="00374DE5"/>
    <w:rsid w:val="00377E50"/>
    <w:rsid w:val="00384178"/>
    <w:rsid w:val="003849D5"/>
    <w:rsid w:val="00385DB8"/>
    <w:rsid w:val="003860E3"/>
    <w:rsid w:val="00387F0E"/>
    <w:rsid w:val="00391B4B"/>
    <w:rsid w:val="00393911"/>
    <w:rsid w:val="00396FAE"/>
    <w:rsid w:val="003A19D3"/>
    <w:rsid w:val="003A387B"/>
    <w:rsid w:val="003A4338"/>
    <w:rsid w:val="003A6395"/>
    <w:rsid w:val="003B1193"/>
    <w:rsid w:val="003B1210"/>
    <w:rsid w:val="003B395C"/>
    <w:rsid w:val="003C3A12"/>
    <w:rsid w:val="003C50DF"/>
    <w:rsid w:val="003C565F"/>
    <w:rsid w:val="003C65B9"/>
    <w:rsid w:val="003C6AD0"/>
    <w:rsid w:val="003C6B1C"/>
    <w:rsid w:val="003D33B8"/>
    <w:rsid w:val="003D728B"/>
    <w:rsid w:val="003E067C"/>
    <w:rsid w:val="003E2BDB"/>
    <w:rsid w:val="003F0C00"/>
    <w:rsid w:val="003F159A"/>
    <w:rsid w:val="003F3EEB"/>
    <w:rsid w:val="003F7BD9"/>
    <w:rsid w:val="004037C8"/>
    <w:rsid w:val="0040543E"/>
    <w:rsid w:val="00416176"/>
    <w:rsid w:val="004248A9"/>
    <w:rsid w:val="00432A58"/>
    <w:rsid w:val="00434E1C"/>
    <w:rsid w:val="004357BA"/>
    <w:rsid w:val="0043791D"/>
    <w:rsid w:val="00441A02"/>
    <w:rsid w:val="00446051"/>
    <w:rsid w:val="00447C80"/>
    <w:rsid w:val="0045397B"/>
    <w:rsid w:val="00453D8C"/>
    <w:rsid w:val="00454331"/>
    <w:rsid w:val="00455817"/>
    <w:rsid w:val="00456798"/>
    <w:rsid w:val="00460835"/>
    <w:rsid w:val="00462BC5"/>
    <w:rsid w:val="00463475"/>
    <w:rsid w:val="004646A8"/>
    <w:rsid w:val="0046713A"/>
    <w:rsid w:val="00474714"/>
    <w:rsid w:val="00474F45"/>
    <w:rsid w:val="00481B02"/>
    <w:rsid w:val="004878D7"/>
    <w:rsid w:val="00487DEF"/>
    <w:rsid w:val="004946BA"/>
    <w:rsid w:val="004957A7"/>
    <w:rsid w:val="00496F0E"/>
    <w:rsid w:val="004974B7"/>
    <w:rsid w:val="004A6C38"/>
    <w:rsid w:val="004A6D36"/>
    <w:rsid w:val="004B60AB"/>
    <w:rsid w:val="004B693E"/>
    <w:rsid w:val="004B73C7"/>
    <w:rsid w:val="004B7895"/>
    <w:rsid w:val="004B7C40"/>
    <w:rsid w:val="004C18C9"/>
    <w:rsid w:val="004C5D59"/>
    <w:rsid w:val="004C62D3"/>
    <w:rsid w:val="004D2DEC"/>
    <w:rsid w:val="004D3A91"/>
    <w:rsid w:val="004D506F"/>
    <w:rsid w:val="004E06C1"/>
    <w:rsid w:val="004E1362"/>
    <w:rsid w:val="004E68C9"/>
    <w:rsid w:val="004F0BDF"/>
    <w:rsid w:val="004F1570"/>
    <w:rsid w:val="004F32A4"/>
    <w:rsid w:val="004F42A6"/>
    <w:rsid w:val="004F4ABE"/>
    <w:rsid w:val="00500778"/>
    <w:rsid w:val="005046DE"/>
    <w:rsid w:val="00516FE0"/>
    <w:rsid w:val="005174C4"/>
    <w:rsid w:val="00517EAC"/>
    <w:rsid w:val="005225EF"/>
    <w:rsid w:val="00523784"/>
    <w:rsid w:val="00533CFD"/>
    <w:rsid w:val="00536FD7"/>
    <w:rsid w:val="005410F5"/>
    <w:rsid w:val="0054675C"/>
    <w:rsid w:val="005645E2"/>
    <w:rsid w:val="005650EC"/>
    <w:rsid w:val="005654D5"/>
    <w:rsid w:val="0056724A"/>
    <w:rsid w:val="00573723"/>
    <w:rsid w:val="0057674E"/>
    <w:rsid w:val="00577F80"/>
    <w:rsid w:val="00581B0B"/>
    <w:rsid w:val="005820A8"/>
    <w:rsid w:val="00583702"/>
    <w:rsid w:val="00584112"/>
    <w:rsid w:val="00585F11"/>
    <w:rsid w:val="0058727B"/>
    <w:rsid w:val="005918D0"/>
    <w:rsid w:val="0059234D"/>
    <w:rsid w:val="005964E8"/>
    <w:rsid w:val="005A11C3"/>
    <w:rsid w:val="005A4D5C"/>
    <w:rsid w:val="005A4EC5"/>
    <w:rsid w:val="005A6079"/>
    <w:rsid w:val="005B0457"/>
    <w:rsid w:val="005B1742"/>
    <w:rsid w:val="005B2014"/>
    <w:rsid w:val="005B377E"/>
    <w:rsid w:val="005B467D"/>
    <w:rsid w:val="005B4DF0"/>
    <w:rsid w:val="005B656D"/>
    <w:rsid w:val="005B6701"/>
    <w:rsid w:val="005C0135"/>
    <w:rsid w:val="005C25CF"/>
    <w:rsid w:val="005C2F9C"/>
    <w:rsid w:val="005C5AEE"/>
    <w:rsid w:val="005C752D"/>
    <w:rsid w:val="005D023D"/>
    <w:rsid w:val="005D09E5"/>
    <w:rsid w:val="005D4317"/>
    <w:rsid w:val="005E0A57"/>
    <w:rsid w:val="005E4309"/>
    <w:rsid w:val="005E4B5E"/>
    <w:rsid w:val="005E6D10"/>
    <w:rsid w:val="005F08E8"/>
    <w:rsid w:val="005F2227"/>
    <w:rsid w:val="005F269D"/>
    <w:rsid w:val="005F5C4C"/>
    <w:rsid w:val="005F7796"/>
    <w:rsid w:val="00602A8E"/>
    <w:rsid w:val="00605687"/>
    <w:rsid w:val="00606C81"/>
    <w:rsid w:val="00614ECE"/>
    <w:rsid w:val="006266FF"/>
    <w:rsid w:val="006312E9"/>
    <w:rsid w:val="0063238F"/>
    <w:rsid w:val="00634814"/>
    <w:rsid w:val="006363AD"/>
    <w:rsid w:val="00637C8D"/>
    <w:rsid w:val="00643179"/>
    <w:rsid w:val="00643A0F"/>
    <w:rsid w:val="0064448D"/>
    <w:rsid w:val="006445F8"/>
    <w:rsid w:val="00645D7F"/>
    <w:rsid w:val="00652E05"/>
    <w:rsid w:val="00652F90"/>
    <w:rsid w:val="00657D11"/>
    <w:rsid w:val="006600E2"/>
    <w:rsid w:val="00660811"/>
    <w:rsid w:val="006632EB"/>
    <w:rsid w:val="00664F17"/>
    <w:rsid w:val="00666533"/>
    <w:rsid w:val="00671AD3"/>
    <w:rsid w:val="0067298B"/>
    <w:rsid w:val="00673B5F"/>
    <w:rsid w:val="00673C3E"/>
    <w:rsid w:val="00674318"/>
    <w:rsid w:val="00674D8B"/>
    <w:rsid w:val="006750A9"/>
    <w:rsid w:val="00676F29"/>
    <w:rsid w:val="0068195D"/>
    <w:rsid w:val="00682375"/>
    <w:rsid w:val="00683203"/>
    <w:rsid w:val="00683AEE"/>
    <w:rsid w:val="00683D29"/>
    <w:rsid w:val="00684D51"/>
    <w:rsid w:val="0068669A"/>
    <w:rsid w:val="00690A0E"/>
    <w:rsid w:val="00692269"/>
    <w:rsid w:val="0069414E"/>
    <w:rsid w:val="0069481E"/>
    <w:rsid w:val="006951C9"/>
    <w:rsid w:val="006962D6"/>
    <w:rsid w:val="006A3524"/>
    <w:rsid w:val="006A4BA3"/>
    <w:rsid w:val="006A5CBD"/>
    <w:rsid w:val="006A6F53"/>
    <w:rsid w:val="006A77F1"/>
    <w:rsid w:val="006B0386"/>
    <w:rsid w:val="006B2786"/>
    <w:rsid w:val="006B3FBE"/>
    <w:rsid w:val="006B64C7"/>
    <w:rsid w:val="006B6D2B"/>
    <w:rsid w:val="006C4B6F"/>
    <w:rsid w:val="006D6210"/>
    <w:rsid w:val="006D7C45"/>
    <w:rsid w:val="006E03C5"/>
    <w:rsid w:val="006E4B12"/>
    <w:rsid w:val="006E4DCC"/>
    <w:rsid w:val="006E6672"/>
    <w:rsid w:val="006F1C52"/>
    <w:rsid w:val="006F24BF"/>
    <w:rsid w:val="006F456E"/>
    <w:rsid w:val="006F464F"/>
    <w:rsid w:val="006F5E6B"/>
    <w:rsid w:val="007031B3"/>
    <w:rsid w:val="00704204"/>
    <w:rsid w:val="0070511E"/>
    <w:rsid w:val="00705C59"/>
    <w:rsid w:val="00706A30"/>
    <w:rsid w:val="00711976"/>
    <w:rsid w:val="00711E55"/>
    <w:rsid w:val="0071246E"/>
    <w:rsid w:val="0073071C"/>
    <w:rsid w:val="00731952"/>
    <w:rsid w:val="0073323F"/>
    <w:rsid w:val="00733EC9"/>
    <w:rsid w:val="00736295"/>
    <w:rsid w:val="007370A4"/>
    <w:rsid w:val="007406BB"/>
    <w:rsid w:val="00742840"/>
    <w:rsid w:val="007502ED"/>
    <w:rsid w:val="007514CD"/>
    <w:rsid w:val="007529CD"/>
    <w:rsid w:val="00753333"/>
    <w:rsid w:val="00756560"/>
    <w:rsid w:val="00761E78"/>
    <w:rsid w:val="00765683"/>
    <w:rsid w:val="00765C2E"/>
    <w:rsid w:val="00766470"/>
    <w:rsid w:val="007700E8"/>
    <w:rsid w:val="00773BB9"/>
    <w:rsid w:val="00774703"/>
    <w:rsid w:val="00774AAF"/>
    <w:rsid w:val="007803F5"/>
    <w:rsid w:val="00780B81"/>
    <w:rsid w:val="00782497"/>
    <w:rsid w:val="00783E93"/>
    <w:rsid w:val="00784371"/>
    <w:rsid w:val="007868BA"/>
    <w:rsid w:val="0079602E"/>
    <w:rsid w:val="00797CAC"/>
    <w:rsid w:val="007A02BA"/>
    <w:rsid w:val="007A1E5C"/>
    <w:rsid w:val="007A2A3D"/>
    <w:rsid w:val="007A3422"/>
    <w:rsid w:val="007A71B9"/>
    <w:rsid w:val="007A7CCF"/>
    <w:rsid w:val="007B1EAF"/>
    <w:rsid w:val="007B2BEC"/>
    <w:rsid w:val="007B5730"/>
    <w:rsid w:val="007B79E9"/>
    <w:rsid w:val="007C0E99"/>
    <w:rsid w:val="007C3AA9"/>
    <w:rsid w:val="007C41E0"/>
    <w:rsid w:val="007C4875"/>
    <w:rsid w:val="007C6A0A"/>
    <w:rsid w:val="007C77E2"/>
    <w:rsid w:val="007D1E2E"/>
    <w:rsid w:val="007D2A3C"/>
    <w:rsid w:val="007D6CC9"/>
    <w:rsid w:val="007F1C01"/>
    <w:rsid w:val="00806594"/>
    <w:rsid w:val="008074FA"/>
    <w:rsid w:val="00807F62"/>
    <w:rsid w:val="008134E2"/>
    <w:rsid w:val="00813E19"/>
    <w:rsid w:val="008148C7"/>
    <w:rsid w:val="00815475"/>
    <w:rsid w:val="0081610B"/>
    <w:rsid w:val="00816E8E"/>
    <w:rsid w:val="00821548"/>
    <w:rsid w:val="00824877"/>
    <w:rsid w:val="008250B8"/>
    <w:rsid w:val="00827227"/>
    <w:rsid w:val="00830F7C"/>
    <w:rsid w:val="00832FE4"/>
    <w:rsid w:val="008335D9"/>
    <w:rsid w:val="00835B35"/>
    <w:rsid w:val="00840E40"/>
    <w:rsid w:val="00843DEE"/>
    <w:rsid w:val="00843F05"/>
    <w:rsid w:val="00847799"/>
    <w:rsid w:val="00850064"/>
    <w:rsid w:val="00851D4F"/>
    <w:rsid w:val="0085372F"/>
    <w:rsid w:val="00853E17"/>
    <w:rsid w:val="00854C7A"/>
    <w:rsid w:val="00855297"/>
    <w:rsid w:val="00857140"/>
    <w:rsid w:val="00857C58"/>
    <w:rsid w:val="00860DF8"/>
    <w:rsid w:val="00865B87"/>
    <w:rsid w:val="00871D9C"/>
    <w:rsid w:val="008739E3"/>
    <w:rsid w:val="00874C70"/>
    <w:rsid w:val="00874DC1"/>
    <w:rsid w:val="00875F40"/>
    <w:rsid w:val="008864EE"/>
    <w:rsid w:val="0089197B"/>
    <w:rsid w:val="00892008"/>
    <w:rsid w:val="0089294E"/>
    <w:rsid w:val="00892BE0"/>
    <w:rsid w:val="00893010"/>
    <w:rsid w:val="00893A0D"/>
    <w:rsid w:val="00893C1D"/>
    <w:rsid w:val="00894383"/>
    <w:rsid w:val="00894D18"/>
    <w:rsid w:val="008961AC"/>
    <w:rsid w:val="008A0D89"/>
    <w:rsid w:val="008A181F"/>
    <w:rsid w:val="008A2082"/>
    <w:rsid w:val="008A3660"/>
    <w:rsid w:val="008A37BE"/>
    <w:rsid w:val="008A6EC9"/>
    <w:rsid w:val="008A7F13"/>
    <w:rsid w:val="008B0A4F"/>
    <w:rsid w:val="008B0DDD"/>
    <w:rsid w:val="008B15D8"/>
    <w:rsid w:val="008B1833"/>
    <w:rsid w:val="008B19CD"/>
    <w:rsid w:val="008B374B"/>
    <w:rsid w:val="008B3D19"/>
    <w:rsid w:val="008C05FC"/>
    <w:rsid w:val="008C1068"/>
    <w:rsid w:val="008C1AC4"/>
    <w:rsid w:val="008C2454"/>
    <w:rsid w:val="008C2A71"/>
    <w:rsid w:val="008C33C1"/>
    <w:rsid w:val="008C375C"/>
    <w:rsid w:val="008C38EF"/>
    <w:rsid w:val="008C5C4E"/>
    <w:rsid w:val="008D4EBD"/>
    <w:rsid w:val="008D5616"/>
    <w:rsid w:val="008E220F"/>
    <w:rsid w:val="008E3603"/>
    <w:rsid w:val="008F11F0"/>
    <w:rsid w:val="008F4577"/>
    <w:rsid w:val="008F7CE7"/>
    <w:rsid w:val="00901B43"/>
    <w:rsid w:val="00905454"/>
    <w:rsid w:val="009114F9"/>
    <w:rsid w:val="009137F1"/>
    <w:rsid w:val="00913DE5"/>
    <w:rsid w:val="00914F5E"/>
    <w:rsid w:val="0091591B"/>
    <w:rsid w:val="0091777B"/>
    <w:rsid w:val="0092244F"/>
    <w:rsid w:val="009258D8"/>
    <w:rsid w:val="00926386"/>
    <w:rsid w:val="00926DD2"/>
    <w:rsid w:val="00931D62"/>
    <w:rsid w:val="00932A79"/>
    <w:rsid w:val="00932FA3"/>
    <w:rsid w:val="00933AFA"/>
    <w:rsid w:val="009340D9"/>
    <w:rsid w:val="0094308D"/>
    <w:rsid w:val="00950BF3"/>
    <w:rsid w:val="00952B59"/>
    <w:rsid w:val="009555E2"/>
    <w:rsid w:val="009607CD"/>
    <w:rsid w:val="00963B97"/>
    <w:rsid w:val="0096433D"/>
    <w:rsid w:val="00967876"/>
    <w:rsid w:val="00967ABB"/>
    <w:rsid w:val="00971672"/>
    <w:rsid w:val="0097307E"/>
    <w:rsid w:val="009741C3"/>
    <w:rsid w:val="00981E36"/>
    <w:rsid w:val="009823E2"/>
    <w:rsid w:val="00984EEF"/>
    <w:rsid w:val="00987166"/>
    <w:rsid w:val="009875A7"/>
    <w:rsid w:val="00991A4E"/>
    <w:rsid w:val="009934F0"/>
    <w:rsid w:val="00996ED6"/>
    <w:rsid w:val="009A0AC1"/>
    <w:rsid w:val="009A18BE"/>
    <w:rsid w:val="009A6242"/>
    <w:rsid w:val="009A6668"/>
    <w:rsid w:val="009A6FC4"/>
    <w:rsid w:val="009B22C2"/>
    <w:rsid w:val="009B23F1"/>
    <w:rsid w:val="009B295D"/>
    <w:rsid w:val="009B7CFF"/>
    <w:rsid w:val="009C21C0"/>
    <w:rsid w:val="009C31E1"/>
    <w:rsid w:val="009C37E9"/>
    <w:rsid w:val="009C57E4"/>
    <w:rsid w:val="009C6810"/>
    <w:rsid w:val="009C7002"/>
    <w:rsid w:val="009D0B1F"/>
    <w:rsid w:val="009D22BE"/>
    <w:rsid w:val="009D291F"/>
    <w:rsid w:val="009D3D1C"/>
    <w:rsid w:val="009D4DAB"/>
    <w:rsid w:val="009D604D"/>
    <w:rsid w:val="009D708F"/>
    <w:rsid w:val="009E5E6F"/>
    <w:rsid w:val="009E6CC9"/>
    <w:rsid w:val="009F1AD2"/>
    <w:rsid w:val="009F2CBF"/>
    <w:rsid w:val="009F3529"/>
    <w:rsid w:val="00A11A0F"/>
    <w:rsid w:val="00A13C38"/>
    <w:rsid w:val="00A2266A"/>
    <w:rsid w:val="00A255EA"/>
    <w:rsid w:val="00A2615C"/>
    <w:rsid w:val="00A34638"/>
    <w:rsid w:val="00A35027"/>
    <w:rsid w:val="00A40860"/>
    <w:rsid w:val="00A41A09"/>
    <w:rsid w:val="00A42618"/>
    <w:rsid w:val="00A433D9"/>
    <w:rsid w:val="00A46D96"/>
    <w:rsid w:val="00A51C16"/>
    <w:rsid w:val="00A55E6F"/>
    <w:rsid w:val="00A56615"/>
    <w:rsid w:val="00A60663"/>
    <w:rsid w:val="00A629B4"/>
    <w:rsid w:val="00A73037"/>
    <w:rsid w:val="00A73289"/>
    <w:rsid w:val="00A76A90"/>
    <w:rsid w:val="00A82808"/>
    <w:rsid w:val="00A85CA3"/>
    <w:rsid w:val="00A870EB"/>
    <w:rsid w:val="00A87283"/>
    <w:rsid w:val="00A9023C"/>
    <w:rsid w:val="00A9197F"/>
    <w:rsid w:val="00AA1F38"/>
    <w:rsid w:val="00AA3E09"/>
    <w:rsid w:val="00AA6E3B"/>
    <w:rsid w:val="00AB0335"/>
    <w:rsid w:val="00AB4E79"/>
    <w:rsid w:val="00AB70E4"/>
    <w:rsid w:val="00AB7F1D"/>
    <w:rsid w:val="00AC46ED"/>
    <w:rsid w:val="00AC639D"/>
    <w:rsid w:val="00AC72E9"/>
    <w:rsid w:val="00AC741C"/>
    <w:rsid w:val="00AD0671"/>
    <w:rsid w:val="00AD21B0"/>
    <w:rsid w:val="00AD6DC9"/>
    <w:rsid w:val="00AE1CB6"/>
    <w:rsid w:val="00AE1CE8"/>
    <w:rsid w:val="00AF166E"/>
    <w:rsid w:val="00AF2254"/>
    <w:rsid w:val="00AF32DD"/>
    <w:rsid w:val="00AF3E31"/>
    <w:rsid w:val="00B00CF5"/>
    <w:rsid w:val="00B0153C"/>
    <w:rsid w:val="00B03DCC"/>
    <w:rsid w:val="00B03DF0"/>
    <w:rsid w:val="00B10292"/>
    <w:rsid w:val="00B104A9"/>
    <w:rsid w:val="00B10996"/>
    <w:rsid w:val="00B17069"/>
    <w:rsid w:val="00B17FDF"/>
    <w:rsid w:val="00B203C7"/>
    <w:rsid w:val="00B21A13"/>
    <w:rsid w:val="00B23178"/>
    <w:rsid w:val="00B2365D"/>
    <w:rsid w:val="00B2388E"/>
    <w:rsid w:val="00B238A1"/>
    <w:rsid w:val="00B23B0F"/>
    <w:rsid w:val="00B31A47"/>
    <w:rsid w:val="00B32913"/>
    <w:rsid w:val="00B375B0"/>
    <w:rsid w:val="00B40132"/>
    <w:rsid w:val="00B423C5"/>
    <w:rsid w:val="00B432D0"/>
    <w:rsid w:val="00B53092"/>
    <w:rsid w:val="00B553F7"/>
    <w:rsid w:val="00B563A5"/>
    <w:rsid w:val="00B60841"/>
    <w:rsid w:val="00B61FEB"/>
    <w:rsid w:val="00B672F6"/>
    <w:rsid w:val="00B707DF"/>
    <w:rsid w:val="00B715E8"/>
    <w:rsid w:val="00B72CF8"/>
    <w:rsid w:val="00B7476E"/>
    <w:rsid w:val="00B74865"/>
    <w:rsid w:val="00B77DB5"/>
    <w:rsid w:val="00B8460A"/>
    <w:rsid w:val="00B8502E"/>
    <w:rsid w:val="00B90BA9"/>
    <w:rsid w:val="00B911B5"/>
    <w:rsid w:val="00B96947"/>
    <w:rsid w:val="00B96CC2"/>
    <w:rsid w:val="00BA0CF6"/>
    <w:rsid w:val="00BA362C"/>
    <w:rsid w:val="00BA57B8"/>
    <w:rsid w:val="00BA62EF"/>
    <w:rsid w:val="00BA6731"/>
    <w:rsid w:val="00BA7E47"/>
    <w:rsid w:val="00BB501D"/>
    <w:rsid w:val="00BC1E98"/>
    <w:rsid w:val="00BC3524"/>
    <w:rsid w:val="00BC39C2"/>
    <w:rsid w:val="00BC6731"/>
    <w:rsid w:val="00BC673A"/>
    <w:rsid w:val="00BD07E5"/>
    <w:rsid w:val="00BD41D3"/>
    <w:rsid w:val="00BD4658"/>
    <w:rsid w:val="00BD7461"/>
    <w:rsid w:val="00BE0225"/>
    <w:rsid w:val="00BE1056"/>
    <w:rsid w:val="00BE216A"/>
    <w:rsid w:val="00BE2734"/>
    <w:rsid w:val="00BE2F96"/>
    <w:rsid w:val="00BE4AFB"/>
    <w:rsid w:val="00BE4EDC"/>
    <w:rsid w:val="00BE576F"/>
    <w:rsid w:val="00BE59D2"/>
    <w:rsid w:val="00BE6D28"/>
    <w:rsid w:val="00BE7E73"/>
    <w:rsid w:val="00BF07C4"/>
    <w:rsid w:val="00BF3F26"/>
    <w:rsid w:val="00BF4029"/>
    <w:rsid w:val="00BF6D66"/>
    <w:rsid w:val="00BF70C0"/>
    <w:rsid w:val="00C11E26"/>
    <w:rsid w:val="00C127A3"/>
    <w:rsid w:val="00C13949"/>
    <w:rsid w:val="00C13CBB"/>
    <w:rsid w:val="00C16B32"/>
    <w:rsid w:val="00C2503A"/>
    <w:rsid w:val="00C272DE"/>
    <w:rsid w:val="00C31385"/>
    <w:rsid w:val="00C3148A"/>
    <w:rsid w:val="00C323C9"/>
    <w:rsid w:val="00C35D16"/>
    <w:rsid w:val="00C37FC3"/>
    <w:rsid w:val="00C41DC3"/>
    <w:rsid w:val="00C43BB7"/>
    <w:rsid w:val="00C45645"/>
    <w:rsid w:val="00C46AEA"/>
    <w:rsid w:val="00C478A1"/>
    <w:rsid w:val="00C50B72"/>
    <w:rsid w:val="00C51A70"/>
    <w:rsid w:val="00C51FD7"/>
    <w:rsid w:val="00C52AB6"/>
    <w:rsid w:val="00C53D00"/>
    <w:rsid w:val="00C57BB1"/>
    <w:rsid w:val="00C57CE9"/>
    <w:rsid w:val="00C57F8B"/>
    <w:rsid w:val="00C61F6E"/>
    <w:rsid w:val="00C63515"/>
    <w:rsid w:val="00C64360"/>
    <w:rsid w:val="00C67EAC"/>
    <w:rsid w:val="00C720D1"/>
    <w:rsid w:val="00C724A2"/>
    <w:rsid w:val="00C72DE0"/>
    <w:rsid w:val="00C73958"/>
    <w:rsid w:val="00C80059"/>
    <w:rsid w:val="00C80684"/>
    <w:rsid w:val="00C81777"/>
    <w:rsid w:val="00C8475D"/>
    <w:rsid w:val="00C8753D"/>
    <w:rsid w:val="00C87740"/>
    <w:rsid w:val="00C9294D"/>
    <w:rsid w:val="00C95639"/>
    <w:rsid w:val="00C9726E"/>
    <w:rsid w:val="00C97CC8"/>
    <w:rsid w:val="00CA1296"/>
    <w:rsid w:val="00CA78BA"/>
    <w:rsid w:val="00CB0E6D"/>
    <w:rsid w:val="00CB4E77"/>
    <w:rsid w:val="00CB5677"/>
    <w:rsid w:val="00CB5895"/>
    <w:rsid w:val="00CB70FF"/>
    <w:rsid w:val="00CC3453"/>
    <w:rsid w:val="00CC60BD"/>
    <w:rsid w:val="00CC7AC0"/>
    <w:rsid w:val="00CD0331"/>
    <w:rsid w:val="00CE200D"/>
    <w:rsid w:val="00CE33CB"/>
    <w:rsid w:val="00CE79CE"/>
    <w:rsid w:val="00CF2B8E"/>
    <w:rsid w:val="00CF54A4"/>
    <w:rsid w:val="00CF5535"/>
    <w:rsid w:val="00CF6D71"/>
    <w:rsid w:val="00D01F5C"/>
    <w:rsid w:val="00D12127"/>
    <w:rsid w:val="00D2102F"/>
    <w:rsid w:val="00D21FF1"/>
    <w:rsid w:val="00D2288C"/>
    <w:rsid w:val="00D25CA1"/>
    <w:rsid w:val="00D27AF0"/>
    <w:rsid w:val="00D32BCA"/>
    <w:rsid w:val="00D33058"/>
    <w:rsid w:val="00D335F2"/>
    <w:rsid w:val="00D37035"/>
    <w:rsid w:val="00D373BB"/>
    <w:rsid w:val="00D40967"/>
    <w:rsid w:val="00D4385A"/>
    <w:rsid w:val="00D44E2D"/>
    <w:rsid w:val="00D450DC"/>
    <w:rsid w:val="00D458F4"/>
    <w:rsid w:val="00D50755"/>
    <w:rsid w:val="00D5140D"/>
    <w:rsid w:val="00D522B3"/>
    <w:rsid w:val="00D52C3D"/>
    <w:rsid w:val="00D533A5"/>
    <w:rsid w:val="00D6331B"/>
    <w:rsid w:val="00D673FC"/>
    <w:rsid w:val="00D704EF"/>
    <w:rsid w:val="00D71CDE"/>
    <w:rsid w:val="00D74777"/>
    <w:rsid w:val="00D75227"/>
    <w:rsid w:val="00D753E1"/>
    <w:rsid w:val="00D80A95"/>
    <w:rsid w:val="00D8153E"/>
    <w:rsid w:val="00D83CD5"/>
    <w:rsid w:val="00DA1815"/>
    <w:rsid w:val="00DA4BC6"/>
    <w:rsid w:val="00DB0C1E"/>
    <w:rsid w:val="00DB320F"/>
    <w:rsid w:val="00DB3638"/>
    <w:rsid w:val="00DB4664"/>
    <w:rsid w:val="00DB6FE5"/>
    <w:rsid w:val="00DC2A38"/>
    <w:rsid w:val="00DC68A9"/>
    <w:rsid w:val="00DD028D"/>
    <w:rsid w:val="00DD1225"/>
    <w:rsid w:val="00DD28C8"/>
    <w:rsid w:val="00DD2E35"/>
    <w:rsid w:val="00DE47E0"/>
    <w:rsid w:val="00DE4B88"/>
    <w:rsid w:val="00DE4D8D"/>
    <w:rsid w:val="00DE5BAE"/>
    <w:rsid w:val="00DE7D97"/>
    <w:rsid w:val="00DF066C"/>
    <w:rsid w:val="00DF0C0B"/>
    <w:rsid w:val="00DF0EBA"/>
    <w:rsid w:val="00DF243B"/>
    <w:rsid w:val="00DF38B7"/>
    <w:rsid w:val="00DF4A32"/>
    <w:rsid w:val="00DF6837"/>
    <w:rsid w:val="00DF75CD"/>
    <w:rsid w:val="00DF7CEB"/>
    <w:rsid w:val="00E12D72"/>
    <w:rsid w:val="00E14780"/>
    <w:rsid w:val="00E22328"/>
    <w:rsid w:val="00E23259"/>
    <w:rsid w:val="00E23B26"/>
    <w:rsid w:val="00E24890"/>
    <w:rsid w:val="00E26C4B"/>
    <w:rsid w:val="00E276CE"/>
    <w:rsid w:val="00E305EF"/>
    <w:rsid w:val="00E30B40"/>
    <w:rsid w:val="00E316B7"/>
    <w:rsid w:val="00E33353"/>
    <w:rsid w:val="00E33EF0"/>
    <w:rsid w:val="00E35841"/>
    <w:rsid w:val="00E36508"/>
    <w:rsid w:val="00E366B0"/>
    <w:rsid w:val="00E367A3"/>
    <w:rsid w:val="00E36A53"/>
    <w:rsid w:val="00E404B3"/>
    <w:rsid w:val="00E40CC6"/>
    <w:rsid w:val="00E431FF"/>
    <w:rsid w:val="00E438AA"/>
    <w:rsid w:val="00E445B7"/>
    <w:rsid w:val="00E47340"/>
    <w:rsid w:val="00E5102A"/>
    <w:rsid w:val="00E54200"/>
    <w:rsid w:val="00E550E4"/>
    <w:rsid w:val="00E55FA6"/>
    <w:rsid w:val="00E56A17"/>
    <w:rsid w:val="00E57CDF"/>
    <w:rsid w:val="00E612BC"/>
    <w:rsid w:val="00E63444"/>
    <w:rsid w:val="00E64748"/>
    <w:rsid w:val="00E65B5E"/>
    <w:rsid w:val="00E67E87"/>
    <w:rsid w:val="00E701EB"/>
    <w:rsid w:val="00E7390F"/>
    <w:rsid w:val="00E74DAD"/>
    <w:rsid w:val="00E8341B"/>
    <w:rsid w:val="00E83793"/>
    <w:rsid w:val="00E83A81"/>
    <w:rsid w:val="00E83BBF"/>
    <w:rsid w:val="00E84435"/>
    <w:rsid w:val="00E933EA"/>
    <w:rsid w:val="00E95321"/>
    <w:rsid w:val="00E96157"/>
    <w:rsid w:val="00EA120F"/>
    <w:rsid w:val="00EA2F02"/>
    <w:rsid w:val="00EA32E7"/>
    <w:rsid w:val="00EA3D77"/>
    <w:rsid w:val="00EA42EE"/>
    <w:rsid w:val="00EA4FD3"/>
    <w:rsid w:val="00EA6021"/>
    <w:rsid w:val="00EA6116"/>
    <w:rsid w:val="00EB063D"/>
    <w:rsid w:val="00EC04D2"/>
    <w:rsid w:val="00EC13FF"/>
    <w:rsid w:val="00EC2B1B"/>
    <w:rsid w:val="00EC5FDE"/>
    <w:rsid w:val="00EC6694"/>
    <w:rsid w:val="00EC76E3"/>
    <w:rsid w:val="00EC7DEA"/>
    <w:rsid w:val="00ED1DE6"/>
    <w:rsid w:val="00ED55C3"/>
    <w:rsid w:val="00EE1AD5"/>
    <w:rsid w:val="00EE20F4"/>
    <w:rsid w:val="00EE4C9D"/>
    <w:rsid w:val="00EE5991"/>
    <w:rsid w:val="00EE73F5"/>
    <w:rsid w:val="00EF6359"/>
    <w:rsid w:val="00EF68BD"/>
    <w:rsid w:val="00EF6A53"/>
    <w:rsid w:val="00F00D39"/>
    <w:rsid w:val="00F048E8"/>
    <w:rsid w:val="00F12818"/>
    <w:rsid w:val="00F1345D"/>
    <w:rsid w:val="00F13FD5"/>
    <w:rsid w:val="00F1618C"/>
    <w:rsid w:val="00F16F92"/>
    <w:rsid w:val="00F22CAA"/>
    <w:rsid w:val="00F315C0"/>
    <w:rsid w:val="00F351EB"/>
    <w:rsid w:val="00F36968"/>
    <w:rsid w:val="00F37C88"/>
    <w:rsid w:val="00F424E4"/>
    <w:rsid w:val="00F435D5"/>
    <w:rsid w:val="00F46B99"/>
    <w:rsid w:val="00F50362"/>
    <w:rsid w:val="00F509E8"/>
    <w:rsid w:val="00F50BC6"/>
    <w:rsid w:val="00F54822"/>
    <w:rsid w:val="00F571D3"/>
    <w:rsid w:val="00F5732B"/>
    <w:rsid w:val="00F67318"/>
    <w:rsid w:val="00F71755"/>
    <w:rsid w:val="00F757DC"/>
    <w:rsid w:val="00F77056"/>
    <w:rsid w:val="00F77A5E"/>
    <w:rsid w:val="00F81E04"/>
    <w:rsid w:val="00F83C64"/>
    <w:rsid w:val="00F85F14"/>
    <w:rsid w:val="00F95387"/>
    <w:rsid w:val="00FA2E98"/>
    <w:rsid w:val="00FA414F"/>
    <w:rsid w:val="00FA6149"/>
    <w:rsid w:val="00FA670F"/>
    <w:rsid w:val="00FB04A4"/>
    <w:rsid w:val="00FB2B42"/>
    <w:rsid w:val="00FB3BC0"/>
    <w:rsid w:val="00FB3CAC"/>
    <w:rsid w:val="00FB777F"/>
    <w:rsid w:val="00FC2024"/>
    <w:rsid w:val="00FC372A"/>
    <w:rsid w:val="00FC3EC5"/>
    <w:rsid w:val="00FD0115"/>
    <w:rsid w:val="00FD0D01"/>
    <w:rsid w:val="00FD4E54"/>
    <w:rsid w:val="00FD7F17"/>
    <w:rsid w:val="00FE277A"/>
    <w:rsid w:val="00FE5AF8"/>
    <w:rsid w:val="00FE5B88"/>
    <w:rsid w:val="00FE6CDA"/>
    <w:rsid w:val="00FE6DD6"/>
    <w:rsid w:val="00FF0B33"/>
    <w:rsid w:val="00FF376F"/>
    <w:rsid w:val="00FF6590"/>
    <w:rsid w:val="00FF7049"/>
    <w:rsid w:val="00FF73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A1A1C6"/>
  <w15:docId w15:val="{794A044F-3899-4A10-8C66-3151C9AB0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28C8"/>
    <w:pPr>
      <w:widowControl w:val="0"/>
    </w:pPr>
  </w:style>
  <w:style w:type="paragraph" w:styleId="1">
    <w:name w:val="heading 1"/>
    <w:uiPriority w:val="9"/>
    <w:qFormat/>
    <w:pPr>
      <w:spacing w:before="240" w:after="360" w:line="360" w:lineRule="auto"/>
      <w:outlineLvl w:val="0"/>
    </w:pPr>
    <w:rPr>
      <w:rFonts w:eastAsia="Times New Roman"/>
      <w:b/>
      <w:bCs/>
      <w:sz w:val="32"/>
      <w:szCs w:val="32"/>
    </w:rPr>
  </w:style>
  <w:style w:type="paragraph" w:styleId="2">
    <w:name w:val="heading 2"/>
    <w:link w:val="20"/>
    <w:uiPriority w:val="9"/>
    <w:unhideWhenUsed/>
    <w:qFormat/>
    <w:pPr>
      <w:spacing w:before="360" w:after="180" w:line="360" w:lineRule="auto"/>
      <w:outlineLvl w:val="1"/>
    </w:pPr>
    <w:rPr>
      <w:rFonts w:eastAsia="Times New Roman"/>
      <w:b/>
      <w:bCs/>
      <w:sz w:val="28"/>
      <w:szCs w:val="28"/>
    </w:rPr>
  </w:style>
  <w:style w:type="paragraph" w:styleId="3">
    <w:name w:val="heading 3"/>
    <w:link w:val="30"/>
    <w:uiPriority w:val="9"/>
    <w:unhideWhenUsed/>
    <w:qFormat/>
    <w:pPr>
      <w:spacing w:before="240" w:after="120" w:line="360" w:lineRule="auto"/>
      <w:outlineLvl w:val="2"/>
    </w:pPr>
    <w:rPr>
      <w:rFonts w:eastAsia="Times New Roman"/>
      <w:b/>
      <w:bCs/>
      <w:sz w:val="24"/>
      <w:szCs w:val="24"/>
    </w:rPr>
  </w:style>
  <w:style w:type="paragraph" w:styleId="4">
    <w:name w:val="heading 4"/>
    <w:uiPriority w:val="9"/>
    <w:unhideWhenUsed/>
    <w:qFormat/>
    <w:rsid w:val="00322DF0"/>
    <w:pPr>
      <w:spacing w:before="120" w:after="120"/>
      <w:outlineLvl w:val="3"/>
    </w:pPr>
    <w:rPr>
      <w:b/>
      <w:iCs/>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character" w:styleId="ac">
    <w:name w:val="Unresolved Mention"/>
    <w:basedOn w:val="a0"/>
    <w:uiPriority w:val="99"/>
    <w:semiHidden/>
    <w:unhideWhenUsed/>
    <w:rsid w:val="00225D00"/>
    <w:rPr>
      <w:color w:val="605E5C"/>
      <w:shd w:val="clear" w:color="auto" w:fill="E1DFDD"/>
    </w:rPr>
  </w:style>
  <w:style w:type="paragraph" w:styleId="ad">
    <w:name w:val="header"/>
    <w:basedOn w:val="a"/>
    <w:link w:val="ae"/>
    <w:uiPriority w:val="99"/>
    <w:unhideWhenUsed/>
    <w:rsid w:val="00117B7D"/>
    <w:pPr>
      <w:tabs>
        <w:tab w:val="center" w:pos="4513"/>
        <w:tab w:val="right" w:pos="9026"/>
      </w:tabs>
      <w:snapToGrid w:val="0"/>
      <w:jc w:val="center"/>
    </w:pPr>
    <w:rPr>
      <w:sz w:val="18"/>
      <w:szCs w:val="18"/>
    </w:rPr>
  </w:style>
  <w:style w:type="character" w:customStyle="1" w:styleId="ae">
    <w:name w:val="页眉 字符"/>
    <w:basedOn w:val="a0"/>
    <w:link w:val="ad"/>
    <w:uiPriority w:val="99"/>
    <w:rsid w:val="00117B7D"/>
    <w:rPr>
      <w:sz w:val="18"/>
      <w:szCs w:val="18"/>
    </w:rPr>
  </w:style>
  <w:style w:type="paragraph" w:styleId="af">
    <w:name w:val="footer"/>
    <w:basedOn w:val="a"/>
    <w:link w:val="af0"/>
    <w:uiPriority w:val="99"/>
    <w:unhideWhenUsed/>
    <w:rsid w:val="00117B7D"/>
    <w:pPr>
      <w:tabs>
        <w:tab w:val="center" w:pos="4513"/>
        <w:tab w:val="right" w:pos="9026"/>
      </w:tabs>
      <w:snapToGrid w:val="0"/>
    </w:pPr>
    <w:rPr>
      <w:sz w:val="18"/>
      <w:szCs w:val="18"/>
    </w:rPr>
  </w:style>
  <w:style w:type="character" w:customStyle="1" w:styleId="af0">
    <w:name w:val="页脚 字符"/>
    <w:basedOn w:val="a0"/>
    <w:link w:val="af"/>
    <w:uiPriority w:val="99"/>
    <w:rsid w:val="00117B7D"/>
    <w:rPr>
      <w:sz w:val="18"/>
      <w:szCs w:val="18"/>
    </w:rPr>
  </w:style>
  <w:style w:type="table" w:styleId="af1">
    <w:name w:val="Table Grid"/>
    <w:basedOn w:val="a1"/>
    <w:uiPriority w:val="39"/>
    <w:rsid w:val="000603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B23B0F"/>
    <w:rPr>
      <w:rFonts w:ascii="Courier New" w:hAnsi="Courier New" w:cs="Courier New"/>
      <w:sz w:val="20"/>
      <w:szCs w:val="20"/>
    </w:rPr>
  </w:style>
  <w:style w:type="character" w:customStyle="1" w:styleId="HTML0">
    <w:name w:val="HTML 预设格式 字符"/>
    <w:basedOn w:val="a0"/>
    <w:link w:val="HTML"/>
    <w:uiPriority w:val="99"/>
    <w:semiHidden/>
    <w:rsid w:val="00B23B0F"/>
    <w:rPr>
      <w:rFonts w:ascii="Courier New" w:hAnsi="Courier New" w:cs="Courier New"/>
      <w:sz w:val="20"/>
      <w:szCs w:val="20"/>
    </w:rPr>
  </w:style>
  <w:style w:type="character" w:customStyle="1" w:styleId="20">
    <w:name w:val="标题 2 字符"/>
    <w:basedOn w:val="a0"/>
    <w:link w:val="2"/>
    <w:uiPriority w:val="9"/>
    <w:rsid w:val="007514CD"/>
    <w:rPr>
      <w:rFonts w:eastAsia="Times New Roman"/>
      <w:b/>
      <w:bCs/>
      <w:sz w:val="28"/>
      <w:szCs w:val="28"/>
    </w:rPr>
  </w:style>
  <w:style w:type="character" w:customStyle="1" w:styleId="30">
    <w:name w:val="标题 3 字符"/>
    <w:basedOn w:val="a0"/>
    <w:link w:val="3"/>
    <w:uiPriority w:val="9"/>
    <w:rsid w:val="007514CD"/>
    <w:rPr>
      <w:rFonts w:eastAsia="Times New Roman"/>
      <w:b/>
      <w:bCs/>
      <w:sz w:val="24"/>
      <w:szCs w:val="24"/>
    </w:rPr>
  </w:style>
  <w:style w:type="character" w:styleId="af2">
    <w:name w:val="FollowedHyperlink"/>
    <w:basedOn w:val="a0"/>
    <w:uiPriority w:val="99"/>
    <w:semiHidden/>
    <w:unhideWhenUsed/>
    <w:rsid w:val="00EA32E7"/>
    <w:rPr>
      <w:color w:val="96607D" w:themeColor="followedHyperlink"/>
      <w:u w:val="single"/>
    </w:rPr>
  </w:style>
  <w:style w:type="paragraph" w:styleId="af3">
    <w:name w:val="Normal (Web)"/>
    <w:basedOn w:val="a"/>
    <w:uiPriority w:val="99"/>
    <w:semiHidden/>
    <w:unhideWhenUsed/>
    <w:rsid w:val="004D2DEC"/>
    <w:rPr>
      <w:sz w:val="24"/>
      <w:szCs w:val="24"/>
    </w:rPr>
  </w:style>
  <w:style w:type="character" w:styleId="af4">
    <w:name w:val="Placeholder Text"/>
    <w:basedOn w:val="a0"/>
    <w:uiPriority w:val="99"/>
    <w:semiHidden/>
    <w:rsid w:val="00BA62E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3282">
      <w:bodyDiv w:val="1"/>
      <w:marLeft w:val="0"/>
      <w:marRight w:val="0"/>
      <w:marTop w:val="0"/>
      <w:marBottom w:val="0"/>
      <w:divBdr>
        <w:top w:val="none" w:sz="0" w:space="0" w:color="auto"/>
        <w:left w:val="none" w:sz="0" w:space="0" w:color="auto"/>
        <w:bottom w:val="none" w:sz="0" w:space="0" w:color="auto"/>
        <w:right w:val="none" w:sz="0" w:space="0" w:color="auto"/>
      </w:divBdr>
    </w:div>
    <w:div w:id="10300732">
      <w:bodyDiv w:val="1"/>
      <w:marLeft w:val="0"/>
      <w:marRight w:val="0"/>
      <w:marTop w:val="0"/>
      <w:marBottom w:val="0"/>
      <w:divBdr>
        <w:top w:val="none" w:sz="0" w:space="0" w:color="auto"/>
        <w:left w:val="none" w:sz="0" w:space="0" w:color="auto"/>
        <w:bottom w:val="none" w:sz="0" w:space="0" w:color="auto"/>
        <w:right w:val="none" w:sz="0" w:space="0" w:color="auto"/>
      </w:divBdr>
    </w:div>
    <w:div w:id="20322335">
      <w:bodyDiv w:val="1"/>
      <w:marLeft w:val="0"/>
      <w:marRight w:val="0"/>
      <w:marTop w:val="0"/>
      <w:marBottom w:val="0"/>
      <w:divBdr>
        <w:top w:val="none" w:sz="0" w:space="0" w:color="auto"/>
        <w:left w:val="none" w:sz="0" w:space="0" w:color="auto"/>
        <w:bottom w:val="none" w:sz="0" w:space="0" w:color="auto"/>
        <w:right w:val="none" w:sz="0" w:space="0" w:color="auto"/>
      </w:divBdr>
    </w:div>
    <w:div w:id="21636346">
      <w:bodyDiv w:val="1"/>
      <w:marLeft w:val="0"/>
      <w:marRight w:val="0"/>
      <w:marTop w:val="0"/>
      <w:marBottom w:val="0"/>
      <w:divBdr>
        <w:top w:val="none" w:sz="0" w:space="0" w:color="auto"/>
        <w:left w:val="none" w:sz="0" w:space="0" w:color="auto"/>
        <w:bottom w:val="none" w:sz="0" w:space="0" w:color="auto"/>
        <w:right w:val="none" w:sz="0" w:space="0" w:color="auto"/>
      </w:divBdr>
    </w:div>
    <w:div w:id="34502675">
      <w:bodyDiv w:val="1"/>
      <w:marLeft w:val="0"/>
      <w:marRight w:val="0"/>
      <w:marTop w:val="0"/>
      <w:marBottom w:val="0"/>
      <w:divBdr>
        <w:top w:val="none" w:sz="0" w:space="0" w:color="auto"/>
        <w:left w:val="none" w:sz="0" w:space="0" w:color="auto"/>
        <w:bottom w:val="none" w:sz="0" w:space="0" w:color="auto"/>
        <w:right w:val="none" w:sz="0" w:space="0" w:color="auto"/>
      </w:divBdr>
    </w:div>
    <w:div w:id="53743337">
      <w:bodyDiv w:val="1"/>
      <w:marLeft w:val="0"/>
      <w:marRight w:val="0"/>
      <w:marTop w:val="0"/>
      <w:marBottom w:val="0"/>
      <w:divBdr>
        <w:top w:val="none" w:sz="0" w:space="0" w:color="auto"/>
        <w:left w:val="none" w:sz="0" w:space="0" w:color="auto"/>
        <w:bottom w:val="none" w:sz="0" w:space="0" w:color="auto"/>
        <w:right w:val="none" w:sz="0" w:space="0" w:color="auto"/>
      </w:divBdr>
    </w:div>
    <w:div w:id="56515934">
      <w:bodyDiv w:val="1"/>
      <w:marLeft w:val="0"/>
      <w:marRight w:val="0"/>
      <w:marTop w:val="0"/>
      <w:marBottom w:val="0"/>
      <w:divBdr>
        <w:top w:val="none" w:sz="0" w:space="0" w:color="auto"/>
        <w:left w:val="none" w:sz="0" w:space="0" w:color="auto"/>
        <w:bottom w:val="none" w:sz="0" w:space="0" w:color="auto"/>
        <w:right w:val="none" w:sz="0" w:space="0" w:color="auto"/>
      </w:divBdr>
    </w:div>
    <w:div w:id="61879231">
      <w:bodyDiv w:val="1"/>
      <w:marLeft w:val="0"/>
      <w:marRight w:val="0"/>
      <w:marTop w:val="0"/>
      <w:marBottom w:val="0"/>
      <w:divBdr>
        <w:top w:val="none" w:sz="0" w:space="0" w:color="auto"/>
        <w:left w:val="none" w:sz="0" w:space="0" w:color="auto"/>
        <w:bottom w:val="none" w:sz="0" w:space="0" w:color="auto"/>
        <w:right w:val="none" w:sz="0" w:space="0" w:color="auto"/>
      </w:divBdr>
    </w:div>
    <w:div w:id="74404717">
      <w:bodyDiv w:val="1"/>
      <w:marLeft w:val="0"/>
      <w:marRight w:val="0"/>
      <w:marTop w:val="0"/>
      <w:marBottom w:val="0"/>
      <w:divBdr>
        <w:top w:val="none" w:sz="0" w:space="0" w:color="auto"/>
        <w:left w:val="none" w:sz="0" w:space="0" w:color="auto"/>
        <w:bottom w:val="none" w:sz="0" w:space="0" w:color="auto"/>
        <w:right w:val="none" w:sz="0" w:space="0" w:color="auto"/>
      </w:divBdr>
    </w:div>
    <w:div w:id="82337578">
      <w:bodyDiv w:val="1"/>
      <w:marLeft w:val="0"/>
      <w:marRight w:val="0"/>
      <w:marTop w:val="0"/>
      <w:marBottom w:val="0"/>
      <w:divBdr>
        <w:top w:val="none" w:sz="0" w:space="0" w:color="auto"/>
        <w:left w:val="none" w:sz="0" w:space="0" w:color="auto"/>
        <w:bottom w:val="none" w:sz="0" w:space="0" w:color="auto"/>
        <w:right w:val="none" w:sz="0" w:space="0" w:color="auto"/>
      </w:divBdr>
    </w:div>
    <w:div w:id="85032304">
      <w:bodyDiv w:val="1"/>
      <w:marLeft w:val="0"/>
      <w:marRight w:val="0"/>
      <w:marTop w:val="0"/>
      <w:marBottom w:val="0"/>
      <w:divBdr>
        <w:top w:val="none" w:sz="0" w:space="0" w:color="auto"/>
        <w:left w:val="none" w:sz="0" w:space="0" w:color="auto"/>
        <w:bottom w:val="none" w:sz="0" w:space="0" w:color="auto"/>
        <w:right w:val="none" w:sz="0" w:space="0" w:color="auto"/>
      </w:divBdr>
    </w:div>
    <w:div w:id="90129286">
      <w:bodyDiv w:val="1"/>
      <w:marLeft w:val="0"/>
      <w:marRight w:val="0"/>
      <w:marTop w:val="0"/>
      <w:marBottom w:val="0"/>
      <w:divBdr>
        <w:top w:val="none" w:sz="0" w:space="0" w:color="auto"/>
        <w:left w:val="none" w:sz="0" w:space="0" w:color="auto"/>
        <w:bottom w:val="none" w:sz="0" w:space="0" w:color="auto"/>
        <w:right w:val="none" w:sz="0" w:space="0" w:color="auto"/>
      </w:divBdr>
    </w:div>
    <w:div w:id="90972087">
      <w:bodyDiv w:val="1"/>
      <w:marLeft w:val="0"/>
      <w:marRight w:val="0"/>
      <w:marTop w:val="0"/>
      <w:marBottom w:val="0"/>
      <w:divBdr>
        <w:top w:val="none" w:sz="0" w:space="0" w:color="auto"/>
        <w:left w:val="none" w:sz="0" w:space="0" w:color="auto"/>
        <w:bottom w:val="none" w:sz="0" w:space="0" w:color="auto"/>
        <w:right w:val="none" w:sz="0" w:space="0" w:color="auto"/>
      </w:divBdr>
    </w:div>
    <w:div w:id="98528648">
      <w:bodyDiv w:val="1"/>
      <w:marLeft w:val="0"/>
      <w:marRight w:val="0"/>
      <w:marTop w:val="0"/>
      <w:marBottom w:val="0"/>
      <w:divBdr>
        <w:top w:val="none" w:sz="0" w:space="0" w:color="auto"/>
        <w:left w:val="none" w:sz="0" w:space="0" w:color="auto"/>
        <w:bottom w:val="none" w:sz="0" w:space="0" w:color="auto"/>
        <w:right w:val="none" w:sz="0" w:space="0" w:color="auto"/>
      </w:divBdr>
    </w:div>
    <w:div w:id="103117668">
      <w:bodyDiv w:val="1"/>
      <w:marLeft w:val="0"/>
      <w:marRight w:val="0"/>
      <w:marTop w:val="0"/>
      <w:marBottom w:val="0"/>
      <w:divBdr>
        <w:top w:val="none" w:sz="0" w:space="0" w:color="auto"/>
        <w:left w:val="none" w:sz="0" w:space="0" w:color="auto"/>
        <w:bottom w:val="none" w:sz="0" w:space="0" w:color="auto"/>
        <w:right w:val="none" w:sz="0" w:space="0" w:color="auto"/>
      </w:divBdr>
    </w:div>
    <w:div w:id="106237634">
      <w:bodyDiv w:val="1"/>
      <w:marLeft w:val="0"/>
      <w:marRight w:val="0"/>
      <w:marTop w:val="0"/>
      <w:marBottom w:val="0"/>
      <w:divBdr>
        <w:top w:val="none" w:sz="0" w:space="0" w:color="auto"/>
        <w:left w:val="none" w:sz="0" w:space="0" w:color="auto"/>
        <w:bottom w:val="none" w:sz="0" w:space="0" w:color="auto"/>
        <w:right w:val="none" w:sz="0" w:space="0" w:color="auto"/>
      </w:divBdr>
    </w:div>
    <w:div w:id="107968574">
      <w:bodyDiv w:val="1"/>
      <w:marLeft w:val="0"/>
      <w:marRight w:val="0"/>
      <w:marTop w:val="0"/>
      <w:marBottom w:val="0"/>
      <w:divBdr>
        <w:top w:val="none" w:sz="0" w:space="0" w:color="auto"/>
        <w:left w:val="none" w:sz="0" w:space="0" w:color="auto"/>
        <w:bottom w:val="none" w:sz="0" w:space="0" w:color="auto"/>
        <w:right w:val="none" w:sz="0" w:space="0" w:color="auto"/>
      </w:divBdr>
    </w:div>
    <w:div w:id="108009940">
      <w:bodyDiv w:val="1"/>
      <w:marLeft w:val="0"/>
      <w:marRight w:val="0"/>
      <w:marTop w:val="0"/>
      <w:marBottom w:val="0"/>
      <w:divBdr>
        <w:top w:val="none" w:sz="0" w:space="0" w:color="auto"/>
        <w:left w:val="none" w:sz="0" w:space="0" w:color="auto"/>
        <w:bottom w:val="none" w:sz="0" w:space="0" w:color="auto"/>
        <w:right w:val="none" w:sz="0" w:space="0" w:color="auto"/>
      </w:divBdr>
    </w:div>
    <w:div w:id="131334180">
      <w:bodyDiv w:val="1"/>
      <w:marLeft w:val="0"/>
      <w:marRight w:val="0"/>
      <w:marTop w:val="0"/>
      <w:marBottom w:val="0"/>
      <w:divBdr>
        <w:top w:val="none" w:sz="0" w:space="0" w:color="auto"/>
        <w:left w:val="none" w:sz="0" w:space="0" w:color="auto"/>
        <w:bottom w:val="none" w:sz="0" w:space="0" w:color="auto"/>
        <w:right w:val="none" w:sz="0" w:space="0" w:color="auto"/>
      </w:divBdr>
    </w:div>
    <w:div w:id="137770404">
      <w:bodyDiv w:val="1"/>
      <w:marLeft w:val="0"/>
      <w:marRight w:val="0"/>
      <w:marTop w:val="0"/>
      <w:marBottom w:val="0"/>
      <w:divBdr>
        <w:top w:val="none" w:sz="0" w:space="0" w:color="auto"/>
        <w:left w:val="none" w:sz="0" w:space="0" w:color="auto"/>
        <w:bottom w:val="none" w:sz="0" w:space="0" w:color="auto"/>
        <w:right w:val="none" w:sz="0" w:space="0" w:color="auto"/>
      </w:divBdr>
    </w:div>
    <w:div w:id="144247259">
      <w:bodyDiv w:val="1"/>
      <w:marLeft w:val="0"/>
      <w:marRight w:val="0"/>
      <w:marTop w:val="0"/>
      <w:marBottom w:val="0"/>
      <w:divBdr>
        <w:top w:val="none" w:sz="0" w:space="0" w:color="auto"/>
        <w:left w:val="none" w:sz="0" w:space="0" w:color="auto"/>
        <w:bottom w:val="none" w:sz="0" w:space="0" w:color="auto"/>
        <w:right w:val="none" w:sz="0" w:space="0" w:color="auto"/>
      </w:divBdr>
    </w:div>
    <w:div w:id="149714628">
      <w:bodyDiv w:val="1"/>
      <w:marLeft w:val="0"/>
      <w:marRight w:val="0"/>
      <w:marTop w:val="0"/>
      <w:marBottom w:val="0"/>
      <w:divBdr>
        <w:top w:val="none" w:sz="0" w:space="0" w:color="auto"/>
        <w:left w:val="none" w:sz="0" w:space="0" w:color="auto"/>
        <w:bottom w:val="none" w:sz="0" w:space="0" w:color="auto"/>
        <w:right w:val="none" w:sz="0" w:space="0" w:color="auto"/>
      </w:divBdr>
    </w:div>
    <w:div w:id="151919208">
      <w:bodyDiv w:val="1"/>
      <w:marLeft w:val="0"/>
      <w:marRight w:val="0"/>
      <w:marTop w:val="0"/>
      <w:marBottom w:val="0"/>
      <w:divBdr>
        <w:top w:val="none" w:sz="0" w:space="0" w:color="auto"/>
        <w:left w:val="none" w:sz="0" w:space="0" w:color="auto"/>
        <w:bottom w:val="none" w:sz="0" w:space="0" w:color="auto"/>
        <w:right w:val="none" w:sz="0" w:space="0" w:color="auto"/>
      </w:divBdr>
    </w:div>
    <w:div w:id="177503476">
      <w:bodyDiv w:val="1"/>
      <w:marLeft w:val="0"/>
      <w:marRight w:val="0"/>
      <w:marTop w:val="0"/>
      <w:marBottom w:val="0"/>
      <w:divBdr>
        <w:top w:val="none" w:sz="0" w:space="0" w:color="auto"/>
        <w:left w:val="none" w:sz="0" w:space="0" w:color="auto"/>
        <w:bottom w:val="none" w:sz="0" w:space="0" w:color="auto"/>
        <w:right w:val="none" w:sz="0" w:space="0" w:color="auto"/>
      </w:divBdr>
    </w:div>
    <w:div w:id="179666555">
      <w:bodyDiv w:val="1"/>
      <w:marLeft w:val="0"/>
      <w:marRight w:val="0"/>
      <w:marTop w:val="0"/>
      <w:marBottom w:val="0"/>
      <w:divBdr>
        <w:top w:val="none" w:sz="0" w:space="0" w:color="auto"/>
        <w:left w:val="none" w:sz="0" w:space="0" w:color="auto"/>
        <w:bottom w:val="none" w:sz="0" w:space="0" w:color="auto"/>
        <w:right w:val="none" w:sz="0" w:space="0" w:color="auto"/>
      </w:divBdr>
    </w:div>
    <w:div w:id="189421384">
      <w:bodyDiv w:val="1"/>
      <w:marLeft w:val="0"/>
      <w:marRight w:val="0"/>
      <w:marTop w:val="0"/>
      <w:marBottom w:val="0"/>
      <w:divBdr>
        <w:top w:val="none" w:sz="0" w:space="0" w:color="auto"/>
        <w:left w:val="none" w:sz="0" w:space="0" w:color="auto"/>
        <w:bottom w:val="none" w:sz="0" w:space="0" w:color="auto"/>
        <w:right w:val="none" w:sz="0" w:space="0" w:color="auto"/>
      </w:divBdr>
    </w:div>
    <w:div w:id="230819760">
      <w:bodyDiv w:val="1"/>
      <w:marLeft w:val="0"/>
      <w:marRight w:val="0"/>
      <w:marTop w:val="0"/>
      <w:marBottom w:val="0"/>
      <w:divBdr>
        <w:top w:val="none" w:sz="0" w:space="0" w:color="auto"/>
        <w:left w:val="none" w:sz="0" w:space="0" w:color="auto"/>
        <w:bottom w:val="none" w:sz="0" w:space="0" w:color="auto"/>
        <w:right w:val="none" w:sz="0" w:space="0" w:color="auto"/>
      </w:divBdr>
    </w:div>
    <w:div w:id="236014830">
      <w:bodyDiv w:val="1"/>
      <w:marLeft w:val="0"/>
      <w:marRight w:val="0"/>
      <w:marTop w:val="0"/>
      <w:marBottom w:val="0"/>
      <w:divBdr>
        <w:top w:val="none" w:sz="0" w:space="0" w:color="auto"/>
        <w:left w:val="none" w:sz="0" w:space="0" w:color="auto"/>
        <w:bottom w:val="none" w:sz="0" w:space="0" w:color="auto"/>
        <w:right w:val="none" w:sz="0" w:space="0" w:color="auto"/>
      </w:divBdr>
    </w:div>
    <w:div w:id="236207230">
      <w:bodyDiv w:val="1"/>
      <w:marLeft w:val="0"/>
      <w:marRight w:val="0"/>
      <w:marTop w:val="0"/>
      <w:marBottom w:val="0"/>
      <w:divBdr>
        <w:top w:val="none" w:sz="0" w:space="0" w:color="auto"/>
        <w:left w:val="none" w:sz="0" w:space="0" w:color="auto"/>
        <w:bottom w:val="none" w:sz="0" w:space="0" w:color="auto"/>
        <w:right w:val="none" w:sz="0" w:space="0" w:color="auto"/>
      </w:divBdr>
    </w:div>
    <w:div w:id="236594410">
      <w:bodyDiv w:val="1"/>
      <w:marLeft w:val="0"/>
      <w:marRight w:val="0"/>
      <w:marTop w:val="0"/>
      <w:marBottom w:val="0"/>
      <w:divBdr>
        <w:top w:val="none" w:sz="0" w:space="0" w:color="auto"/>
        <w:left w:val="none" w:sz="0" w:space="0" w:color="auto"/>
        <w:bottom w:val="none" w:sz="0" w:space="0" w:color="auto"/>
        <w:right w:val="none" w:sz="0" w:space="0" w:color="auto"/>
      </w:divBdr>
    </w:div>
    <w:div w:id="244144504">
      <w:bodyDiv w:val="1"/>
      <w:marLeft w:val="0"/>
      <w:marRight w:val="0"/>
      <w:marTop w:val="0"/>
      <w:marBottom w:val="0"/>
      <w:divBdr>
        <w:top w:val="none" w:sz="0" w:space="0" w:color="auto"/>
        <w:left w:val="none" w:sz="0" w:space="0" w:color="auto"/>
        <w:bottom w:val="none" w:sz="0" w:space="0" w:color="auto"/>
        <w:right w:val="none" w:sz="0" w:space="0" w:color="auto"/>
      </w:divBdr>
    </w:div>
    <w:div w:id="249853648">
      <w:bodyDiv w:val="1"/>
      <w:marLeft w:val="0"/>
      <w:marRight w:val="0"/>
      <w:marTop w:val="0"/>
      <w:marBottom w:val="0"/>
      <w:divBdr>
        <w:top w:val="none" w:sz="0" w:space="0" w:color="auto"/>
        <w:left w:val="none" w:sz="0" w:space="0" w:color="auto"/>
        <w:bottom w:val="none" w:sz="0" w:space="0" w:color="auto"/>
        <w:right w:val="none" w:sz="0" w:space="0" w:color="auto"/>
      </w:divBdr>
    </w:div>
    <w:div w:id="250286233">
      <w:bodyDiv w:val="1"/>
      <w:marLeft w:val="0"/>
      <w:marRight w:val="0"/>
      <w:marTop w:val="0"/>
      <w:marBottom w:val="0"/>
      <w:divBdr>
        <w:top w:val="none" w:sz="0" w:space="0" w:color="auto"/>
        <w:left w:val="none" w:sz="0" w:space="0" w:color="auto"/>
        <w:bottom w:val="none" w:sz="0" w:space="0" w:color="auto"/>
        <w:right w:val="none" w:sz="0" w:space="0" w:color="auto"/>
      </w:divBdr>
    </w:div>
    <w:div w:id="251083974">
      <w:bodyDiv w:val="1"/>
      <w:marLeft w:val="0"/>
      <w:marRight w:val="0"/>
      <w:marTop w:val="0"/>
      <w:marBottom w:val="0"/>
      <w:divBdr>
        <w:top w:val="none" w:sz="0" w:space="0" w:color="auto"/>
        <w:left w:val="none" w:sz="0" w:space="0" w:color="auto"/>
        <w:bottom w:val="none" w:sz="0" w:space="0" w:color="auto"/>
        <w:right w:val="none" w:sz="0" w:space="0" w:color="auto"/>
      </w:divBdr>
    </w:div>
    <w:div w:id="255677229">
      <w:bodyDiv w:val="1"/>
      <w:marLeft w:val="0"/>
      <w:marRight w:val="0"/>
      <w:marTop w:val="0"/>
      <w:marBottom w:val="0"/>
      <w:divBdr>
        <w:top w:val="none" w:sz="0" w:space="0" w:color="auto"/>
        <w:left w:val="none" w:sz="0" w:space="0" w:color="auto"/>
        <w:bottom w:val="none" w:sz="0" w:space="0" w:color="auto"/>
        <w:right w:val="none" w:sz="0" w:space="0" w:color="auto"/>
      </w:divBdr>
    </w:div>
    <w:div w:id="264650806">
      <w:bodyDiv w:val="1"/>
      <w:marLeft w:val="0"/>
      <w:marRight w:val="0"/>
      <w:marTop w:val="0"/>
      <w:marBottom w:val="0"/>
      <w:divBdr>
        <w:top w:val="none" w:sz="0" w:space="0" w:color="auto"/>
        <w:left w:val="none" w:sz="0" w:space="0" w:color="auto"/>
        <w:bottom w:val="none" w:sz="0" w:space="0" w:color="auto"/>
        <w:right w:val="none" w:sz="0" w:space="0" w:color="auto"/>
      </w:divBdr>
    </w:div>
    <w:div w:id="282081500">
      <w:bodyDiv w:val="1"/>
      <w:marLeft w:val="0"/>
      <w:marRight w:val="0"/>
      <w:marTop w:val="0"/>
      <w:marBottom w:val="0"/>
      <w:divBdr>
        <w:top w:val="none" w:sz="0" w:space="0" w:color="auto"/>
        <w:left w:val="none" w:sz="0" w:space="0" w:color="auto"/>
        <w:bottom w:val="none" w:sz="0" w:space="0" w:color="auto"/>
        <w:right w:val="none" w:sz="0" w:space="0" w:color="auto"/>
      </w:divBdr>
    </w:div>
    <w:div w:id="284889274">
      <w:bodyDiv w:val="1"/>
      <w:marLeft w:val="0"/>
      <w:marRight w:val="0"/>
      <w:marTop w:val="0"/>
      <w:marBottom w:val="0"/>
      <w:divBdr>
        <w:top w:val="none" w:sz="0" w:space="0" w:color="auto"/>
        <w:left w:val="none" w:sz="0" w:space="0" w:color="auto"/>
        <w:bottom w:val="none" w:sz="0" w:space="0" w:color="auto"/>
        <w:right w:val="none" w:sz="0" w:space="0" w:color="auto"/>
      </w:divBdr>
    </w:div>
    <w:div w:id="285309039">
      <w:bodyDiv w:val="1"/>
      <w:marLeft w:val="0"/>
      <w:marRight w:val="0"/>
      <w:marTop w:val="0"/>
      <w:marBottom w:val="0"/>
      <w:divBdr>
        <w:top w:val="none" w:sz="0" w:space="0" w:color="auto"/>
        <w:left w:val="none" w:sz="0" w:space="0" w:color="auto"/>
        <w:bottom w:val="none" w:sz="0" w:space="0" w:color="auto"/>
        <w:right w:val="none" w:sz="0" w:space="0" w:color="auto"/>
      </w:divBdr>
    </w:div>
    <w:div w:id="294289294">
      <w:bodyDiv w:val="1"/>
      <w:marLeft w:val="0"/>
      <w:marRight w:val="0"/>
      <w:marTop w:val="0"/>
      <w:marBottom w:val="0"/>
      <w:divBdr>
        <w:top w:val="none" w:sz="0" w:space="0" w:color="auto"/>
        <w:left w:val="none" w:sz="0" w:space="0" w:color="auto"/>
        <w:bottom w:val="none" w:sz="0" w:space="0" w:color="auto"/>
        <w:right w:val="none" w:sz="0" w:space="0" w:color="auto"/>
      </w:divBdr>
    </w:div>
    <w:div w:id="311064333">
      <w:bodyDiv w:val="1"/>
      <w:marLeft w:val="0"/>
      <w:marRight w:val="0"/>
      <w:marTop w:val="0"/>
      <w:marBottom w:val="0"/>
      <w:divBdr>
        <w:top w:val="none" w:sz="0" w:space="0" w:color="auto"/>
        <w:left w:val="none" w:sz="0" w:space="0" w:color="auto"/>
        <w:bottom w:val="none" w:sz="0" w:space="0" w:color="auto"/>
        <w:right w:val="none" w:sz="0" w:space="0" w:color="auto"/>
      </w:divBdr>
    </w:div>
    <w:div w:id="312567708">
      <w:bodyDiv w:val="1"/>
      <w:marLeft w:val="0"/>
      <w:marRight w:val="0"/>
      <w:marTop w:val="0"/>
      <w:marBottom w:val="0"/>
      <w:divBdr>
        <w:top w:val="none" w:sz="0" w:space="0" w:color="auto"/>
        <w:left w:val="none" w:sz="0" w:space="0" w:color="auto"/>
        <w:bottom w:val="none" w:sz="0" w:space="0" w:color="auto"/>
        <w:right w:val="none" w:sz="0" w:space="0" w:color="auto"/>
      </w:divBdr>
    </w:div>
    <w:div w:id="314802153">
      <w:bodyDiv w:val="1"/>
      <w:marLeft w:val="0"/>
      <w:marRight w:val="0"/>
      <w:marTop w:val="0"/>
      <w:marBottom w:val="0"/>
      <w:divBdr>
        <w:top w:val="none" w:sz="0" w:space="0" w:color="auto"/>
        <w:left w:val="none" w:sz="0" w:space="0" w:color="auto"/>
        <w:bottom w:val="none" w:sz="0" w:space="0" w:color="auto"/>
        <w:right w:val="none" w:sz="0" w:space="0" w:color="auto"/>
      </w:divBdr>
    </w:div>
    <w:div w:id="344786762">
      <w:bodyDiv w:val="1"/>
      <w:marLeft w:val="0"/>
      <w:marRight w:val="0"/>
      <w:marTop w:val="0"/>
      <w:marBottom w:val="0"/>
      <w:divBdr>
        <w:top w:val="none" w:sz="0" w:space="0" w:color="auto"/>
        <w:left w:val="none" w:sz="0" w:space="0" w:color="auto"/>
        <w:bottom w:val="none" w:sz="0" w:space="0" w:color="auto"/>
        <w:right w:val="none" w:sz="0" w:space="0" w:color="auto"/>
      </w:divBdr>
    </w:div>
    <w:div w:id="361590708">
      <w:bodyDiv w:val="1"/>
      <w:marLeft w:val="0"/>
      <w:marRight w:val="0"/>
      <w:marTop w:val="0"/>
      <w:marBottom w:val="0"/>
      <w:divBdr>
        <w:top w:val="none" w:sz="0" w:space="0" w:color="auto"/>
        <w:left w:val="none" w:sz="0" w:space="0" w:color="auto"/>
        <w:bottom w:val="none" w:sz="0" w:space="0" w:color="auto"/>
        <w:right w:val="none" w:sz="0" w:space="0" w:color="auto"/>
      </w:divBdr>
    </w:div>
    <w:div w:id="374622058">
      <w:bodyDiv w:val="1"/>
      <w:marLeft w:val="0"/>
      <w:marRight w:val="0"/>
      <w:marTop w:val="0"/>
      <w:marBottom w:val="0"/>
      <w:divBdr>
        <w:top w:val="none" w:sz="0" w:space="0" w:color="auto"/>
        <w:left w:val="none" w:sz="0" w:space="0" w:color="auto"/>
        <w:bottom w:val="none" w:sz="0" w:space="0" w:color="auto"/>
        <w:right w:val="none" w:sz="0" w:space="0" w:color="auto"/>
      </w:divBdr>
    </w:div>
    <w:div w:id="377978812">
      <w:bodyDiv w:val="1"/>
      <w:marLeft w:val="0"/>
      <w:marRight w:val="0"/>
      <w:marTop w:val="0"/>
      <w:marBottom w:val="0"/>
      <w:divBdr>
        <w:top w:val="none" w:sz="0" w:space="0" w:color="auto"/>
        <w:left w:val="none" w:sz="0" w:space="0" w:color="auto"/>
        <w:bottom w:val="none" w:sz="0" w:space="0" w:color="auto"/>
        <w:right w:val="none" w:sz="0" w:space="0" w:color="auto"/>
      </w:divBdr>
    </w:div>
    <w:div w:id="390468209">
      <w:bodyDiv w:val="1"/>
      <w:marLeft w:val="0"/>
      <w:marRight w:val="0"/>
      <w:marTop w:val="0"/>
      <w:marBottom w:val="0"/>
      <w:divBdr>
        <w:top w:val="none" w:sz="0" w:space="0" w:color="auto"/>
        <w:left w:val="none" w:sz="0" w:space="0" w:color="auto"/>
        <w:bottom w:val="none" w:sz="0" w:space="0" w:color="auto"/>
        <w:right w:val="none" w:sz="0" w:space="0" w:color="auto"/>
      </w:divBdr>
    </w:div>
    <w:div w:id="395476246">
      <w:bodyDiv w:val="1"/>
      <w:marLeft w:val="0"/>
      <w:marRight w:val="0"/>
      <w:marTop w:val="0"/>
      <w:marBottom w:val="0"/>
      <w:divBdr>
        <w:top w:val="none" w:sz="0" w:space="0" w:color="auto"/>
        <w:left w:val="none" w:sz="0" w:space="0" w:color="auto"/>
        <w:bottom w:val="none" w:sz="0" w:space="0" w:color="auto"/>
        <w:right w:val="none" w:sz="0" w:space="0" w:color="auto"/>
      </w:divBdr>
    </w:div>
    <w:div w:id="401174444">
      <w:bodyDiv w:val="1"/>
      <w:marLeft w:val="0"/>
      <w:marRight w:val="0"/>
      <w:marTop w:val="0"/>
      <w:marBottom w:val="0"/>
      <w:divBdr>
        <w:top w:val="none" w:sz="0" w:space="0" w:color="auto"/>
        <w:left w:val="none" w:sz="0" w:space="0" w:color="auto"/>
        <w:bottom w:val="none" w:sz="0" w:space="0" w:color="auto"/>
        <w:right w:val="none" w:sz="0" w:space="0" w:color="auto"/>
      </w:divBdr>
    </w:div>
    <w:div w:id="406541221">
      <w:bodyDiv w:val="1"/>
      <w:marLeft w:val="0"/>
      <w:marRight w:val="0"/>
      <w:marTop w:val="0"/>
      <w:marBottom w:val="0"/>
      <w:divBdr>
        <w:top w:val="none" w:sz="0" w:space="0" w:color="auto"/>
        <w:left w:val="none" w:sz="0" w:space="0" w:color="auto"/>
        <w:bottom w:val="none" w:sz="0" w:space="0" w:color="auto"/>
        <w:right w:val="none" w:sz="0" w:space="0" w:color="auto"/>
      </w:divBdr>
    </w:div>
    <w:div w:id="408235020">
      <w:bodyDiv w:val="1"/>
      <w:marLeft w:val="0"/>
      <w:marRight w:val="0"/>
      <w:marTop w:val="0"/>
      <w:marBottom w:val="0"/>
      <w:divBdr>
        <w:top w:val="none" w:sz="0" w:space="0" w:color="auto"/>
        <w:left w:val="none" w:sz="0" w:space="0" w:color="auto"/>
        <w:bottom w:val="none" w:sz="0" w:space="0" w:color="auto"/>
        <w:right w:val="none" w:sz="0" w:space="0" w:color="auto"/>
      </w:divBdr>
    </w:div>
    <w:div w:id="424503098">
      <w:bodyDiv w:val="1"/>
      <w:marLeft w:val="0"/>
      <w:marRight w:val="0"/>
      <w:marTop w:val="0"/>
      <w:marBottom w:val="0"/>
      <w:divBdr>
        <w:top w:val="none" w:sz="0" w:space="0" w:color="auto"/>
        <w:left w:val="none" w:sz="0" w:space="0" w:color="auto"/>
        <w:bottom w:val="none" w:sz="0" w:space="0" w:color="auto"/>
        <w:right w:val="none" w:sz="0" w:space="0" w:color="auto"/>
      </w:divBdr>
    </w:div>
    <w:div w:id="425198859">
      <w:bodyDiv w:val="1"/>
      <w:marLeft w:val="0"/>
      <w:marRight w:val="0"/>
      <w:marTop w:val="0"/>
      <w:marBottom w:val="0"/>
      <w:divBdr>
        <w:top w:val="none" w:sz="0" w:space="0" w:color="auto"/>
        <w:left w:val="none" w:sz="0" w:space="0" w:color="auto"/>
        <w:bottom w:val="none" w:sz="0" w:space="0" w:color="auto"/>
        <w:right w:val="none" w:sz="0" w:space="0" w:color="auto"/>
      </w:divBdr>
    </w:div>
    <w:div w:id="431558324">
      <w:bodyDiv w:val="1"/>
      <w:marLeft w:val="0"/>
      <w:marRight w:val="0"/>
      <w:marTop w:val="0"/>
      <w:marBottom w:val="0"/>
      <w:divBdr>
        <w:top w:val="none" w:sz="0" w:space="0" w:color="auto"/>
        <w:left w:val="none" w:sz="0" w:space="0" w:color="auto"/>
        <w:bottom w:val="none" w:sz="0" w:space="0" w:color="auto"/>
        <w:right w:val="none" w:sz="0" w:space="0" w:color="auto"/>
      </w:divBdr>
    </w:div>
    <w:div w:id="444890714">
      <w:bodyDiv w:val="1"/>
      <w:marLeft w:val="0"/>
      <w:marRight w:val="0"/>
      <w:marTop w:val="0"/>
      <w:marBottom w:val="0"/>
      <w:divBdr>
        <w:top w:val="none" w:sz="0" w:space="0" w:color="auto"/>
        <w:left w:val="none" w:sz="0" w:space="0" w:color="auto"/>
        <w:bottom w:val="none" w:sz="0" w:space="0" w:color="auto"/>
        <w:right w:val="none" w:sz="0" w:space="0" w:color="auto"/>
      </w:divBdr>
    </w:div>
    <w:div w:id="457644566">
      <w:bodyDiv w:val="1"/>
      <w:marLeft w:val="0"/>
      <w:marRight w:val="0"/>
      <w:marTop w:val="0"/>
      <w:marBottom w:val="0"/>
      <w:divBdr>
        <w:top w:val="none" w:sz="0" w:space="0" w:color="auto"/>
        <w:left w:val="none" w:sz="0" w:space="0" w:color="auto"/>
        <w:bottom w:val="none" w:sz="0" w:space="0" w:color="auto"/>
        <w:right w:val="none" w:sz="0" w:space="0" w:color="auto"/>
      </w:divBdr>
    </w:div>
    <w:div w:id="462238980">
      <w:bodyDiv w:val="1"/>
      <w:marLeft w:val="0"/>
      <w:marRight w:val="0"/>
      <w:marTop w:val="0"/>
      <w:marBottom w:val="0"/>
      <w:divBdr>
        <w:top w:val="none" w:sz="0" w:space="0" w:color="auto"/>
        <w:left w:val="none" w:sz="0" w:space="0" w:color="auto"/>
        <w:bottom w:val="none" w:sz="0" w:space="0" w:color="auto"/>
        <w:right w:val="none" w:sz="0" w:space="0" w:color="auto"/>
      </w:divBdr>
    </w:div>
    <w:div w:id="470175207">
      <w:bodyDiv w:val="1"/>
      <w:marLeft w:val="0"/>
      <w:marRight w:val="0"/>
      <w:marTop w:val="0"/>
      <w:marBottom w:val="0"/>
      <w:divBdr>
        <w:top w:val="none" w:sz="0" w:space="0" w:color="auto"/>
        <w:left w:val="none" w:sz="0" w:space="0" w:color="auto"/>
        <w:bottom w:val="none" w:sz="0" w:space="0" w:color="auto"/>
        <w:right w:val="none" w:sz="0" w:space="0" w:color="auto"/>
      </w:divBdr>
    </w:div>
    <w:div w:id="478376541">
      <w:bodyDiv w:val="1"/>
      <w:marLeft w:val="0"/>
      <w:marRight w:val="0"/>
      <w:marTop w:val="0"/>
      <w:marBottom w:val="0"/>
      <w:divBdr>
        <w:top w:val="none" w:sz="0" w:space="0" w:color="auto"/>
        <w:left w:val="none" w:sz="0" w:space="0" w:color="auto"/>
        <w:bottom w:val="none" w:sz="0" w:space="0" w:color="auto"/>
        <w:right w:val="none" w:sz="0" w:space="0" w:color="auto"/>
      </w:divBdr>
    </w:div>
    <w:div w:id="481890293">
      <w:bodyDiv w:val="1"/>
      <w:marLeft w:val="0"/>
      <w:marRight w:val="0"/>
      <w:marTop w:val="0"/>
      <w:marBottom w:val="0"/>
      <w:divBdr>
        <w:top w:val="none" w:sz="0" w:space="0" w:color="auto"/>
        <w:left w:val="none" w:sz="0" w:space="0" w:color="auto"/>
        <w:bottom w:val="none" w:sz="0" w:space="0" w:color="auto"/>
        <w:right w:val="none" w:sz="0" w:space="0" w:color="auto"/>
      </w:divBdr>
    </w:div>
    <w:div w:id="488912067">
      <w:bodyDiv w:val="1"/>
      <w:marLeft w:val="0"/>
      <w:marRight w:val="0"/>
      <w:marTop w:val="0"/>
      <w:marBottom w:val="0"/>
      <w:divBdr>
        <w:top w:val="none" w:sz="0" w:space="0" w:color="auto"/>
        <w:left w:val="none" w:sz="0" w:space="0" w:color="auto"/>
        <w:bottom w:val="none" w:sz="0" w:space="0" w:color="auto"/>
        <w:right w:val="none" w:sz="0" w:space="0" w:color="auto"/>
      </w:divBdr>
    </w:div>
    <w:div w:id="489371773">
      <w:bodyDiv w:val="1"/>
      <w:marLeft w:val="0"/>
      <w:marRight w:val="0"/>
      <w:marTop w:val="0"/>
      <w:marBottom w:val="0"/>
      <w:divBdr>
        <w:top w:val="none" w:sz="0" w:space="0" w:color="auto"/>
        <w:left w:val="none" w:sz="0" w:space="0" w:color="auto"/>
        <w:bottom w:val="none" w:sz="0" w:space="0" w:color="auto"/>
        <w:right w:val="none" w:sz="0" w:space="0" w:color="auto"/>
      </w:divBdr>
    </w:div>
    <w:div w:id="519200411">
      <w:bodyDiv w:val="1"/>
      <w:marLeft w:val="0"/>
      <w:marRight w:val="0"/>
      <w:marTop w:val="0"/>
      <w:marBottom w:val="0"/>
      <w:divBdr>
        <w:top w:val="none" w:sz="0" w:space="0" w:color="auto"/>
        <w:left w:val="none" w:sz="0" w:space="0" w:color="auto"/>
        <w:bottom w:val="none" w:sz="0" w:space="0" w:color="auto"/>
        <w:right w:val="none" w:sz="0" w:space="0" w:color="auto"/>
      </w:divBdr>
    </w:div>
    <w:div w:id="527261474">
      <w:bodyDiv w:val="1"/>
      <w:marLeft w:val="0"/>
      <w:marRight w:val="0"/>
      <w:marTop w:val="0"/>
      <w:marBottom w:val="0"/>
      <w:divBdr>
        <w:top w:val="none" w:sz="0" w:space="0" w:color="auto"/>
        <w:left w:val="none" w:sz="0" w:space="0" w:color="auto"/>
        <w:bottom w:val="none" w:sz="0" w:space="0" w:color="auto"/>
        <w:right w:val="none" w:sz="0" w:space="0" w:color="auto"/>
      </w:divBdr>
    </w:div>
    <w:div w:id="533426130">
      <w:bodyDiv w:val="1"/>
      <w:marLeft w:val="0"/>
      <w:marRight w:val="0"/>
      <w:marTop w:val="0"/>
      <w:marBottom w:val="0"/>
      <w:divBdr>
        <w:top w:val="none" w:sz="0" w:space="0" w:color="auto"/>
        <w:left w:val="none" w:sz="0" w:space="0" w:color="auto"/>
        <w:bottom w:val="none" w:sz="0" w:space="0" w:color="auto"/>
        <w:right w:val="none" w:sz="0" w:space="0" w:color="auto"/>
      </w:divBdr>
    </w:div>
    <w:div w:id="550925368">
      <w:bodyDiv w:val="1"/>
      <w:marLeft w:val="0"/>
      <w:marRight w:val="0"/>
      <w:marTop w:val="0"/>
      <w:marBottom w:val="0"/>
      <w:divBdr>
        <w:top w:val="none" w:sz="0" w:space="0" w:color="auto"/>
        <w:left w:val="none" w:sz="0" w:space="0" w:color="auto"/>
        <w:bottom w:val="none" w:sz="0" w:space="0" w:color="auto"/>
        <w:right w:val="none" w:sz="0" w:space="0" w:color="auto"/>
      </w:divBdr>
    </w:div>
    <w:div w:id="564920976">
      <w:bodyDiv w:val="1"/>
      <w:marLeft w:val="0"/>
      <w:marRight w:val="0"/>
      <w:marTop w:val="0"/>
      <w:marBottom w:val="0"/>
      <w:divBdr>
        <w:top w:val="none" w:sz="0" w:space="0" w:color="auto"/>
        <w:left w:val="none" w:sz="0" w:space="0" w:color="auto"/>
        <w:bottom w:val="none" w:sz="0" w:space="0" w:color="auto"/>
        <w:right w:val="none" w:sz="0" w:space="0" w:color="auto"/>
      </w:divBdr>
    </w:div>
    <w:div w:id="573052481">
      <w:bodyDiv w:val="1"/>
      <w:marLeft w:val="0"/>
      <w:marRight w:val="0"/>
      <w:marTop w:val="0"/>
      <w:marBottom w:val="0"/>
      <w:divBdr>
        <w:top w:val="none" w:sz="0" w:space="0" w:color="auto"/>
        <w:left w:val="none" w:sz="0" w:space="0" w:color="auto"/>
        <w:bottom w:val="none" w:sz="0" w:space="0" w:color="auto"/>
        <w:right w:val="none" w:sz="0" w:space="0" w:color="auto"/>
      </w:divBdr>
    </w:div>
    <w:div w:id="597518159">
      <w:bodyDiv w:val="1"/>
      <w:marLeft w:val="0"/>
      <w:marRight w:val="0"/>
      <w:marTop w:val="0"/>
      <w:marBottom w:val="0"/>
      <w:divBdr>
        <w:top w:val="none" w:sz="0" w:space="0" w:color="auto"/>
        <w:left w:val="none" w:sz="0" w:space="0" w:color="auto"/>
        <w:bottom w:val="none" w:sz="0" w:space="0" w:color="auto"/>
        <w:right w:val="none" w:sz="0" w:space="0" w:color="auto"/>
      </w:divBdr>
    </w:div>
    <w:div w:id="598414884">
      <w:bodyDiv w:val="1"/>
      <w:marLeft w:val="0"/>
      <w:marRight w:val="0"/>
      <w:marTop w:val="0"/>
      <w:marBottom w:val="0"/>
      <w:divBdr>
        <w:top w:val="none" w:sz="0" w:space="0" w:color="auto"/>
        <w:left w:val="none" w:sz="0" w:space="0" w:color="auto"/>
        <w:bottom w:val="none" w:sz="0" w:space="0" w:color="auto"/>
        <w:right w:val="none" w:sz="0" w:space="0" w:color="auto"/>
      </w:divBdr>
    </w:div>
    <w:div w:id="601498323">
      <w:bodyDiv w:val="1"/>
      <w:marLeft w:val="0"/>
      <w:marRight w:val="0"/>
      <w:marTop w:val="0"/>
      <w:marBottom w:val="0"/>
      <w:divBdr>
        <w:top w:val="none" w:sz="0" w:space="0" w:color="auto"/>
        <w:left w:val="none" w:sz="0" w:space="0" w:color="auto"/>
        <w:bottom w:val="none" w:sz="0" w:space="0" w:color="auto"/>
        <w:right w:val="none" w:sz="0" w:space="0" w:color="auto"/>
      </w:divBdr>
    </w:div>
    <w:div w:id="606234361">
      <w:bodyDiv w:val="1"/>
      <w:marLeft w:val="0"/>
      <w:marRight w:val="0"/>
      <w:marTop w:val="0"/>
      <w:marBottom w:val="0"/>
      <w:divBdr>
        <w:top w:val="none" w:sz="0" w:space="0" w:color="auto"/>
        <w:left w:val="none" w:sz="0" w:space="0" w:color="auto"/>
        <w:bottom w:val="none" w:sz="0" w:space="0" w:color="auto"/>
        <w:right w:val="none" w:sz="0" w:space="0" w:color="auto"/>
      </w:divBdr>
    </w:div>
    <w:div w:id="632637389">
      <w:bodyDiv w:val="1"/>
      <w:marLeft w:val="0"/>
      <w:marRight w:val="0"/>
      <w:marTop w:val="0"/>
      <w:marBottom w:val="0"/>
      <w:divBdr>
        <w:top w:val="none" w:sz="0" w:space="0" w:color="auto"/>
        <w:left w:val="none" w:sz="0" w:space="0" w:color="auto"/>
        <w:bottom w:val="none" w:sz="0" w:space="0" w:color="auto"/>
        <w:right w:val="none" w:sz="0" w:space="0" w:color="auto"/>
      </w:divBdr>
    </w:div>
    <w:div w:id="637299816">
      <w:bodyDiv w:val="1"/>
      <w:marLeft w:val="0"/>
      <w:marRight w:val="0"/>
      <w:marTop w:val="0"/>
      <w:marBottom w:val="0"/>
      <w:divBdr>
        <w:top w:val="none" w:sz="0" w:space="0" w:color="auto"/>
        <w:left w:val="none" w:sz="0" w:space="0" w:color="auto"/>
        <w:bottom w:val="none" w:sz="0" w:space="0" w:color="auto"/>
        <w:right w:val="none" w:sz="0" w:space="0" w:color="auto"/>
      </w:divBdr>
    </w:div>
    <w:div w:id="642004247">
      <w:bodyDiv w:val="1"/>
      <w:marLeft w:val="0"/>
      <w:marRight w:val="0"/>
      <w:marTop w:val="0"/>
      <w:marBottom w:val="0"/>
      <w:divBdr>
        <w:top w:val="none" w:sz="0" w:space="0" w:color="auto"/>
        <w:left w:val="none" w:sz="0" w:space="0" w:color="auto"/>
        <w:bottom w:val="none" w:sz="0" w:space="0" w:color="auto"/>
        <w:right w:val="none" w:sz="0" w:space="0" w:color="auto"/>
      </w:divBdr>
    </w:div>
    <w:div w:id="652411694">
      <w:bodyDiv w:val="1"/>
      <w:marLeft w:val="0"/>
      <w:marRight w:val="0"/>
      <w:marTop w:val="0"/>
      <w:marBottom w:val="0"/>
      <w:divBdr>
        <w:top w:val="none" w:sz="0" w:space="0" w:color="auto"/>
        <w:left w:val="none" w:sz="0" w:space="0" w:color="auto"/>
        <w:bottom w:val="none" w:sz="0" w:space="0" w:color="auto"/>
        <w:right w:val="none" w:sz="0" w:space="0" w:color="auto"/>
      </w:divBdr>
    </w:div>
    <w:div w:id="653492184">
      <w:bodyDiv w:val="1"/>
      <w:marLeft w:val="0"/>
      <w:marRight w:val="0"/>
      <w:marTop w:val="0"/>
      <w:marBottom w:val="0"/>
      <w:divBdr>
        <w:top w:val="none" w:sz="0" w:space="0" w:color="auto"/>
        <w:left w:val="none" w:sz="0" w:space="0" w:color="auto"/>
        <w:bottom w:val="none" w:sz="0" w:space="0" w:color="auto"/>
        <w:right w:val="none" w:sz="0" w:space="0" w:color="auto"/>
      </w:divBdr>
    </w:div>
    <w:div w:id="654724150">
      <w:bodyDiv w:val="1"/>
      <w:marLeft w:val="0"/>
      <w:marRight w:val="0"/>
      <w:marTop w:val="0"/>
      <w:marBottom w:val="0"/>
      <w:divBdr>
        <w:top w:val="none" w:sz="0" w:space="0" w:color="auto"/>
        <w:left w:val="none" w:sz="0" w:space="0" w:color="auto"/>
        <w:bottom w:val="none" w:sz="0" w:space="0" w:color="auto"/>
        <w:right w:val="none" w:sz="0" w:space="0" w:color="auto"/>
      </w:divBdr>
    </w:div>
    <w:div w:id="669523676">
      <w:bodyDiv w:val="1"/>
      <w:marLeft w:val="0"/>
      <w:marRight w:val="0"/>
      <w:marTop w:val="0"/>
      <w:marBottom w:val="0"/>
      <w:divBdr>
        <w:top w:val="none" w:sz="0" w:space="0" w:color="auto"/>
        <w:left w:val="none" w:sz="0" w:space="0" w:color="auto"/>
        <w:bottom w:val="none" w:sz="0" w:space="0" w:color="auto"/>
        <w:right w:val="none" w:sz="0" w:space="0" w:color="auto"/>
      </w:divBdr>
    </w:div>
    <w:div w:id="682050780">
      <w:bodyDiv w:val="1"/>
      <w:marLeft w:val="0"/>
      <w:marRight w:val="0"/>
      <w:marTop w:val="0"/>
      <w:marBottom w:val="0"/>
      <w:divBdr>
        <w:top w:val="none" w:sz="0" w:space="0" w:color="auto"/>
        <w:left w:val="none" w:sz="0" w:space="0" w:color="auto"/>
        <w:bottom w:val="none" w:sz="0" w:space="0" w:color="auto"/>
        <w:right w:val="none" w:sz="0" w:space="0" w:color="auto"/>
      </w:divBdr>
    </w:div>
    <w:div w:id="684792233">
      <w:bodyDiv w:val="1"/>
      <w:marLeft w:val="0"/>
      <w:marRight w:val="0"/>
      <w:marTop w:val="0"/>
      <w:marBottom w:val="0"/>
      <w:divBdr>
        <w:top w:val="none" w:sz="0" w:space="0" w:color="auto"/>
        <w:left w:val="none" w:sz="0" w:space="0" w:color="auto"/>
        <w:bottom w:val="none" w:sz="0" w:space="0" w:color="auto"/>
        <w:right w:val="none" w:sz="0" w:space="0" w:color="auto"/>
      </w:divBdr>
    </w:div>
    <w:div w:id="689137649">
      <w:bodyDiv w:val="1"/>
      <w:marLeft w:val="0"/>
      <w:marRight w:val="0"/>
      <w:marTop w:val="0"/>
      <w:marBottom w:val="0"/>
      <w:divBdr>
        <w:top w:val="none" w:sz="0" w:space="0" w:color="auto"/>
        <w:left w:val="none" w:sz="0" w:space="0" w:color="auto"/>
        <w:bottom w:val="none" w:sz="0" w:space="0" w:color="auto"/>
        <w:right w:val="none" w:sz="0" w:space="0" w:color="auto"/>
      </w:divBdr>
    </w:div>
    <w:div w:id="703989044">
      <w:bodyDiv w:val="1"/>
      <w:marLeft w:val="0"/>
      <w:marRight w:val="0"/>
      <w:marTop w:val="0"/>
      <w:marBottom w:val="0"/>
      <w:divBdr>
        <w:top w:val="none" w:sz="0" w:space="0" w:color="auto"/>
        <w:left w:val="none" w:sz="0" w:space="0" w:color="auto"/>
        <w:bottom w:val="none" w:sz="0" w:space="0" w:color="auto"/>
        <w:right w:val="none" w:sz="0" w:space="0" w:color="auto"/>
      </w:divBdr>
    </w:div>
    <w:div w:id="713701149">
      <w:bodyDiv w:val="1"/>
      <w:marLeft w:val="0"/>
      <w:marRight w:val="0"/>
      <w:marTop w:val="0"/>
      <w:marBottom w:val="0"/>
      <w:divBdr>
        <w:top w:val="none" w:sz="0" w:space="0" w:color="auto"/>
        <w:left w:val="none" w:sz="0" w:space="0" w:color="auto"/>
        <w:bottom w:val="none" w:sz="0" w:space="0" w:color="auto"/>
        <w:right w:val="none" w:sz="0" w:space="0" w:color="auto"/>
      </w:divBdr>
    </w:div>
    <w:div w:id="715738515">
      <w:bodyDiv w:val="1"/>
      <w:marLeft w:val="0"/>
      <w:marRight w:val="0"/>
      <w:marTop w:val="0"/>
      <w:marBottom w:val="0"/>
      <w:divBdr>
        <w:top w:val="none" w:sz="0" w:space="0" w:color="auto"/>
        <w:left w:val="none" w:sz="0" w:space="0" w:color="auto"/>
        <w:bottom w:val="none" w:sz="0" w:space="0" w:color="auto"/>
        <w:right w:val="none" w:sz="0" w:space="0" w:color="auto"/>
      </w:divBdr>
    </w:div>
    <w:div w:id="736826768">
      <w:bodyDiv w:val="1"/>
      <w:marLeft w:val="0"/>
      <w:marRight w:val="0"/>
      <w:marTop w:val="0"/>
      <w:marBottom w:val="0"/>
      <w:divBdr>
        <w:top w:val="none" w:sz="0" w:space="0" w:color="auto"/>
        <w:left w:val="none" w:sz="0" w:space="0" w:color="auto"/>
        <w:bottom w:val="none" w:sz="0" w:space="0" w:color="auto"/>
        <w:right w:val="none" w:sz="0" w:space="0" w:color="auto"/>
      </w:divBdr>
    </w:div>
    <w:div w:id="770398848">
      <w:bodyDiv w:val="1"/>
      <w:marLeft w:val="0"/>
      <w:marRight w:val="0"/>
      <w:marTop w:val="0"/>
      <w:marBottom w:val="0"/>
      <w:divBdr>
        <w:top w:val="none" w:sz="0" w:space="0" w:color="auto"/>
        <w:left w:val="none" w:sz="0" w:space="0" w:color="auto"/>
        <w:bottom w:val="none" w:sz="0" w:space="0" w:color="auto"/>
        <w:right w:val="none" w:sz="0" w:space="0" w:color="auto"/>
      </w:divBdr>
    </w:div>
    <w:div w:id="784428763">
      <w:bodyDiv w:val="1"/>
      <w:marLeft w:val="0"/>
      <w:marRight w:val="0"/>
      <w:marTop w:val="0"/>
      <w:marBottom w:val="0"/>
      <w:divBdr>
        <w:top w:val="none" w:sz="0" w:space="0" w:color="auto"/>
        <w:left w:val="none" w:sz="0" w:space="0" w:color="auto"/>
        <w:bottom w:val="none" w:sz="0" w:space="0" w:color="auto"/>
        <w:right w:val="none" w:sz="0" w:space="0" w:color="auto"/>
      </w:divBdr>
    </w:div>
    <w:div w:id="808132897">
      <w:bodyDiv w:val="1"/>
      <w:marLeft w:val="0"/>
      <w:marRight w:val="0"/>
      <w:marTop w:val="0"/>
      <w:marBottom w:val="0"/>
      <w:divBdr>
        <w:top w:val="none" w:sz="0" w:space="0" w:color="auto"/>
        <w:left w:val="none" w:sz="0" w:space="0" w:color="auto"/>
        <w:bottom w:val="none" w:sz="0" w:space="0" w:color="auto"/>
        <w:right w:val="none" w:sz="0" w:space="0" w:color="auto"/>
      </w:divBdr>
    </w:div>
    <w:div w:id="812988011">
      <w:bodyDiv w:val="1"/>
      <w:marLeft w:val="0"/>
      <w:marRight w:val="0"/>
      <w:marTop w:val="0"/>
      <w:marBottom w:val="0"/>
      <w:divBdr>
        <w:top w:val="none" w:sz="0" w:space="0" w:color="auto"/>
        <w:left w:val="none" w:sz="0" w:space="0" w:color="auto"/>
        <w:bottom w:val="none" w:sz="0" w:space="0" w:color="auto"/>
        <w:right w:val="none" w:sz="0" w:space="0" w:color="auto"/>
      </w:divBdr>
    </w:div>
    <w:div w:id="818309551">
      <w:bodyDiv w:val="1"/>
      <w:marLeft w:val="0"/>
      <w:marRight w:val="0"/>
      <w:marTop w:val="0"/>
      <w:marBottom w:val="0"/>
      <w:divBdr>
        <w:top w:val="none" w:sz="0" w:space="0" w:color="auto"/>
        <w:left w:val="none" w:sz="0" w:space="0" w:color="auto"/>
        <w:bottom w:val="none" w:sz="0" w:space="0" w:color="auto"/>
        <w:right w:val="none" w:sz="0" w:space="0" w:color="auto"/>
      </w:divBdr>
    </w:div>
    <w:div w:id="833302652">
      <w:bodyDiv w:val="1"/>
      <w:marLeft w:val="0"/>
      <w:marRight w:val="0"/>
      <w:marTop w:val="0"/>
      <w:marBottom w:val="0"/>
      <w:divBdr>
        <w:top w:val="none" w:sz="0" w:space="0" w:color="auto"/>
        <w:left w:val="none" w:sz="0" w:space="0" w:color="auto"/>
        <w:bottom w:val="none" w:sz="0" w:space="0" w:color="auto"/>
        <w:right w:val="none" w:sz="0" w:space="0" w:color="auto"/>
      </w:divBdr>
    </w:div>
    <w:div w:id="845899195">
      <w:bodyDiv w:val="1"/>
      <w:marLeft w:val="0"/>
      <w:marRight w:val="0"/>
      <w:marTop w:val="0"/>
      <w:marBottom w:val="0"/>
      <w:divBdr>
        <w:top w:val="none" w:sz="0" w:space="0" w:color="auto"/>
        <w:left w:val="none" w:sz="0" w:space="0" w:color="auto"/>
        <w:bottom w:val="none" w:sz="0" w:space="0" w:color="auto"/>
        <w:right w:val="none" w:sz="0" w:space="0" w:color="auto"/>
      </w:divBdr>
    </w:div>
    <w:div w:id="851650713">
      <w:bodyDiv w:val="1"/>
      <w:marLeft w:val="0"/>
      <w:marRight w:val="0"/>
      <w:marTop w:val="0"/>
      <w:marBottom w:val="0"/>
      <w:divBdr>
        <w:top w:val="none" w:sz="0" w:space="0" w:color="auto"/>
        <w:left w:val="none" w:sz="0" w:space="0" w:color="auto"/>
        <w:bottom w:val="none" w:sz="0" w:space="0" w:color="auto"/>
        <w:right w:val="none" w:sz="0" w:space="0" w:color="auto"/>
      </w:divBdr>
    </w:div>
    <w:div w:id="851990258">
      <w:bodyDiv w:val="1"/>
      <w:marLeft w:val="0"/>
      <w:marRight w:val="0"/>
      <w:marTop w:val="0"/>
      <w:marBottom w:val="0"/>
      <w:divBdr>
        <w:top w:val="none" w:sz="0" w:space="0" w:color="auto"/>
        <w:left w:val="none" w:sz="0" w:space="0" w:color="auto"/>
        <w:bottom w:val="none" w:sz="0" w:space="0" w:color="auto"/>
        <w:right w:val="none" w:sz="0" w:space="0" w:color="auto"/>
      </w:divBdr>
    </w:div>
    <w:div w:id="859513126">
      <w:bodyDiv w:val="1"/>
      <w:marLeft w:val="0"/>
      <w:marRight w:val="0"/>
      <w:marTop w:val="0"/>
      <w:marBottom w:val="0"/>
      <w:divBdr>
        <w:top w:val="none" w:sz="0" w:space="0" w:color="auto"/>
        <w:left w:val="none" w:sz="0" w:space="0" w:color="auto"/>
        <w:bottom w:val="none" w:sz="0" w:space="0" w:color="auto"/>
        <w:right w:val="none" w:sz="0" w:space="0" w:color="auto"/>
      </w:divBdr>
    </w:div>
    <w:div w:id="862519345">
      <w:bodyDiv w:val="1"/>
      <w:marLeft w:val="0"/>
      <w:marRight w:val="0"/>
      <w:marTop w:val="0"/>
      <w:marBottom w:val="0"/>
      <w:divBdr>
        <w:top w:val="none" w:sz="0" w:space="0" w:color="auto"/>
        <w:left w:val="none" w:sz="0" w:space="0" w:color="auto"/>
        <w:bottom w:val="none" w:sz="0" w:space="0" w:color="auto"/>
        <w:right w:val="none" w:sz="0" w:space="0" w:color="auto"/>
      </w:divBdr>
      <w:divsChild>
        <w:div w:id="86578591">
          <w:marLeft w:val="0"/>
          <w:marRight w:val="0"/>
          <w:marTop w:val="0"/>
          <w:marBottom w:val="0"/>
          <w:divBdr>
            <w:top w:val="single" w:sz="2" w:space="0" w:color="auto"/>
            <w:left w:val="single" w:sz="2" w:space="0" w:color="auto"/>
            <w:bottom w:val="single" w:sz="6" w:space="0" w:color="auto"/>
            <w:right w:val="single" w:sz="2" w:space="0" w:color="auto"/>
          </w:divBdr>
          <w:divsChild>
            <w:div w:id="602692054">
              <w:marLeft w:val="0"/>
              <w:marRight w:val="0"/>
              <w:marTop w:val="0"/>
              <w:marBottom w:val="0"/>
              <w:divBdr>
                <w:top w:val="none" w:sz="0" w:space="0" w:color="auto"/>
                <w:left w:val="none" w:sz="0" w:space="0" w:color="auto"/>
                <w:bottom w:val="none" w:sz="0" w:space="0" w:color="auto"/>
                <w:right w:val="none" w:sz="0" w:space="0" w:color="auto"/>
              </w:divBdr>
              <w:divsChild>
                <w:div w:id="158453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579026">
          <w:marLeft w:val="0"/>
          <w:marRight w:val="0"/>
          <w:marTop w:val="0"/>
          <w:marBottom w:val="0"/>
          <w:divBdr>
            <w:top w:val="single" w:sz="2" w:space="0" w:color="auto"/>
            <w:left w:val="single" w:sz="2" w:space="0" w:color="auto"/>
            <w:bottom w:val="single" w:sz="6" w:space="0" w:color="auto"/>
            <w:right w:val="single" w:sz="2" w:space="0" w:color="auto"/>
          </w:divBdr>
          <w:divsChild>
            <w:div w:id="1108433490">
              <w:marLeft w:val="0"/>
              <w:marRight w:val="0"/>
              <w:marTop w:val="0"/>
              <w:marBottom w:val="0"/>
              <w:divBdr>
                <w:top w:val="none" w:sz="0" w:space="0" w:color="auto"/>
                <w:left w:val="none" w:sz="0" w:space="0" w:color="auto"/>
                <w:bottom w:val="none" w:sz="0" w:space="0" w:color="auto"/>
                <w:right w:val="none" w:sz="0" w:space="0" w:color="auto"/>
              </w:divBdr>
              <w:divsChild>
                <w:div w:id="12303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746755">
          <w:marLeft w:val="0"/>
          <w:marRight w:val="0"/>
          <w:marTop w:val="0"/>
          <w:marBottom w:val="0"/>
          <w:divBdr>
            <w:top w:val="single" w:sz="2" w:space="0" w:color="auto"/>
            <w:left w:val="single" w:sz="2" w:space="0" w:color="auto"/>
            <w:bottom w:val="single" w:sz="6" w:space="0" w:color="auto"/>
            <w:right w:val="single" w:sz="2" w:space="0" w:color="auto"/>
          </w:divBdr>
          <w:divsChild>
            <w:div w:id="2118938556">
              <w:marLeft w:val="0"/>
              <w:marRight w:val="0"/>
              <w:marTop w:val="0"/>
              <w:marBottom w:val="0"/>
              <w:divBdr>
                <w:top w:val="none" w:sz="0" w:space="0" w:color="auto"/>
                <w:left w:val="none" w:sz="0" w:space="0" w:color="auto"/>
                <w:bottom w:val="none" w:sz="0" w:space="0" w:color="auto"/>
                <w:right w:val="none" w:sz="0" w:space="0" w:color="auto"/>
              </w:divBdr>
              <w:divsChild>
                <w:div w:id="191046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937603">
          <w:marLeft w:val="0"/>
          <w:marRight w:val="0"/>
          <w:marTop w:val="0"/>
          <w:marBottom w:val="0"/>
          <w:divBdr>
            <w:top w:val="single" w:sz="2" w:space="0" w:color="auto"/>
            <w:left w:val="single" w:sz="2" w:space="0" w:color="auto"/>
            <w:bottom w:val="single" w:sz="6" w:space="0" w:color="auto"/>
            <w:right w:val="single" w:sz="2" w:space="0" w:color="auto"/>
          </w:divBdr>
          <w:divsChild>
            <w:div w:id="2036733836">
              <w:marLeft w:val="0"/>
              <w:marRight w:val="0"/>
              <w:marTop w:val="0"/>
              <w:marBottom w:val="0"/>
              <w:divBdr>
                <w:top w:val="none" w:sz="0" w:space="0" w:color="auto"/>
                <w:left w:val="none" w:sz="0" w:space="0" w:color="auto"/>
                <w:bottom w:val="none" w:sz="0" w:space="0" w:color="auto"/>
                <w:right w:val="none" w:sz="0" w:space="0" w:color="auto"/>
              </w:divBdr>
              <w:divsChild>
                <w:div w:id="73427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1572702">
      <w:bodyDiv w:val="1"/>
      <w:marLeft w:val="0"/>
      <w:marRight w:val="0"/>
      <w:marTop w:val="0"/>
      <w:marBottom w:val="0"/>
      <w:divBdr>
        <w:top w:val="none" w:sz="0" w:space="0" w:color="auto"/>
        <w:left w:val="none" w:sz="0" w:space="0" w:color="auto"/>
        <w:bottom w:val="none" w:sz="0" w:space="0" w:color="auto"/>
        <w:right w:val="none" w:sz="0" w:space="0" w:color="auto"/>
      </w:divBdr>
    </w:div>
    <w:div w:id="877351631">
      <w:bodyDiv w:val="1"/>
      <w:marLeft w:val="0"/>
      <w:marRight w:val="0"/>
      <w:marTop w:val="0"/>
      <w:marBottom w:val="0"/>
      <w:divBdr>
        <w:top w:val="none" w:sz="0" w:space="0" w:color="auto"/>
        <w:left w:val="none" w:sz="0" w:space="0" w:color="auto"/>
        <w:bottom w:val="none" w:sz="0" w:space="0" w:color="auto"/>
        <w:right w:val="none" w:sz="0" w:space="0" w:color="auto"/>
      </w:divBdr>
    </w:div>
    <w:div w:id="886717142">
      <w:bodyDiv w:val="1"/>
      <w:marLeft w:val="0"/>
      <w:marRight w:val="0"/>
      <w:marTop w:val="0"/>
      <w:marBottom w:val="0"/>
      <w:divBdr>
        <w:top w:val="none" w:sz="0" w:space="0" w:color="auto"/>
        <w:left w:val="none" w:sz="0" w:space="0" w:color="auto"/>
        <w:bottom w:val="none" w:sz="0" w:space="0" w:color="auto"/>
        <w:right w:val="none" w:sz="0" w:space="0" w:color="auto"/>
      </w:divBdr>
    </w:div>
    <w:div w:id="893733276">
      <w:bodyDiv w:val="1"/>
      <w:marLeft w:val="0"/>
      <w:marRight w:val="0"/>
      <w:marTop w:val="0"/>
      <w:marBottom w:val="0"/>
      <w:divBdr>
        <w:top w:val="none" w:sz="0" w:space="0" w:color="auto"/>
        <w:left w:val="none" w:sz="0" w:space="0" w:color="auto"/>
        <w:bottom w:val="none" w:sz="0" w:space="0" w:color="auto"/>
        <w:right w:val="none" w:sz="0" w:space="0" w:color="auto"/>
      </w:divBdr>
    </w:div>
    <w:div w:id="899559357">
      <w:bodyDiv w:val="1"/>
      <w:marLeft w:val="0"/>
      <w:marRight w:val="0"/>
      <w:marTop w:val="0"/>
      <w:marBottom w:val="0"/>
      <w:divBdr>
        <w:top w:val="none" w:sz="0" w:space="0" w:color="auto"/>
        <w:left w:val="none" w:sz="0" w:space="0" w:color="auto"/>
        <w:bottom w:val="none" w:sz="0" w:space="0" w:color="auto"/>
        <w:right w:val="none" w:sz="0" w:space="0" w:color="auto"/>
      </w:divBdr>
    </w:div>
    <w:div w:id="901713949">
      <w:bodyDiv w:val="1"/>
      <w:marLeft w:val="0"/>
      <w:marRight w:val="0"/>
      <w:marTop w:val="0"/>
      <w:marBottom w:val="0"/>
      <w:divBdr>
        <w:top w:val="none" w:sz="0" w:space="0" w:color="auto"/>
        <w:left w:val="none" w:sz="0" w:space="0" w:color="auto"/>
        <w:bottom w:val="none" w:sz="0" w:space="0" w:color="auto"/>
        <w:right w:val="none" w:sz="0" w:space="0" w:color="auto"/>
      </w:divBdr>
    </w:div>
    <w:div w:id="904800537">
      <w:bodyDiv w:val="1"/>
      <w:marLeft w:val="0"/>
      <w:marRight w:val="0"/>
      <w:marTop w:val="0"/>
      <w:marBottom w:val="0"/>
      <w:divBdr>
        <w:top w:val="none" w:sz="0" w:space="0" w:color="auto"/>
        <w:left w:val="none" w:sz="0" w:space="0" w:color="auto"/>
        <w:bottom w:val="none" w:sz="0" w:space="0" w:color="auto"/>
        <w:right w:val="none" w:sz="0" w:space="0" w:color="auto"/>
      </w:divBdr>
    </w:div>
    <w:div w:id="905335617">
      <w:bodyDiv w:val="1"/>
      <w:marLeft w:val="0"/>
      <w:marRight w:val="0"/>
      <w:marTop w:val="0"/>
      <w:marBottom w:val="0"/>
      <w:divBdr>
        <w:top w:val="none" w:sz="0" w:space="0" w:color="auto"/>
        <w:left w:val="none" w:sz="0" w:space="0" w:color="auto"/>
        <w:bottom w:val="none" w:sz="0" w:space="0" w:color="auto"/>
        <w:right w:val="none" w:sz="0" w:space="0" w:color="auto"/>
      </w:divBdr>
    </w:div>
    <w:div w:id="926766951">
      <w:bodyDiv w:val="1"/>
      <w:marLeft w:val="0"/>
      <w:marRight w:val="0"/>
      <w:marTop w:val="0"/>
      <w:marBottom w:val="0"/>
      <w:divBdr>
        <w:top w:val="none" w:sz="0" w:space="0" w:color="auto"/>
        <w:left w:val="none" w:sz="0" w:space="0" w:color="auto"/>
        <w:bottom w:val="none" w:sz="0" w:space="0" w:color="auto"/>
        <w:right w:val="none" w:sz="0" w:space="0" w:color="auto"/>
      </w:divBdr>
    </w:div>
    <w:div w:id="937375611">
      <w:bodyDiv w:val="1"/>
      <w:marLeft w:val="0"/>
      <w:marRight w:val="0"/>
      <w:marTop w:val="0"/>
      <w:marBottom w:val="0"/>
      <w:divBdr>
        <w:top w:val="none" w:sz="0" w:space="0" w:color="auto"/>
        <w:left w:val="none" w:sz="0" w:space="0" w:color="auto"/>
        <w:bottom w:val="none" w:sz="0" w:space="0" w:color="auto"/>
        <w:right w:val="none" w:sz="0" w:space="0" w:color="auto"/>
      </w:divBdr>
    </w:div>
    <w:div w:id="959650108">
      <w:bodyDiv w:val="1"/>
      <w:marLeft w:val="0"/>
      <w:marRight w:val="0"/>
      <w:marTop w:val="0"/>
      <w:marBottom w:val="0"/>
      <w:divBdr>
        <w:top w:val="none" w:sz="0" w:space="0" w:color="auto"/>
        <w:left w:val="none" w:sz="0" w:space="0" w:color="auto"/>
        <w:bottom w:val="none" w:sz="0" w:space="0" w:color="auto"/>
        <w:right w:val="none" w:sz="0" w:space="0" w:color="auto"/>
      </w:divBdr>
    </w:div>
    <w:div w:id="965702487">
      <w:bodyDiv w:val="1"/>
      <w:marLeft w:val="0"/>
      <w:marRight w:val="0"/>
      <w:marTop w:val="0"/>
      <w:marBottom w:val="0"/>
      <w:divBdr>
        <w:top w:val="none" w:sz="0" w:space="0" w:color="auto"/>
        <w:left w:val="none" w:sz="0" w:space="0" w:color="auto"/>
        <w:bottom w:val="none" w:sz="0" w:space="0" w:color="auto"/>
        <w:right w:val="none" w:sz="0" w:space="0" w:color="auto"/>
      </w:divBdr>
    </w:div>
    <w:div w:id="968783767">
      <w:bodyDiv w:val="1"/>
      <w:marLeft w:val="0"/>
      <w:marRight w:val="0"/>
      <w:marTop w:val="0"/>
      <w:marBottom w:val="0"/>
      <w:divBdr>
        <w:top w:val="none" w:sz="0" w:space="0" w:color="auto"/>
        <w:left w:val="none" w:sz="0" w:space="0" w:color="auto"/>
        <w:bottom w:val="none" w:sz="0" w:space="0" w:color="auto"/>
        <w:right w:val="none" w:sz="0" w:space="0" w:color="auto"/>
      </w:divBdr>
    </w:div>
    <w:div w:id="975182933">
      <w:bodyDiv w:val="1"/>
      <w:marLeft w:val="0"/>
      <w:marRight w:val="0"/>
      <w:marTop w:val="0"/>
      <w:marBottom w:val="0"/>
      <w:divBdr>
        <w:top w:val="none" w:sz="0" w:space="0" w:color="auto"/>
        <w:left w:val="none" w:sz="0" w:space="0" w:color="auto"/>
        <w:bottom w:val="none" w:sz="0" w:space="0" w:color="auto"/>
        <w:right w:val="none" w:sz="0" w:space="0" w:color="auto"/>
      </w:divBdr>
    </w:div>
    <w:div w:id="987325959">
      <w:bodyDiv w:val="1"/>
      <w:marLeft w:val="0"/>
      <w:marRight w:val="0"/>
      <w:marTop w:val="0"/>
      <w:marBottom w:val="0"/>
      <w:divBdr>
        <w:top w:val="none" w:sz="0" w:space="0" w:color="auto"/>
        <w:left w:val="none" w:sz="0" w:space="0" w:color="auto"/>
        <w:bottom w:val="none" w:sz="0" w:space="0" w:color="auto"/>
        <w:right w:val="none" w:sz="0" w:space="0" w:color="auto"/>
      </w:divBdr>
    </w:div>
    <w:div w:id="994920842">
      <w:bodyDiv w:val="1"/>
      <w:marLeft w:val="0"/>
      <w:marRight w:val="0"/>
      <w:marTop w:val="0"/>
      <w:marBottom w:val="0"/>
      <w:divBdr>
        <w:top w:val="none" w:sz="0" w:space="0" w:color="auto"/>
        <w:left w:val="none" w:sz="0" w:space="0" w:color="auto"/>
        <w:bottom w:val="none" w:sz="0" w:space="0" w:color="auto"/>
        <w:right w:val="none" w:sz="0" w:space="0" w:color="auto"/>
      </w:divBdr>
    </w:div>
    <w:div w:id="999848891">
      <w:bodyDiv w:val="1"/>
      <w:marLeft w:val="0"/>
      <w:marRight w:val="0"/>
      <w:marTop w:val="0"/>
      <w:marBottom w:val="0"/>
      <w:divBdr>
        <w:top w:val="none" w:sz="0" w:space="0" w:color="auto"/>
        <w:left w:val="none" w:sz="0" w:space="0" w:color="auto"/>
        <w:bottom w:val="none" w:sz="0" w:space="0" w:color="auto"/>
        <w:right w:val="none" w:sz="0" w:space="0" w:color="auto"/>
      </w:divBdr>
    </w:div>
    <w:div w:id="1015693658">
      <w:bodyDiv w:val="1"/>
      <w:marLeft w:val="0"/>
      <w:marRight w:val="0"/>
      <w:marTop w:val="0"/>
      <w:marBottom w:val="0"/>
      <w:divBdr>
        <w:top w:val="none" w:sz="0" w:space="0" w:color="auto"/>
        <w:left w:val="none" w:sz="0" w:space="0" w:color="auto"/>
        <w:bottom w:val="none" w:sz="0" w:space="0" w:color="auto"/>
        <w:right w:val="none" w:sz="0" w:space="0" w:color="auto"/>
      </w:divBdr>
    </w:div>
    <w:div w:id="1022709939">
      <w:bodyDiv w:val="1"/>
      <w:marLeft w:val="0"/>
      <w:marRight w:val="0"/>
      <w:marTop w:val="0"/>
      <w:marBottom w:val="0"/>
      <w:divBdr>
        <w:top w:val="none" w:sz="0" w:space="0" w:color="auto"/>
        <w:left w:val="none" w:sz="0" w:space="0" w:color="auto"/>
        <w:bottom w:val="none" w:sz="0" w:space="0" w:color="auto"/>
        <w:right w:val="none" w:sz="0" w:space="0" w:color="auto"/>
      </w:divBdr>
    </w:div>
    <w:div w:id="1025984801">
      <w:bodyDiv w:val="1"/>
      <w:marLeft w:val="0"/>
      <w:marRight w:val="0"/>
      <w:marTop w:val="0"/>
      <w:marBottom w:val="0"/>
      <w:divBdr>
        <w:top w:val="none" w:sz="0" w:space="0" w:color="auto"/>
        <w:left w:val="none" w:sz="0" w:space="0" w:color="auto"/>
        <w:bottom w:val="none" w:sz="0" w:space="0" w:color="auto"/>
        <w:right w:val="none" w:sz="0" w:space="0" w:color="auto"/>
      </w:divBdr>
    </w:div>
    <w:div w:id="1059405712">
      <w:bodyDiv w:val="1"/>
      <w:marLeft w:val="0"/>
      <w:marRight w:val="0"/>
      <w:marTop w:val="0"/>
      <w:marBottom w:val="0"/>
      <w:divBdr>
        <w:top w:val="none" w:sz="0" w:space="0" w:color="auto"/>
        <w:left w:val="none" w:sz="0" w:space="0" w:color="auto"/>
        <w:bottom w:val="none" w:sz="0" w:space="0" w:color="auto"/>
        <w:right w:val="none" w:sz="0" w:space="0" w:color="auto"/>
      </w:divBdr>
    </w:div>
    <w:div w:id="1074202156">
      <w:bodyDiv w:val="1"/>
      <w:marLeft w:val="0"/>
      <w:marRight w:val="0"/>
      <w:marTop w:val="0"/>
      <w:marBottom w:val="0"/>
      <w:divBdr>
        <w:top w:val="none" w:sz="0" w:space="0" w:color="auto"/>
        <w:left w:val="none" w:sz="0" w:space="0" w:color="auto"/>
        <w:bottom w:val="none" w:sz="0" w:space="0" w:color="auto"/>
        <w:right w:val="none" w:sz="0" w:space="0" w:color="auto"/>
      </w:divBdr>
    </w:div>
    <w:div w:id="1080324594">
      <w:bodyDiv w:val="1"/>
      <w:marLeft w:val="0"/>
      <w:marRight w:val="0"/>
      <w:marTop w:val="0"/>
      <w:marBottom w:val="0"/>
      <w:divBdr>
        <w:top w:val="none" w:sz="0" w:space="0" w:color="auto"/>
        <w:left w:val="none" w:sz="0" w:space="0" w:color="auto"/>
        <w:bottom w:val="none" w:sz="0" w:space="0" w:color="auto"/>
        <w:right w:val="none" w:sz="0" w:space="0" w:color="auto"/>
      </w:divBdr>
    </w:div>
    <w:div w:id="1083449014">
      <w:bodyDiv w:val="1"/>
      <w:marLeft w:val="0"/>
      <w:marRight w:val="0"/>
      <w:marTop w:val="0"/>
      <w:marBottom w:val="0"/>
      <w:divBdr>
        <w:top w:val="none" w:sz="0" w:space="0" w:color="auto"/>
        <w:left w:val="none" w:sz="0" w:space="0" w:color="auto"/>
        <w:bottom w:val="none" w:sz="0" w:space="0" w:color="auto"/>
        <w:right w:val="none" w:sz="0" w:space="0" w:color="auto"/>
      </w:divBdr>
    </w:div>
    <w:div w:id="1085611746">
      <w:bodyDiv w:val="1"/>
      <w:marLeft w:val="0"/>
      <w:marRight w:val="0"/>
      <w:marTop w:val="0"/>
      <w:marBottom w:val="0"/>
      <w:divBdr>
        <w:top w:val="none" w:sz="0" w:space="0" w:color="auto"/>
        <w:left w:val="none" w:sz="0" w:space="0" w:color="auto"/>
        <w:bottom w:val="none" w:sz="0" w:space="0" w:color="auto"/>
        <w:right w:val="none" w:sz="0" w:space="0" w:color="auto"/>
      </w:divBdr>
    </w:div>
    <w:div w:id="1086266361">
      <w:bodyDiv w:val="1"/>
      <w:marLeft w:val="0"/>
      <w:marRight w:val="0"/>
      <w:marTop w:val="0"/>
      <w:marBottom w:val="0"/>
      <w:divBdr>
        <w:top w:val="none" w:sz="0" w:space="0" w:color="auto"/>
        <w:left w:val="none" w:sz="0" w:space="0" w:color="auto"/>
        <w:bottom w:val="none" w:sz="0" w:space="0" w:color="auto"/>
        <w:right w:val="none" w:sz="0" w:space="0" w:color="auto"/>
      </w:divBdr>
    </w:div>
    <w:div w:id="1098479431">
      <w:bodyDiv w:val="1"/>
      <w:marLeft w:val="0"/>
      <w:marRight w:val="0"/>
      <w:marTop w:val="0"/>
      <w:marBottom w:val="0"/>
      <w:divBdr>
        <w:top w:val="none" w:sz="0" w:space="0" w:color="auto"/>
        <w:left w:val="none" w:sz="0" w:space="0" w:color="auto"/>
        <w:bottom w:val="none" w:sz="0" w:space="0" w:color="auto"/>
        <w:right w:val="none" w:sz="0" w:space="0" w:color="auto"/>
      </w:divBdr>
    </w:div>
    <w:div w:id="1109013007">
      <w:bodyDiv w:val="1"/>
      <w:marLeft w:val="0"/>
      <w:marRight w:val="0"/>
      <w:marTop w:val="0"/>
      <w:marBottom w:val="0"/>
      <w:divBdr>
        <w:top w:val="none" w:sz="0" w:space="0" w:color="auto"/>
        <w:left w:val="none" w:sz="0" w:space="0" w:color="auto"/>
        <w:bottom w:val="none" w:sz="0" w:space="0" w:color="auto"/>
        <w:right w:val="none" w:sz="0" w:space="0" w:color="auto"/>
      </w:divBdr>
    </w:div>
    <w:div w:id="1137456815">
      <w:bodyDiv w:val="1"/>
      <w:marLeft w:val="0"/>
      <w:marRight w:val="0"/>
      <w:marTop w:val="0"/>
      <w:marBottom w:val="0"/>
      <w:divBdr>
        <w:top w:val="none" w:sz="0" w:space="0" w:color="auto"/>
        <w:left w:val="none" w:sz="0" w:space="0" w:color="auto"/>
        <w:bottom w:val="none" w:sz="0" w:space="0" w:color="auto"/>
        <w:right w:val="none" w:sz="0" w:space="0" w:color="auto"/>
      </w:divBdr>
    </w:div>
    <w:div w:id="1147891890">
      <w:bodyDiv w:val="1"/>
      <w:marLeft w:val="0"/>
      <w:marRight w:val="0"/>
      <w:marTop w:val="0"/>
      <w:marBottom w:val="0"/>
      <w:divBdr>
        <w:top w:val="none" w:sz="0" w:space="0" w:color="auto"/>
        <w:left w:val="none" w:sz="0" w:space="0" w:color="auto"/>
        <w:bottom w:val="none" w:sz="0" w:space="0" w:color="auto"/>
        <w:right w:val="none" w:sz="0" w:space="0" w:color="auto"/>
      </w:divBdr>
    </w:div>
    <w:div w:id="1153721632">
      <w:bodyDiv w:val="1"/>
      <w:marLeft w:val="0"/>
      <w:marRight w:val="0"/>
      <w:marTop w:val="0"/>
      <w:marBottom w:val="0"/>
      <w:divBdr>
        <w:top w:val="none" w:sz="0" w:space="0" w:color="auto"/>
        <w:left w:val="none" w:sz="0" w:space="0" w:color="auto"/>
        <w:bottom w:val="none" w:sz="0" w:space="0" w:color="auto"/>
        <w:right w:val="none" w:sz="0" w:space="0" w:color="auto"/>
      </w:divBdr>
    </w:div>
    <w:div w:id="1162308598">
      <w:bodyDiv w:val="1"/>
      <w:marLeft w:val="0"/>
      <w:marRight w:val="0"/>
      <w:marTop w:val="0"/>
      <w:marBottom w:val="0"/>
      <w:divBdr>
        <w:top w:val="none" w:sz="0" w:space="0" w:color="auto"/>
        <w:left w:val="none" w:sz="0" w:space="0" w:color="auto"/>
        <w:bottom w:val="none" w:sz="0" w:space="0" w:color="auto"/>
        <w:right w:val="none" w:sz="0" w:space="0" w:color="auto"/>
      </w:divBdr>
    </w:div>
    <w:div w:id="1167552619">
      <w:bodyDiv w:val="1"/>
      <w:marLeft w:val="0"/>
      <w:marRight w:val="0"/>
      <w:marTop w:val="0"/>
      <w:marBottom w:val="0"/>
      <w:divBdr>
        <w:top w:val="none" w:sz="0" w:space="0" w:color="auto"/>
        <w:left w:val="none" w:sz="0" w:space="0" w:color="auto"/>
        <w:bottom w:val="none" w:sz="0" w:space="0" w:color="auto"/>
        <w:right w:val="none" w:sz="0" w:space="0" w:color="auto"/>
      </w:divBdr>
      <w:divsChild>
        <w:div w:id="165219002">
          <w:blockQuote w:val="1"/>
          <w:marLeft w:val="720"/>
          <w:marRight w:val="720"/>
          <w:marTop w:val="100"/>
          <w:marBottom w:val="100"/>
          <w:divBdr>
            <w:top w:val="none" w:sz="0" w:space="0" w:color="auto"/>
            <w:left w:val="none" w:sz="0" w:space="0" w:color="auto"/>
            <w:bottom w:val="none" w:sz="0" w:space="0" w:color="auto"/>
            <w:right w:val="none" w:sz="0" w:space="0" w:color="auto"/>
          </w:divBdr>
        </w:div>
        <w:div w:id="416561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2602717">
      <w:bodyDiv w:val="1"/>
      <w:marLeft w:val="0"/>
      <w:marRight w:val="0"/>
      <w:marTop w:val="0"/>
      <w:marBottom w:val="0"/>
      <w:divBdr>
        <w:top w:val="none" w:sz="0" w:space="0" w:color="auto"/>
        <w:left w:val="none" w:sz="0" w:space="0" w:color="auto"/>
        <w:bottom w:val="none" w:sz="0" w:space="0" w:color="auto"/>
        <w:right w:val="none" w:sz="0" w:space="0" w:color="auto"/>
      </w:divBdr>
    </w:div>
    <w:div w:id="1198811330">
      <w:bodyDiv w:val="1"/>
      <w:marLeft w:val="0"/>
      <w:marRight w:val="0"/>
      <w:marTop w:val="0"/>
      <w:marBottom w:val="0"/>
      <w:divBdr>
        <w:top w:val="none" w:sz="0" w:space="0" w:color="auto"/>
        <w:left w:val="none" w:sz="0" w:space="0" w:color="auto"/>
        <w:bottom w:val="none" w:sz="0" w:space="0" w:color="auto"/>
        <w:right w:val="none" w:sz="0" w:space="0" w:color="auto"/>
      </w:divBdr>
    </w:div>
    <w:div w:id="1211453745">
      <w:bodyDiv w:val="1"/>
      <w:marLeft w:val="0"/>
      <w:marRight w:val="0"/>
      <w:marTop w:val="0"/>
      <w:marBottom w:val="0"/>
      <w:divBdr>
        <w:top w:val="none" w:sz="0" w:space="0" w:color="auto"/>
        <w:left w:val="none" w:sz="0" w:space="0" w:color="auto"/>
        <w:bottom w:val="none" w:sz="0" w:space="0" w:color="auto"/>
        <w:right w:val="none" w:sz="0" w:space="0" w:color="auto"/>
      </w:divBdr>
    </w:div>
    <w:div w:id="1213419337">
      <w:bodyDiv w:val="1"/>
      <w:marLeft w:val="0"/>
      <w:marRight w:val="0"/>
      <w:marTop w:val="0"/>
      <w:marBottom w:val="0"/>
      <w:divBdr>
        <w:top w:val="none" w:sz="0" w:space="0" w:color="auto"/>
        <w:left w:val="none" w:sz="0" w:space="0" w:color="auto"/>
        <w:bottom w:val="none" w:sz="0" w:space="0" w:color="auto"/>
        <w:right w:val="none" w:sz="0" w:space="0" w:color="auto"/>
      </w:divBdr>
    </w:div>
    <w:div w:id="1215773690">
      <w:bodyDiv w:val="1"/>
      <w:marLeft w:val="0"/>
      <w:marRight w:val="0"/>
      <w:marTop w:val="0"/>
      <w:marBottom w:val="0"/>
      <w:divBdr>
        <w:top w:val="none" w:sz="0" w:space="0" w:color="auto"/>
        <w:left w:val="none" w:sz="0" w:space="0" w:color="auto"/>
        <w:bottom w:val="none" w:sz="0" w:space="0" w:color="auto"/>
        <w:right w:val="none" w:sz="0" w:space="0" w:color="auto"/>
      </w:divBdr>
    </w:div>
    <w:div w:id="1215892636">
      <w:bodyDiv w:val="1"/>
      <w:marLeft w:val="0"/>
      <w:marRight w:val="0"/>
      <w:marTop w:val="0"/>
      <w:marBottom w:val="0"/>
      <w:divBdr>
        <w:top w:val="none" w:sz="0" w:space="0" w:color="auto"/>
        <w:left w:val="none" w:sz="0" w:space="0" w:color="auto"/>
        <w:bottom w:val="none" w:sz="0" w:space="0" w:color="auto"/>
        <w:right w:val="none" w:sz="0" w:space="0" w:color="auto"/>
      </w:divBdr>
    </w:div>
    <w:div w:id="12240243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090">
          <w:marLeft w:val="0"/>
          <w:marRight w:val="0"/>
          <w:marTop w:val="0"/>
          <w:marBottom w:val="0"/>
          <w:divBdr>
            <w:top w:val="none" w:sz="0" w:space="0" w:color="auto"/>
            <w:left w:val="none" w:sz="0" w:space="0" w:color="auto"/>
            <w:bottom w:val="none" w:sz="0" w:space="0" w:color="auto"/>
            <w:right w:val="none" w:sz="0" w:space="0" w:color="auto"/>
          </w:divBdr>
          <w:divsChild>
            <w:div w:id="760488665">
              <w:marLeft w:val="0"/>
              <w:marRight w:val="0"/>
              <w:marTop w:val="0"/>
              <w:marBottom w:val="0"/>
              <w:divBdr>
                <w:top w:val="none" w:sz="0" w:space="0" w:color="auto"/>
                <w:left w:val="none" w:sz="0" w:space="0" w:color="auto"/>
                <w:bottom w:val="none" w:sz="0" w:space="0" w:color="auto"/>
                <w:right w:val="none" w:sz="0" w:space="0" w:color="auto"/>
              </w:divBdr>
              <w:divsChild>
                <w:div w:id="1497920861">
                  <w:marLeft w:val="0"/>
                  <w:marRight w:val="0"/>
                  <w:marTop w:val="0"/>
                  <w:marBottom w:val="0"/>
                  <w:divBdr>
                    <w:top w:val="none" w:sz="0" w:space="0" w:color="auto"/>
                    <w:left w:val="none" w:sz="0" w:space="0" w:color="auto"/>
                    <w:bottom w:val="none" w:sz="0" w:space="0" w:color="auto"/>
                    <w:right w:val="none" w:sz="0" w:space="0" w:color="auto"/>
                  </w:divBdr>
                  <w:divsChild>
                    <w:div w:id="2042854264">
                      <w:marLeft w:val="0"/>
                      <w:marRight w:val="0"/>
                      <w:marTop w:val="0"/>
                      <w:marBottom w:val="0"/>
                      <w:divBdr>
                        <w:top w:val="none" w:sz="0" w:space="0" w:color="auto"/>
                        <w:left w:val="none" w:sz="0" w:space="0" w:color="auto"/>
                        <w:bottom w:val="none" w:sz="0" w:space="0" w:color="auto"/>
                        <w:right w:val="none" w:sz="0" w:space="0" w:color="auto"/>
                      </w:divBdr>
                      <w:divsChild>
                        <w:div w:id="437482771">
                          <w:marLeft w:val="0"/>
                          <w:marRight w:val="0"/>
                          <w:marTop w:val="0"/>
                          <w:marBottom w:val="0"/>
                          <w:divBdr>
                            <w:top w:val="none" w:sz="0" w:space="0" w:color="auto"/>
                            <w:left w:val="none" w:sz="0" w:space="0" w:color="auto"/>
                            <w:bottom w:val="none" w:sz="0" w:space="0" w:color="auto"/>
                            <w:right w:val="none" w:sz="0" w:space="0" w:color="auto"/>
                          </w:divBdr>
                          <w:divsChild>
                            <w:div w:id="481772469">
                              <w:marLeft w:val="0"/>
                              <w:marRight w:val="0"/>
                              <w:marTop w:val="0"/>
                              <w:marBottom w:val="0"/>
                              <w:divBdr>
                                <w:top w:val="none" w:sz="0" w:space="0" w:color="auto"/>
                                <w:left w:val="none" w:sz="0" w:space="0" w:color="auto"/>
                                <w:bottom w:val="none" w:sz="0" w:space="0" w:color="auto"/>
                                <w:right w:val="none" w:sz="0" w:space="0" w:color="auto"/>
                              </w:divBdr>
                              <w:divsChild>
                                <w:div w:id="1615601600">
                                  <w:marLeft w:val="0"/>
                                  <w:marRight w:val="0"/>
                                  <w:marTop w:val="0"/>
                                  <w:marBottom w:val="0"/>
                                  <w:divBdr>
                                    <w:top w:val="none" w:sz="0" w:space="0" w:color="auto"/>
                                    <w:left w:val="none" w:sz="0" w:space="0" w:color="auto"/>
                                    <w:bottom w:val="none" w:sz="0" w:space="0" w:color="auto"/>
                                    <w:right w:val="none" w:sz="0" w:space="0" w:color="auto"/>
                                  </w:divBdr>
                                  <w:divsChild>
                                    <w:div w:id="1113480304">
                                      <w:marLeft w:val="0"/>
                                      <w:marRight w:val="0"/>
                                      <w:marTop w:val="0"/>
                                      <w:marBottom w:val="0"/>
                                      <w:divBdr>
                                        <w:top w:val="none" w:sz="0" w:space="0" w:color="auto"/>
                                        <w:left w:val="none" w:sz="0" w:space="0" w:color="auto"/>
                                        <w:bottom w:val="none" w:sz="0" w:space="0" w:color="auto"/>
                                        <w:right w:val="none" w:sz="0" w:space="0" w:color="auto"/>
                                      </w:divBdr>
                                      <w:divsChild>
                                        <w:div w:id="1225489088">
                                          <w:marLeft w:val="0"/>
                                          <w:marRight w:val="0"/>
                                          <w:marTop w:val="0"/>
                                          <w:marBottom w:val="0"/>
                                          <w:divBdr>
                                            <w:top w:val="none" w:sz="0" w:space="0" w:color="auto"/>
                                            <w:left w:val="none" w:sz="0" w:space="0" w:color="auto"/>
                                            <w:bottom w:val="none" w:sz="0" w:space="0" w:color="auto"/>
                                            <w:right w:val="none" w:sz="0" w:space="0" w:color="auto"/>
                                          </w:divBdr>
                                          <w:divsChild>
                                            <w:div w:id="1632783837">
                                              <w:marLeft w:val="0"/>
                                              <w:marRight w:val="0"/>
                                              <w:marTop w:val="0"/>
                                              <w:marBottom w:val="0"/>
                                              <w:divBdr>
                                                <w:top w:val="none" w:sz="0" w:space="0" w:color="auto"/>
                                                <w:left w:val="none" w:sz="0" w:space="0" w:color="auto"/>
                                                <w:bottom w:val="none" w:sz="0" w:space="0" w:color="auto"/>
                                                <w:right w:val="none" w:sz="0" w:space="0" w:color="auto"/>
                                              </w:divBdr>
                                              <w:divsChild>
                                                <w:div w:id="737438036">
                                                  <w:marLeft w:val="0"/>
                                                  <w:marRight w:val="0"/>
                                                  <w:marTop w:val="0"/>
                                                  <w:marBottom w:val="0"/>
                                                  <w:divBdr>
                                                    <w:top w:val="none" w:sz="0" w:space="0" w:color="auto"/>
                                                    <w:left w:val="none" w:sz="0" w:space="0" w:color="auto"/>
                                                    <w:bottom w:val="none" w:sz="0" w:space="0" w:color="auto"/>
                                                    <w:right w:val="none" w:sz="0" w:space="0" w:color="auto"/>
                                                  </w:divBdr>
                                                  <w:divsChild>
                                                    <w:div w:id="55635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6717017">
      <w:bodyDiv w:val="1"/>
      <w:marLeft w:val="0"/>
      <w:marRight w:val="0"/>
      <w:marTop w:val="0"/>
      <w:marBottom w:val="0"/>
      <w:divBdr>
        <w:top w:val="none" w:sz="0" w:space="0" w:color="auto"/>
        <w:left w:val="none" w:sz="0" w:space="0" w:color="auto"/>
        <w:bottom w:val="none" w:sz="0" w:space="0" w:color="auto"/>
        <w:right w:val="none" w:sz="0" w:space="0" w:color="auto"/>
      </w:divBdr>
    </w:div>
    <w:div w:id="1235166235">
      <w:bodyDiv w:val="1"/>
      <w:marLeft w:val="0"/>
      <w:marRight w:val="0"/>
      <w:marTop w:val="0"/>
      <w:marBottom w:val="0"/>
      <w:divBdr>
        <w:top w:val="none" w:sz="0" w:space="0" w:color="auto"/>
        <w:left w:val="none" w:sz="0" w:space="0" w:color="auto"/>
        <w:bottom w:val="none" w:sz="0" w:space="0" w:color="auto"/>
        <w:right w:val="none" w:sz="0" w:space="0" w:color="auto"/>
      </w:divBdr>
    </w:div>
    <w:div w:id="1237865759">
      <w:bodyDiv w:val="1"/>
      <w:marLeft w:val="0"/>
      <w:marRight w:val="0"/>
      <w:marTop w:val="0"/>
      <w:marBottom w:val="0"/>
      <w:divBdr>
        <w:top w:val="none" w:sz="0" w:space="0" w:color="auto"/>
        <w:left w:val="none" w:sz="0" w:space="0" w:color="auto"/>
        <w:bottom w:val="none" w:sz="0" w:space="0" w:color="auto"/>
        <w:right w:val="none" w:sz="0" w:space="0" w:color="auto"/>
      </w:divBdr>
    </w:div>
    <w:div w:id="1240941084">
      <w:bodyDiv w:val="1"/>
      <w:marLeft w:val="0"/>
      <w:marRight w:val="0"/>
      <w:marTop w:val="0"/>
      <w:marBottom w:val="0"/>
      <w:divBdr>
        <w:top w:val="none" w:sz="0" w:space="0" w:color="auto"/>
        <w:left w:val="none" w:sz="0" w:space="0" w:color="auto"/>
        <w:bottom w:val="none" w:sz="0" w:space="0" w:color="auto"/>
        <w:right w:val="none" w:sz="0" w:space="0" w:color="auto"/>
      </w:divBdr>
    </w:div>
    <w:div w:id="1254314768">
      <w:bodyDiv w:val="1"/>
      <w:marLeft w:val="0"/>
      <w:marRight w:val="0"/>
      <w:marTop w:val="0"/>
      <w:marBottom w:val="0"/>
      <w:divBdr>
        <w:top w:val="none" w:sz="0" w:space="0" w:color="auto"/>
        <w:left w:val="none" w:sz="0" w:space="0" w:color="auto"/>
        <w:bottom w:val="none" w:sz="0" w:space="0" w:color="auto"/>
        <w:right w:val="none" w:sz="0" w:space="0" w:color="auto"/>
      </w:divBdr>
    </w:div>
    <w:div w:id="1257519502">
      <w:bodyDiv w:val="1"/>
      <w:marLeft w:val="0"/>
      <w:marRight w:val="0"/>
      <w:marTop w:val="0"/>
      <w:marBottom w:val="0"/>
      <w:divBdr>
        <w:top w:val="none" w:sz="0" w:space="0" w:color="auto"/>
        <w:left w:val="none" w:sz="0" w:space="0" w:color="auto"/>
        <w:bottom w:val="none" w:sz="0" w:space="0" w:color="auto"/>
        <w:right w:val="none" w:sz="0" w:space="0" w:color="auto"/>
      </w:divBdr>
    </w:div>
    <w:div w:id="1259485114">
      <w:bodyDiv w:val="1"/>
      <w:marLeft w:val="0"/>
      <w:marRight w:val="0"/>
      <w:marTop w:val="0"/>
      <w:marBottom w:val="0"/>
      <w:divBdr>
        <w:top w:val="none" w:sz="0" w:space="0" w:color="auto"/>
        <w:left w:val="none" w:sz="0" w:space="0" w:color="auto"/>
        <w:bottom w:val="none" w:sz="0" w:space="0" w:color="auto"/>
        <w:right w:val="none" w:sz="0" w:space="0" w:color="auto"/>
      </w:divBdr>
    </w:div>
    <w:div w:id="1281913297">
      <w:bodyDiv w:val="1"/>
      <w:marLeft w:val="0"/>
      <w:marRight w:val="0"/>
      <w:marTop w:val="0"/>
      <w:marBottom w:val="0"/>
      <w:divBdr>
        <w:top w:val="none" w:sz="0" w:space="0" w:color="auto"/>
        <w:left w:val="none" w:sz="0" w:space="0" w:color="auto"/>
        <w:bottom w:val="none" w:sz="0" w:space="0" w:color="auto"/>
        <w:right w:val="none" w:sz="0" w:space="0" w:color="auto"/>
      </w:divBdr>
    </w:div>
    <w:div w:id="1287077503">
      <w:bodyDiv w:val="1"/>
      <w:marLeft w:val="0"/>
      <w:marRight w:val="0"/>
      <w:marTop w:val="0"/>
      <w:marBottom w:val="0"/>
      <w:divBdr>
        <w:top w:val="none" w:sz="0" w:space="0" w:color="auto"/>
        <w:left w:val="none" w:sz="0" w:space="0" w:color="auto"/>
        <w:bottom w:val="none" w:sz="0" w:space="0" w:color="auto"/>
        <w:right w:val="none" w:sz="0" w:space="0" w:color="auto"/>
      </w:divBdr>
    </w:div>
    <w:div w:id="1288241917">
      <w:bodyDiv w:val="1"/>
      <w:marLeft w:val="0"/>
      <w:marRight w:val="0"/>
      <w:marTop w:val="0"/>
      <w:marBottom w:val="0"/>
      <w:divBdr>
        <w:top w:val="none" w:sz="0" w:space="0" w:color="auto"/>
        <w:left w:val="none" w:sz="0" w:space="0" w:color="auto"/>
        <w:bottom w:val="none" w:sz="0" w:space="0" w:color="auto"/>
        <w:right w:val="none" w:sz="0" w:space="0" w:color="auto"/>
      </w:divBdr>
    </w:div>
    <w:div w:id="1297640678">
      <w:bodyDiv w:val="1"/>
      <w:marLeft w:val="0"/>
      <w:marRight w:val="0"/>
      <w:marTop w:val="0"/>
      <w:marBottom w:val="0"/>
      <w:divBdr>
        <w:top w:val="none" w:sz="0" w:space="0" w:color="auto"/>
        <w:left w:val="none" w:sz="0" w:space="0" w:color="auto"/>
        <w:bottom w:val="none" w:sz="0" w:space="0" w:color="auto"/>
        <w:right w:val="none" w:sz="0" w:space="0" w:color="auto"/>
      </w:divBdr>
    </w:div>
    <w:div w:id="1299186665">
      <w:bodyDiv w:val="1"/>
      <w:marLeft w:val="0"/>
      <w:marRight w:val="0"/>
      <w:marTop w:val="0"/>
      <w:marBottom w:val="0"/>
      <w:divBdr>
        <w:top w:val="none" w:sz="0" w:space="0" w:color="auto"/>
        <w:left w:val="none" w:sz="0" w:space="0" w:color="auto"/>
        <w:bottom w:val="none" w:sz="0" w:space="0" w:color="auto"/>
        <w:right w:val="none" w:sz="0" w:space="0" w:color="auto"/>
      </w:divBdr>
    </w:div>
    <w:div w:id="1323511396">
      <w:bodyDiv w:val="1"/>
      <w:marLeft w:val="0"/>
      <w:marRight w:val="0"/>
      <w:marTop w:val="0"/>
      <w:marBottom w:val="0"/>
      <w:divBdr>
        <w:top w:val="none" w:sz="0" w:space="0" w:color="auto"/>
        <w:left w:val="none" w:sz="0" w:space="0" w:color="auto"/>
        <w:bottom w:val="none" w:sz="0" w:space="0" w:color="auto"/>
        <w:right w:val="none" w:sz="0" w:space="0" w:color="auto"/>
      </w:divBdr>
    </w:div>
    <w:div w:id="1329207435">
      <w:bodyDiv w:val="1"/>
      <w:marLeft w:val="0"/>
      <w:marRight w:val="0"/>
      <w:marTop w:val="0"/>
      <w:marBottom w:val="0"/>
      <w:divBdr>
        <w:top w:val="none" w:sz="0" w:space="0" w:color="auto"/>
        <w:left w:val="none" w:sz="0" w:space="0" w:color="auto"/>
        <w:bottom w:val="none" w:sz="0" w:space="0" w:color="auto"/>
        <w:right w:val="none" w:sz="0" w:space="0" w:color="auto"/>
      </w:divBdr>
    </w:div>
    <w:div w:id="1330523235">
      <w:bodyDiv w:val="1"/>
      <w:marLeft w:val="0"/>
      <w:marRight w:val="0"/>
      <w:marTop w:val="0"/>
      <w:marBottom w:val="0"/>
      <w:divBdr>
        <w:top w:val="none" w:sz="0" w:space="0" w:color="auto"/>
        <w:left w:val="none" w:sz="0" w:space="0" w:color="auto"/>
        <w:bottom w:val="none" w:sz="0" w:space="0" w:color="auto"/>
        <w:right w:val="none" w:sz="0" w:space="0" w:color="auto"/>
      </w:divBdr>
    </w:div>
    <w:div w:id="1334916931">
      <w:bodyDiv w:val="1"/>
      <w:marLeft w:val="0"/>
      <w:marRight w:val="0"/>
      <w:marTop w:val="0"/>
      <w:marBottom w:val="0"/>
      <w:divBdr>
        <w:top w:val="none" w:sz="0" w:space="0" w:color="auto"/>
        <w:left w:val="none" w:sz="0" w:space="0" w:color="auto"/>
        <w:bottom w:val="none" w:sz="0" w:space="0" w:color="auto"/>
        <w:right w:val="none" w:sz="0" w:space="0" w:color="auto"/>
      </w:divBdr>
    </w:div>
    <w:div w:id="1341784677">
      <w:bodyDiv w:val="1"/>
      <w:marLeft w:val="0"/>
      <w:marRight w:val="0"/>
      <w:marTop w:val="0"/>
      <w:marBottom w:val="0"/>
      <w:divBdr>
        <w:top w:val="none" w:sz="0" w:space="0" w:color="auto"/>
        <w:left w:val="none" w:sz="0" w:space="0" w:color="auto"/>
        <w:bottom w:val="none" w:sz="0" w:space="0" w:color="auto"/>
        <w:right w:val="none" w:sz="0" w:space="0" w:color="auto"/>
      </w:divBdr>
    </w:div>
    <w:div w:id="1354529965">
      <w:bodyDiv w:val="1"/>
      <w:marLeft w:val="0"/>
      <w:marRight w:val="0"/>
      <w:marTop w:val="0"/>
      <w:marBottom w:val="0"/>
      <w:divBdr>
        <w:top w:val="none" w:sz="0" w:space="0" w:color="auto"/>
        <w:left w:val="none" w:sz="0" w:space="0" w:color="auto"/>
        <w:bottom w:val="none" w:sz="0" w:space="0" w:color="auto"/>
        <w:right w:val="none" w:sz="0" w:space="0" w:color="auto"/>
      </w:divBdr>
    </w:div>
    <w:div w:id="1357543378">
      <w:bodyDiv w:val="1"/>
      <w:marLeft w:val="0"/>
      <w:marRight w:val="0"/>
      <w:marTop w:val="0"/>
      <w:marBottom w:val="0"/>
      <w:divBdr>
        <w:top w:val="none" w:sz="0" w:space="0" w:color="auto"/>
        <w:left w:val="none" w:sz="0" w:space="0" w:color="auto"/>
        <w:bottom w:val="none" w:sz="0" w:space="0" w:color="auto"/>
        <w:right w:val="none" w:sz="0" w:space="0" w:color="auto"/>
      </w:divBdr>
    </w:div>
    <w:div w:id="1359812317">
      <w:bodyDiv w:val="1"/>
      <w:marLeft w:val="0"/>
      <w:marRight w:val="0"/>
      <w:marTop w:val="0"/>
      <w:marBottom w:val="0"/>
      <w:divBdr>
        <w:top w:val="none" w:sz="0" w:space="0" w:color="auto"/>
        <w:left w:val="none" w:sz="0" w:space="0" w:color="auto"/>
        <w:bottom w:val="none" w:sz="0" w:space="0" w:color="auto"/>
        <w:right w:val="none" w:sz="0" w:space="0" w:color="auto"/>
      </w:divBdr>
    </w:div>
    <w:div w:id="1363629907">
      <w:bodyDiv w:val="1"/>
      <w:marLeft w:val="0"/>
      <w:marRight w:val="0"/>
      <w:marTop w:val="0"/>
      <w:marBottom w:val="0"/>
      <w:divBdr>
        <w:top w:val="none" w:sz="0" w:space="0" w:color="auto"/>
        <w:left w:val="none" w:sz="0" w:space="0" w:color="auto"/>
        <w:bottom w:val="none" w:sz="0" w:space="0" w:color="auto"/>
        <w:right w:val="none" w:sz="0" w:space="0" w:color="auto"/>
      </w:divBdr>
      <w:divsChild>
        <w:div w:id="1863666166">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45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4793670">
      <w:bodyDiv w:val="1"/>
      <w:marLeft w:val="0"/>
      <w:marRight w:val="0"/>
      <w:marTop w:val="0"/>
      <w:marBottom w:val="0"/>
      <w:divBdr>
        <w:top w:val="none" w:sz="0" w:space="0" w:color="auto"/>
        <w:left w:val="none" w:sz="0" w:space="0" w:color="auto"/>
        <w:bottom w:val="none" w:sz="0" w:space="0" w:color="auto"/>
        <w:right w:val="none" w:sz="0" w:space="0" w:color="auto"/>
      </w:divBdr>
    </w:div>
    <w:div w:id="1366522050">
      <w:bodyDiv w:val="1"/>
      <w:marLeft w:val="0"/>
      <w:marRight w:val="0"/>
      <w:marTop w:val="0"/>
      <w:marBottom w:val="0"/>
      <w:divBdr>
        <w:top w:val="none" w:sz="0" w:space="0" w:color="auto"/>
        <w:left w:val="none" w:sz="0" w:space="0" w:color="auto"/>
        <w:bottom w:val="none" w:sz="0" w:space="0" w:color="auto"/>
        <w:right w:val="none" w:sz="0" w:space="0" w:color="auto"/>
      </w:divBdr>
    </w:div>
    <w:div w:id="1366562988">
      <w:bodyDiv w:val="1"/>
      <w:marLeft w:val="0"/>
      <w:marRight w:val="0"/>
      <w:marTop w:val="0"/>
      <w:marBottom w:val="0"/>
      <w:divBdr>
        <w:top w:val="none" w:sz="0" w:space="0" w:color="auto"/>
        <w:left w:val="none" w:sz="0" w:space="0" w:color="auto"/>
        <w:bottom w:val="none" w:sz="0" w:space="0" w:color="auto"/>
        <w:right w:val="none" w:sz="0" w:space="0" w:color="auto"/>
      </w:divBdr>
    </w:div>
    <w:div w:id="1367944433">
      <w:bodyDiv w:val="1"/>
      <w:marLeft w:val="0"/>
      <w:marRight w:val="0"/>
      <w:marTop w:val="0"/>
      <w:marBottom w:val="0"/>
      <w:divBdr>
        <w:top w:val="none" w:sz="0" w:space="0" w:color="auto"/>
        <w:left w:val="none" w:sz="0" w:space="0" w:color="auto"/>
        <w:bottom w:val="none" w:sz="0" w:space="0" w:color="auto"/>
        <w:right w:val="none" w:sz="0" w:space="0" w:color="auto"/>
      </w:divBdr>
    </w:div>
    <w:div w:id="1376657407">
      <w:bodyDiv w:val="1"/>
      <w:marLeft w:val="0"/>
      <w:marRight w:val="0"/>
      <w:marTop w:val="0"/>
      <w:marBottom w:val="0"/>
      <w:divBdr>
        <w:top w:val="none" w:sz="0" w:space="0" w:color="auto"/>
        <w:left w:val="none" w:sz="0" w:space="0" w:color="auto"/>
        <w:bottom w:val="none" w:sz="0" w:space="0" w:color="auto"/>
        <w:right w:val="none" w:sz="0" w:space="0" w:color="auto"/>
      </w:divBdr>
    </w:div>
    <w:div w:id="1378429582">
      <w:bodyDiv w:val="1"/>
      <w:marLeft w:val="0"/>
      <w:marRight w:val="0"/>
      <w:marTop w:val="0"/>
      <w:marBottom w:val="0"/>
      <w:divBdr>
        <w:top w:val="none" w:sz="0" w:space="0" w:color="auto"/>
        <w:left w:val="none" w:sz="0" w:space="0" w:color="auto"/>
        <w:bottom w:val="none" w:sz="0" w:space="0" w:color="auto"/>
        <w:right w:val="none" w:sz="0" w:space="0" w:color="auto"/>
      </w:divBdr>
    </w:div>
    <w:div w:id="1383822552">
      <w:bodyDiv w:val="1"/>
      <w:marLeft w:val="0"/>
      <w:marRight w:val="0"/>
      <w:marTop w:val="0"/>
      <w:marBottom w:val="0"/>
      <w:divBdr>
        <w:top w:val="none" w:sz="0" w:space="0" w:color="auto"/>
        <w:left w:val="none" w:sz="0" w:space="0" w:color="auto"/>
        <w:bottom w:val="none" w:sz="0" w:space="0" w:color="auto"/>
        <w:right w:val="none" w:sz="0" w:space="0" w:color="auto"/>
      </w:divBdr>
    </w:div>
    <w:div w:id="1395201994">
      <w:bodyDiv w:val="1"/>
      <w:marLeft w:val="0"/>
      <w:marRight w:val="0"/>
      <w:marTop w:val="0"/>
      <w:marBottom w:val="0"/>
      <w:divBdr>
        <w:top w:val="none" w:sz="0" w:space="0" w:color="auto"/>
        <w:left w:val="none" w:sz="0" w:space="0" w:color="auto"/>
        <w:bottom w:val="none" w:sz="0" w:space="0" w:color="auto"/>
        <w:right w:val="none" w:sz="0" w:space="0" w:color="auto"/>
      </w:divBdr>
    </w:div>
    <w:div w:id="1396976207">
      <w:bodyDiv w:val="1"/>
      <w:marLeft w:val="0"/>
      <w:marRight w:val="0"/>
      <w:marTop w:val="0"/>
      <w:marBottom w:val="0"/>
      <w:divBdr>
        <w:top w:val="none" w:sz="0" w:space="0" w:color="auto"/>
        <w:left w:val="none" w:sz="0" w:space="0" w:color="auto"/>
        <w:bottom w:val="none" w:sz="0" w:space="0" w:color="auto"/>
        <w:right w:val="none" w:sz="0" w:space="0" w:color="auto"/>
      </w:divBdr>
    </w:div>
    <w:div w:id="1428766768">
      <w:bodyDiv w:val="1"/>
      <w:marLeft w:val="0"/>
      <w:marRight w:val="0"/>
      <w:marTop w:val="0"/>
      <w:marBottom w:val="0"/>
      <w:divBdr>
        <w:top w:val="none" w:sz="0" w:space="0" w:color="auto"/>
        <w:left w:val="none" w:sz="0" w:space="0" w:color="auto"/>
        <w:bottom w:val="none" w:sz="0" w:space="0" w:color="auto"/>
        <w:right w:val="none" w:sz="0" w:space="0" w:color="auto"/>
      </w:divBdr>
    </w:div>
    <w:div w:id="1430586790">
      <w:bodyDiv w:val="1"/>
      <w:marLeft w:val="0"/>
      <w:marRight w:val="0"/>
      <w:marTop w:val="0"/>
      <w:marBottom w:val="0"/>
      <w:divBdr>
        <w:top w:val="none" w:sz="0" w:space="0" w:color="auto"/>
        <w:left w:val="none" w:sz="0" w:space="0" w:color="auto"/>
        <w:bottom w:val="none" w:sz="0" w:space="0" w:color="auto"/>
        <w:right w:val="none" w:sz="0" w:space="0" w:color="auto"/>
      </w:divBdr>
    </w:div>
    <w:div w:id="1448156441">
      <w:bodyDiv w:val="1"/>
      <w:marLeft w:val="0"/>
      <w:marRight w:val="0"/>
      <w:marTop w:val="0"/>
      <w:marBottom w:val="0"/>
      <w:divBdr>
        <w:top w:val="none" w:sz="0" w:space="0" w:color="auto"/>
        <w:left w:val="none" w:sz="0" w:space="0" w:color="auto"/>
        <w:bottom w:val="none" w:sz="0" w:space="0" w:color="auto"/>
        <w:right w:val="none" w:sz="0" w:space="0" w:color="auto"/>
      </w:divBdr>
    </w:div>
    <w:div w:id="1464499135">
      <w:bodyDiv w:val="1"/>
      <w:marLeft w:val="0"/>
      <w:marRight w:val="0"/>
      <w:marTop w:val="0"/>
      <w:marBottom w:val="0"/>
      <w:divBdr>
        <w:top w:val="none" w:sz="0" w:space="0" w:color="auto"/>
        <w:left w:val="none" w:sz="0" w:space="0" w:color="auto"/>
        <w:bottom w:val="none" w:sz="0" w:space="0" w:color="auto"/>
        <w:right w:val="none" w:sz="0" w:space="0" w:color="auto"/>
      </w:divBdr>
    </w:div>
    <w:div w:id="1465540849">
      <w:bodyDiv w:val="1"/>
      <w:marLeft w:val="0"/>
      <w:marRight w:val="0"/>
      <w:marTop w:val="0"/>
      <w:marBottom w:val="0"/>
      <w:divBdr>
        <w:top w:val="none" w:sz="0" w:space="0" w:color="auto"/>
        <w:left w:val="none" w:sz="0" w:space="0" w:color="auto"/>
        <w:bottom w:val="none" w:sz="0" w:space="0" w:color="auto"/>
        <w:right w:val="none" w:sz="0" w:space="0" w:color="auto"/>
      </w:divBdr>
    </w:div>
    <w:div w:id="1476331460">
      <w:bodyDiv w:val="1"/>
      <w:marLeft w:val="0"/>
      <w:marRight w:val="0"/>
      <w:marTop w:val="0"/>
      <w:marBottom w:val="0"/>
      <w:divBdr>
        <w:top w:val="none" w:sz="0" w:space="0" w:color="auto"/>
        <w:left w:val="none" w:sz="0" w:space="0" w:color="auto"/>
        <w:bottom w:val="none" w:sz="0" w:space="0" w:color="auto"/>
        <w:right w:val="none" w:sz="0" w:space="0" w:color="auto"/>
      </w:divBdr>
    </w:div>
    <w:div w:id="1484157883">
      <w:bodyDiv w:val="1"/>
      <w:marLeft w:val="0"/>
      <w:marRight w:val="0"/>
      <w:marTop w:val="0"/>
      <w:marBottom w:val="0"/>
      <w:divBdr>
        <w:top w:val="none" w:sz="0" w:space="0" w:color="auto"/>
        <w:left w:val="none" w:sz="0" w:space="0" w:color="auto"/>
        <w:bottom w:val="none" w:sz="0" w:space="0" w:color="auto"/>
        <w:right w:val="none" w:sz="0" w:space="0" w:color="auto"/>
      </w:divBdr>
    </w:div>
    <w:div w:id="1488354659">
      <w:bodyDiv w:val="1"/>
      <w:marLeft w:val="0"/>
      <w:marRight w:val="0"/>
      <w:marTop w:val="0"/>
      <w:marBottom w:val="0"/>
      <w:divBdr>
        <w:top w:val="none" w:sz="0" w:space="0" w:color="auto"/>
        <w:left w:val="none" w:sz="0" w:space="0" w:color="auto"/>
        <w:bottom w:val="none" w:sz="0" w:space="0" w:color="auto"/>
        <w:right w:val="none" w:sz="0" w:space="0" w:color="auto"/>
      </w:divBdr>
    </w:div>
    <w:div w:id="1492017472">
      <w:bodyDiv w:val="1"/>
      <w:marLeft w:val="0"/>
      <w:marRight w:val="0"/>
      <w:marTop w:val="0"/>
      <w:marBottom w:val="0"/>
      <w:divBdr>
        <w:top w:val="none" w:sz="0" w:space="0" w:color="auto"/>
        <w:left w:val="none" w:sz="0" w:space="0" w:color="auto"/>
        <w:bottom w:val="none" w:sz="0" w:space="0" w:color="auto"/>
        <w:right w:val="none" w:sz="0" w:space="0" w:color="auto"/>
      </w:divBdr>
    </w:div>
    <w:div w:id="1492258855">
      <w:bodyDiv w:val="1"/>
      <w:marLeft w:val="0"/>
      <w:marRight w:val="0"/>
      <w:marTop w:val="0"/>
      <w:marBottom w:val="0"/>
      <w:divBdr>
        <w:top w:val="none" w:sz="0" w:space="0" w:color="auto"/>
        <w:left w:val="none" w:sz="0" w:space="0" w:color="auto"/>
        <w:bottom w:val="none" w:sz="0" w:space="0" w:color="auto"/>
        <w:right w:val="none" w:sz="0" w:space="0" w:color="auto"/>
      </w:divBdr>
    </w:div>
    <w:div w:id="1492481578">
      <w:bodyDiv w:val="1"/>
      <w:marLeft w:val="0"/>
      <w:marRight w:val="0"/>
      <w:marTop w:val="0"/>
      <w:marBottom w:val="0"/>
      <w:divBdr>
        <w:top w:val="none" w:sz="0" w:space="0" w:color="auto"/>
        <w:left w:val="none" w:sz="0" w:space="0" w:color="auto"/>
        <w:bottom w:val="none" w:sz="0" w:space="0" w:color="auto"/>
        <w:right w:val="none" w:sz="0" w:space="0" w:color="auto"/>
      </w:divBdr>
    </w:div>
    <w:div w:id="1508062228">
      <w:bodyDiv w:val="1"/>
      <w:marLeft w:val="0"/>
      <w:marRight w:val="0"/>
      <w:marTop w:val="0"/>
      <w:marBottom w:val="0"/>
      <w:divBdr>
        <w:top w:val="none" w:sz="0" w:space="0" w:color="auto"/>
        <w:left w:val="none" w:sz="0" w:space="0" w:color="auto"/>
        <w:bottom w:val="none" w:sz="0" w:space="0" w:color="auto"/>
        <w:right w:val="none" w:sz="0" w:space="0" w:color="auto"/>
      </w:divBdr>
    </w:div>
    <w:div w:id="1509129683">
      <w:bodyDiv w:val="1"/>
      <w:marLeft w:val="0"/>
      <w:marRight w:val="0"/>
      <w:marTop w:val="0"/>
      <w:marBottom w:val="0"/>
      <w:divBdr>
        <w:top w:val="none" w:sz="0" w:space="0" w:color="auto"/>
        <w:left w:val="none" w:sz="0" w:space="0" w:color="auto"/>
        <w:bottom w:val="none" w:sz="0" w:space="0" w:color="auto"/>
        <w:right w:val="none" w:sz="0" w:space="0" w:color="auto"/>
      </w:divBdr>
    </w:div>
    <w:div w:id="1514371368">
      <w:bodyDiv w:val="1"/>
      <w:marLeft w:val="0"/>
      <w:marRight w:val="0"/>
      <w:marTop w:val="0"/>
      <w:marBottom w:val="0"/>
      <w:divBdr>
        <w:top w:val="none" w:sz="0" w:space="0" w:color="auto"/>
        <w:left w:val="none" w:sz="0" w:space="0" w:color="auto"/>
        <w:bottom w:val="none" w:sz="0" w:space="0" w:color="auto"/>
        <w:right w:val="none" w:sz="0" w:space="0" w:color="auto"/>
      </w:divBdr>
    </w:div>
    <w:div w:id="1518501856">
      <w:bodyDiv w:val="1"/>
      <w:marLeft w:val="0"/>
      <w:marRight w:val="0"/>
      <w:marTop w:val="0"/>
      <w:marBottom w:val="0"/>
      <w:divBdr>
        <w:top w:val="none" w:sz="0" w:space="0" w:color="auto"/>
        <w:left w:val="none" w:sz="0" w:space="0" w:color="auto"/>
        <w:bottom w:val="none" w:sz="0" w:space="0" w:color="auto"/>
        <w:right w:val="none" w:sz="0" w:space="0" w:color="auto"/>
      </w:divBdr>
    </w:div>
    <w:div w:id="1529904931">
      <w:bodyDiv w:val="1"/>
      <w:marLeft w:val="0"/>
      <w:marRight w:val="0"/>
      <w:marTop w:val="0"/>
      <w:marBottom w:val="0"/>
      <w:divBdr>
        <w:top w:val="none" w:sz="0" w:space="0" w:color="auto"/>
        <w:left w:val="none" w:sz="0" w:space="0" w:color="auto"/>
        <w:bottom w:val="none" w:sz="0" w:space="0" w:color="auto"/>
        <w:right w:val="none" w:sz="0" w:space="0" w:color="auto"/>
      </w:divBdr>
    </w:div>
    <w:div w:id="1530069938">
      <w:bodyDiv w:val="1"/>
      <w:marLeft w:val="0"/>
      <w:marRight w:val="0"/>
      <w:marTop w:val="0"/>
      <w:marBottom w:val="0"/>
      <w:divBdr>
        <w:top w:val="none" w:sz="0" w:space="0" w:color="auto"/>
        <w:left w:val="none" w:sz="0" w:space="0" w:color="auto"/>
        <w:bottom w:val="none" w:sz="0" w:space="0" w:color="auto"/>
        <w:right w:val="none" w:sz="0" w:space="0" w:color="auto"/>
      </w:divBdr>
    </w:div>
    <w:div w:id="1531839276">
      <w:bodyDiv w:val="1"/>
      <w:marLeft w:val="0"/>
      <w:marRight w:val="0"/>
      <w:marTop w:val="0"/>
      <w:marBottom w:val="0"/>
      <w:divBdr>
        <w:top w:val="none" w:sz="0" w:space="0" w:color="auto"/>
        <w:left w:val="none" w:sz="0" w:space="0" w:color="auto"/>
        <w:bottom w:val="none" w:sz="0" w:space="0" w:color="auto"/>
        <w:right w:val="none" w:sz="0" w:space="0" w:color="auto"/>
      </w:divBdr>
    </w:div>
    <w:div w:id="1531869823">
      <w:bodyDiv w:val="1"/>
      <w:marLeft w:val="0"/>
      <w:marRight w:val="0"/>
      <w:marTop w:val="0"/>
      <w:marBottom w:val="0"/>
      <w:divBdr>
        <w:top w:val="none" w:sz="0" w:space="0" w:color="auto"/>
        <w:left w:val="none" w:sz="0" w:space="0" w:color="auto"/>
        <w:bottom w:val="none" w:sz="0" w:space="0" w:color="auto"/>
        <w:right w:val="none" w:sz="0" w:space="0" w:color="auto"/>
      </w:divBdr>
    </w:div>
    <w:div w:id="1541934214">
      <w:bodyDiv w:val="1"/>
      <w:marLeft w:val="0"/>
      <w:marRight w:val="0"/>
      <w:marTop w:val="0"/>
      <w:marBottom w:val="0"/>
      <w:divBdr>
        <w:top w:val="none" w:sz="0" w:space="0" w:color="auto"/>
        <w:left w:val="none" w:sz="0" w:space="0" w:color="auto"/>
        <w:bottom w:val="none" w:sz="0" w:space="0" w:color="auto"/>
        <w:right w:val="none" w:sz="0" w:space="0" w:color="auto"/>
      </w:divBdr>
    </w:div>
    <w:div w:id="1555506295">
      <w:bodyDiv w:val="1"/>
      <w:marLeft w:val="0"/>
      <w:marRight w:val="0"/>
      <w:marTop w:val="0"/>
      <w:marBottom w:val="0"/>
      <w:divBdr>
        <w:top w:val="none" w:sz="0" w:space="0" w:color="auto"/>
        <w:left w:val="none" w:sz="0" w:space="0" w:color="auto"/>
        <w:bottom w:val="none" w:sz="0" w:space="0" w:color="auto"/>
        <w:right w:val="none" w:sz="0" w:space="0" w:color="auto"/>
      </w:divBdr>
    </w:div>
    <w:div w:id="1556965211">
      <w:bodyDiv w:val="1"/>
      <w:marLeft w:val="0"/>
      <w:marRight w:val="0"/>
      <w:marTop w:val="0"/>
      <w:marBottom w:val="0"/>
      <w:divBdr>
        <w:top w:val="none" w:sz="0" w:space="0" w:color="auto"/>
        <w:left w:val="none" w:sz="0" w:space="0" w:color="auto"/>
        <w:bottom w:val="none" w:sz="0" w:space="0" w:color="auto"/>
        <w:right w:val="none" w:sz="0" w:space="0" w:color="auto"/>
      </w:divBdr>
    </w:div>
    <w:div w:id="1591232585">
      <w:bodyDiv w:val="1"/>
      <w:marLeft w:val="0"/>
      <w:marRight w:val="0"/>
      <w:marTop w:val="0"/>
      <w:marBottom w:val="0"/>
      <w:divBdr>
        <w:top w:val="none" w:sz="0" w:space="0" w:color="auto"/>
        <w:left w:val="none" w:sz="0" w:space="0" w:color="auto"/>
        <w:bottom w:val="none" w:sz="0" w:space="0" w:color="auto"/>
        <w:right w:val="none" w:sz="0" w:space="0" w:color="auto"/>
      </w:divBdr>
    </w:div>
    <w:div w:id="1594777446">
      <w:bodyDiv w:val="1"/>
      <w:marLeft w:val="0"/>
      <w:marRight w:val="0"/>
      <w:marTop w:val="0"/>
      <w:marBottom w:val="0"/>
      <w:divBdr>
        <w:top w:val="none" w:sz="0" w:space="0" w:color="auto"/>
        <w:left w:val="none" w:sz="0" w:space="0" w:color="auto"/>
        <w:bottom w:val="none" w:sz="0" w:space="0" w:color="auto"/>
        <w:right w:val="none" w:sz="0" w:space="0" w:color="auto"/>
      </w:divBdr>
    </w:div>
    <w:div w:id="1598829274">
      <w:bodyDiv w:val="1"/>
      <w:marLeft w:val="0"/>
      <w:marRight w:val="0"/>
      <w:marTop w:val="0"/>
      <w:marBottom w:val="0"/>
      <w:divBdr>
        <w:top w:val="none" w:sz="0" w:space="0" w:color="auto"/>
        <w:left w:val="none" w:sz="0" w:space="0" w:color="auto"/>
        <w:bottom w:val="none" w:sz="0" w:space="0" w:color="auto"/>
        <w:right w:val="none" w:sz="0" w:space="0" w:color="auto"/>
      </w:divBdr>
    </w:div>
    <w:div w:id="1626808144">
      <w:bodyDiv w:val="1"/>
      <w:marLeft w:val="0"/>
      <w:marRight w:val="0"/>
      <w:marTop w:val="0"/>
      <w:marBottom w:val="0"/>
      <w:divBdr>
        <w:top w:val="none" w:sz="0" w:space="0" w:color="auto"/>
        <w:left w:val="none" w:sz="0" w:space="0" w:color="auto"/>
        <w:bottom w:val="none" w:sz="0" w:space="0" w:color="auto"/>
        <w:right w:val="none" w:sz="0" w:space="0" w:color="auto"/>
      </w:divBdr>
    </w:div>
    <w:div w:id="1632205606">
      <w:bodyDiv w:val="1"/>
      <w:marLeft w:val="0"/>
      <w:marRight w:val="0"/>
      <w:marTop w:val="0"/>
      <w:marBottom w:val="0"/>
      <w:divBdr>
        <w:top w:val="none" w:sz="0" w:space="0" w:color="auto"/>
        <w:left w:val="none" w:sz="0" w:space="0" w:color="auto"/>
        <w:bottom w:val="none" w:sz="0" w:space="0" w:color="auto"/>
        <w:right w:val="none" w:sz="0" w:space="0" w:color="auto"/>
      </w:divBdr>
    </w:div>
    <w:div w:id="1633755037">
      <w:bodyDiv w:val="1"/>
      <w:marLeft w:val="0"/>
      <w:marRight w:val="0"/>
      <w:marTop w:val="0"/>
      <w:marBottom w:val="0"/>
      <w:divBdr>
        <w:top w:val="none" w:sz="0" w:space="0" w:color="auto"/>
        <w:left w:val="none" w:sz="0" w:space="0" w:color="auto"/>
        <w:bottom w:val="none" w:sz="0" w:space="0" w:color="auto"/>
        <w:right w:val="none" w:sz="0" w:space="0" w:color="auto"/>
      </w:divBdr>
    </w:div>
    <w:div w:id="1642688420">
      <w:bodyDiv w:val="1"/>
      <w:marLeft w:val="0"/>
      <w:marRight w:val="0"/>
      <w:marTop w:val="0"/>
      <w:marBottom w:val="0"/>
      <w:divBdr>
        <w:top w:val="none" w:sz="0" w:space="0" w:color="auto"/>
        <w:left w:val="none" w:sz="0" w:space="0" w:color="auto"/>
        <w:bottom w:val="none" w:sz="0" w:space="0" w:color="auto"/>
        <w:right w:val="none" w:sz="0" w:space="0" w:color="auto"/>
      </w:divBdr>
    </w:div>
    <w:div w:id="1651132923">
      <w:bodyDiv w:val="1"/>
      <w:marLeft w:val="0"/>
      <w:marRight w:val="0"/>
      <w:marTop w:val="0"/>
      <w:marBottom w:val="0"/>
      <w:divBdr>
        <w:top w:val="none" w:sz="0" w:space="0" w:color="auto"/>
        <w:left w:val="none" w:sz="0" w:space="0" w:color="auto"/>
        <w:bottom w:val="none" w:sz="0" w:space="0" w:color="auto"/>
        <w:right w:val="none" w:sz="0" w:space="0" w:color="auto"/>
      </w:divBdr>
      <w:divsChild>
        <w:div w:id="560287061">
          <w:marLeft w:val="0"/>
          <w:marRight w:val="0"/>
          <w:marTop w:val="0"/>
          <w:marBottom w:val="0"/>
          <w:divBdr>
            <w:top w:val="none" w:sz="0" w:space="0" w:color="auto"/>
            <w:left w:val="none" w:sz="0" w:space="0" w:color="auto"/>
            <w:bottom w:val="none" w:sz="0" w:space="0" w:color="auto"/>
            <w:right w:val="none" w:sz="0" w:space="0" w:color="auto"/>
          </w:divBdr>
          <w:divsChild>
            <w:div w:id="1749116059">
              <w:marLeft w:val="0"/>
              <w:marRight w:val="0"/>
              <w:marTop w:val="0"/>
              <w:marBottom w:val="0"/>
              <w:divBdr>
                <w:top w:val="none" w:sz="0" w:space="0" w:color="auto"/>
                <w:left w:val="none" w:sz="0" w:space="0" w:color="auto"/>
                <w:bottom w:val="none" w:sz="0" w:space="0" w:color="auto"/>
                <w:right w:val="none" w:sz="0" w:space="0" w:color="auto"/>
              </w:divBdr>
              <w:divsChild>
                <w:div w:id="883761147">
                  <w:marLeft w:val="0"/>
                  <w:marRight w:val="0"/>
                  <w:marTop w:val="0"/>
                  <w:marBottom w:val="0"/>
                  <w:divBdr>
                    <w:top w:val="none" w:sz="0" w:space="0" w:color="auto"/>
                    <w:left w:val="none" w:sz="0" w:space="0" w:color="auto"/>
                    <w:bottom w:val="none" w:sz="0" w:space="0" w:color="auto"/>
                    <w:right w:val="none" w:sz="0" w:space="0" w:color="auto"/>
                  </w:divBdr>
                  <w:divsChild>
                    <w:div w:id="386033032">
                      <w:marLeft w:val="0"/>
                      <w:marRight w:val="0"/>
                      <w:marTop w:val="0"/>
                      <w:marBottom w:val="0"/>
                      <w:divBdr>
                        <w:top w:val="none" w:sz="0" w:space="0" w:color="auto"/>
                        <w:left w:val="none" w:sz="0" w:space="0" w:color="auto"/>
                        <w:bottom w:val="none" w:sz="0" w:space="0" w:color="auto"/>
                        <w:right w:val="none" w:sz="0" w:space="0" w:color="auto"/>
                      </w:divBdr>
                      <w:divsChild>
                        <w:div w:id="958149830">
                          <w:marLeft w:val="0"/>
                          <w:marRight w:val="0"/>
                          <w:marTop w:val="0"/>
                          <w:marBottom w:val="0"/>
                          <w:divBdr>
                            <w:top w:val="none" w:sz="0" w:space="0" w:color="auto"/>
                            <w:left w:val="none" w:sz="0" w:space="0" w:color="auto"/>
                            <w:bottom w:val="none" w:sz="0" w:space="0" w:color="auto"/>
                            <w:right w:val="none" w:sz="0" w:space="0" w:color="auto"/>
                          </w:divBdr>
                          <w:divsChild>
                            <w:div w:id="113982983">
                              <w:marLeft w:val="0"/>
                              <w:marRight w:val="0"/>
                              <w:marTop w:val="0"/>
                              <w:marBottom w:val="0"/>
                              <w:divBdr>
                                <w:top w:val="none" w:sz="0" w:space="0" w:color="auto"/>
                                <w:left w:val="none" w:sz="0" w:space="0" w:color="auto"/>
                                <w:bottom w:val="none" w:sz="0" w:space="0" w:color="auto"/>
                                <w:right w:val="none" w:sz="0" w:space="0" w:color="auto"/>
                              </w:divBdr>
                              <w:divsChild>
                                <w:div w:id="628360669">
                                  <w:marLeft w:val="0"/>
                                  <w:marRight w:val="0"/>
                                  <w:marTop w:val="0"/>
                                  <w:marBottom w:val="0"/>
                                  <w:divBdr>
                                    <w:top w:val="none" w:sz="0" w:space="0" w:color="auto"/>
                                    <w:left w:val="none" w:sz="0" w:space="0" w:color="auto"/>
                                    <w:bottom w:val="none" w:sz="0" w:space="0" w:color="auto"/>
                                    <w:right w:val="none" w:sz="0" w:space="0" w:color="auto"/>
                                  </w:divBdr>
                                  <w:divsChild>
                                    <w:div w:id="2124573534">
                                      <w:marLeft w:val="0"/>
                                      <w:marRight w:val="0"/>
                                      <w:marTop w:val="0"/>
                                      <w:marBottom w:val="0"/>
                                      <w:divBdr>
                                        <w:top w:val="none" w:sz="0" w:space="0" w:color="auto"/>
                                        <w:left w:val="none" w:sz="0" w:space="0" w:color="auto"/>
                                        <w:bottom w:val="none" w:sz="0" w:space="0" w:color="auto"/>
                                        <w:right w:val="none" w:sz="0" w:space="0" w:color="auto"/>
                                      </w:divBdr>
                                      <w:divsChild>
                                        <w:div w:id="1869685652">
                                          <w:marLeft w:val="0"/>
                                          <w:marRight w:val="0"/>
                                          <w:marTop w:val="0"/>
                                          <w:marBottom w:val="0"/>
                                          <w:divBdr>
                                            <w:top w:val="none" w:sz="0" w:space="0" w:color="auto"/>
                                            <w:left w:val="none" w:sz="0" w:space="0" w:color="auto"/>
                                            <w:bottom w:val="none" w:sz="0" w:space="0" w:color="auto"/>
                                            <w:right w:val="none" w:sz="0" w:space="0" w:color="auto"/>
                                          </w:divBdr>
                                          <w:divsChild>
                                            <w:div w:id="60952583">
                                              <w:marLeft w:val="0"/>
                                              <w:marRight w:val="0"/>
                                              <w:marTop w:val="0"/>
                                              <w:marBottom w:val="0"/>
                                              <w:divBdr>
                                                <w:top w:val="none" w:sz="0" w:space="0" w:color="auto"/>
                                                <w:left w:val="none" w:sz="0" w:space="0" w:color="auto"/>
                                                <w:bottom w:val="none" w:sz="0" w:space="0" w:color="auto"/>
                                                <w:right w:val="none" w:sz="0" w:space="0" w:color="auto"/>
                                              </w:divBdr>
                                              <w:divsChild>
                                                <w:div w:id="1079057490">
                                                  <w:marLeft w:val="0"/>
                                                  <w:marRight w:val="0"/>
                                                  <w:marTop w:val="0"/>
                                                  <w:marBottom w:val="0"/>
                                                  <w:divBdr>
                                                    <w:top w:val="none" w:sz="0" w:space="0" w:color="auto"/>
                                                    <w:left w:val="none" w:sz="0" w:space="0" w:color="auto"/>
                                                    <w:bottom w:val="none" w:sz="0" w:space="0" w:color="auto"/>
                                                    <w:right w:val="none" w:sz="0" w:space="0" w:color="auto"/>
                                                  </w:divBdr>
                                                  <w:divsChild>
                                                    <w:div w:id="143015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8804435">
      <w:bodyDiv w:val="1"/>
      <w:marLeft w:val="0"/>
      <w:marRight w:val="0"/>
      <w:marTop w:val="0"/>
      <w:marBottom w:val="0"/>
      <w:divBdr>
        <w:top w:val="none" w:sz="0" w:space="0" w:color="auto"/>
        <w:left w:val="none" w:sz="0" w:space="0" w:color="auto"/>
        <w:bottom w:val="none" w:sz="0" w:space="0" w:color="auto"/>
        <w:right w:val="none" w:sz="0" w:space="0" w:color="auto"/>
      </w:divBdr>
    </w:div>
    <w:div w:id="1661537179">
      <w:bodyDiv w:val="1"/>
      <w:marLeft w:val="0"/>
      <w:marRight w:val="0"/>
      <w:marTop w:val="0"/>
      <w:marBottom w:val="0"/>
      <w:divBdr>
        <w:top w:val="none" w:sz="0" w:space="0" w:color="auto"/>
        <w:left w:val="none" w:sz="0" w:space="0" w:color="auto"/>
        <w:bottom w:val="none" w:sz="0" w:space="0" w:color="auto"/>
        <w:right w:val="none" w:sz="0" w:space="0" w:color="auto"/>
      </w:divBdr>
    </w:div>
    <w:div w:id="1664122209">
      <w:bodyDiv w:val="1"/>
      <w:marLeft w:val="0"/>
      <w:marRight w:val="0"/>
      <w:marTop w:val="0"/>
      <w:marBottom w:val="0"/>
      <w:divBdr>
        <w:top w:val="none" w:sz="0" w:space="0" w:color="auto"/>
        <w:left w:val="none" w:sz="0" w:space="0" w:color="auto"/>
        <w:bottom w:val="none" w:sz="0" w:space="0" w:color="auto"/>
        <w:right w:val="none" w:sz="0" w:space="0" w:color="auto"/>
      </w:divBdr>
    </w:div>
    <w:div w:id="1669403601">
      <w:bodyDiv w:val="1"/>
      <w:marLeft w:val="0"/>
      <w:marRight w:val="0"/>
      <w:marTop w:val="0"/>
      <w:marBottom w:val="0"/>
      <w:divBdr>
        <w:top w:val="none" w:sz="0" w:space="0" w:color="auto"/>
        <w:left w:val="none" w:sz="0" w:space="0" w:color="auto"/>
        <w:bottom w:val="none" w:sz="0" w:space="0" w:color="auto"/>
        <w:right w:val="none" w:sz="0" w:space="0" w:color="auto"/>
      </w:divBdr>
    </w:div>
    <w:div w:id="1670593262">
      <w:bodyDiv w:val="1"/>
      <w:marLeft w:val="0"/>
      <w:marRight w:val="0"/>
      <w:marTop w:val="0"/>
      <w:marBottom w:val="0"/>
      <w:divBdr>
        <w:top w:val="none" w:sz="0" w:space="0" w:color="auto"/>
        <w:left w:val="none" w:sz="0" w:space="0" w:color="auto"/>
        <w:bottom w:val="none" w:sz="0" w:space="0" w:color="auto"/>
        <w:right w:val="none" w:sz="0" w:space="0" w:color="auto"/>
      </w:divBdr>
    </w:div>
    <w:div w:id="1680277748">
      <w:bodyDiv w:val="1"/>
      <w:marLeft w:val="0"/>
      <w:marRight w:val="0"/>
      <w:marTop w:val="0"/>
      <w:marBottom w:val="0"/>
      <w:divBdr>
        <w:top w:val="none" w:sz="0" w:space="0" w:color="auto"/>
        <w:left w:val="none" w:sz="0" w:space="0" w:color="auto"/>
        <w:bottom w:val="none" w:sz="0" w:space="0" w:color="auto"/>
        <w:right w:val="none" w:sz="0" w:space="0" w:color="auto"/>
      </w:divBdr>
    </w:div>
    <w:div w:id="1684815522">
      <w:bodyDiv w:val="1"/>
      <w:marLeft w:val="0"/>
      <w:marRight w:val="0"/>
      <w:marTop w:val="0"/>
      <w:marBottom w:val="0"/>
      <w:divBdr>
        <w:top w:val="none" w:sz="0" w:space="0" w:color="auto"/>
        <w:left w:val="none" w:sz="0" w:space="0" w:color="auto"/>
        <w:bottom w:val="none" w:sz="0" w:space="0" w:color="auto"/>
        <w:right w:val="none" w:sz="0" w:space="0" w:color="auto"/>
      </w:divBdr>
    </w:div>
    <w:div w:id="1693459943">
      <w:bodyDiv w:val="1"/>
      <w:marLeft w:val="0"/>
      <w:marRight w:val="0"/>
      <w:marTop w:val="0"/>
      <w:marBottom w:val="0"/>
      <w:divBdr>
        <w:top w:val="none" w:sz="0" w:space="0" w:color="auto"/>
        <w:left w:val="none" w:sz="0" w:space="0" w:color="auto"/>
        <w:bottom w:val="none" w:sz="0" w:space="0" w:color="auto"/>
        <w:right w:val="none" w:sz="0" w:space="0" w:color="auto"/>
      </w:divBdr>
    </w:div>
    <w:div w:id="1693605196">
      <w:bodyDiv w:val="1"/>
      <w:marLeft w:val="0"/>
      <w:marRight w:val="0"/>
      <w:marTop w:val="0"/>
      <w:marBottom w:val="0"/>
      <w:divBdr>
        <w:top w:val="none" w:sz="0" w:space="0" w:color="auto"/>
        <w:left w:val="none" w:sz="0" w:space="0" w:color="auto"/>
        <w:bottom w:val="none" w:sz="0" w:space="0" w:color="auto"/>
        <w:right w:val="none" w:sz="0" w:space="0" w:color="auto"/>
      </w:divBdr>
    </w:div>
    <w:div w:id="1695382433">
      <w:bodyDiv w:val="1"/>
      <w:marLeft w:val="0"/>
      <w:marRight w:val="0"/>
      <w:marTop w:val="0"/>
      <w:marBottom w:val="0"/>
      <w:divBdr>
        <w:top w:val="none" w:sz="0" w:space="0" w:color="auto"/>
        <w:left w:val="none" w:sz="0" w:space="0" w:color="auto"/>
        <w:bottom w:val="none" w:sz="0" w:space="0" w:color="auto"/>
        <w:right w:val="none" w:sz="0" w:space="0" w:color="auto"/>
      </w:divBdr>
    </w:div>
    <w:div w:id="1703089980">
      <w:bodyDiv w:val="1"/>
      <w:marLeft w:val="0"/>
      <w:marRight w:val="0"/>
      <w:marTop w:val="0"/>
      <w:marBottom w:val="0"/>
      <w:divBdr>
        <w:top w:val="none" w:sz="0" w:space="0" w:color="auto"/>
        <w:left w:val="none" w:sz="0" w:space="0" w:color="auto"/>
        <w:bottom w:val="none" w:sz="0" w:space="0" w:color="auto"/>
        <w:right w:val="none" w:sz="0" w:space="0" w:color="auto"/>
      </w:divBdr>
    </w:div>
    <w:div w:id="1704791188">
      <w:bodyDiv w:val="1"/>
      <w:marLeft w:val="0"/>
      <w:marRight w:val="0"/>
      <w:marTop w:val="0"/>
      <w:marBottom w:val="0"/>
      <w:divBdr>
        <w:top w:val="none" w:sz="0" w:space="0" w:color="auto"/>
        <w:left w:val="none" w:sz="0" w:space="0" w:color="auto"/>
        <w:bottom w:val="none" w:sz="0" w:space="0" w:color="auto"/>
        <w:right w:val="none" w:sz="0" w:space="0" w:color="auto"/>
      </w:divBdr>
    </w:div>
    <w:div w:id="1715812427">
      <w:bodyDiv w:val="1"/>
      <w:marLeft w:val="0"/>
      <w:marRight w:val="0"/>
      <w:marTop w:val="0"/>
      <w:marBottom w:val="0"/>
      <w:divBdr>
        <w:top w:val="none" w:sz="0" w:space="0" w:color="auto"/>
        <w:left w:val="none" w:sz="0" w:space="0" w:color="auto"/>
        <w:bottom w:val="none" w:sz="0" w:space="0" w:color="auto"/>
        <w:right w:val="none" w:sz="0" w:space="0" w:color="auto"/>
      </w:divBdr>
    </w:div>
    <w:div w:id="1720206243">
      <w:bodyDiv w:val="1"/>
      <w:marLeft w:val="0"/>
      <w:marRight w:val="0"/>
      <w:marTop w:val="0"/>
      <w:marBottom w:val="0"/>
      <w:divBdr>
        <w:top w:val="none" w:sz="0" w:space="0" w:color="auto"/>
        <w:left w:val="none" w:sz="0" w:space="0" w:color="auto"/>
        <w:bottom w:val="none" w:sz="0" w:space="0" w:color="auto"/>
        <w:right w:val="none" w:sz="0" w:space="0" w:color="auto"/>
      </w:divBdr>
    </w:div>
    <w:div w:id="1723168903">
      <w:bodyDiv w:val="1"/>
      <w:marLeft w:val="0"/>
      <w:marRight w:val="0"/>
      <w:marTop w:val="0"/>
      <w:marBottom w:val="0"/>
      <w:divBdr>
        <w:top w:val="none" w:sz="0" w:space="0" w:color="auto"/>
        <w:left w:val="none" w:sz="0" w:space="0" w:color="auto"/>
        <w:bottom w:val="none" w:sz="0" w:space="0" w:color="auto"/>
        <w:right w:val="none" w:sz="0" w:space="0" w:color="auto"/>
      </w:divBdr>
    </w:div>
    <w:div w:id="1726098973">
      <w:bodyDiv w:val="1"/>
      <w:marLeft w:val="0"/>
      <w:marRight w:val="0"/>
      <w:marTop w:val="0"/>
      <w:marBottom w:val="0"/>
      <w:divBdr>
        <w:top w:val="none" w:sz="0" w:space="0" w:color="auto"/>
        <w:left w:val="none" w:sz="0" w:space="0" w:color="auto"/>
        <w:bottom w:val="none" w:sz="0" w:space="0" w:color="auto"/>
        <w:right w:val="none" w:sz="0" w:space="0" w:color="auto"/>
      </w:divBdr>
    </w:div>
    <w:div w:id="1732264387">
      <w:bodyDiv w:val="1"/>
      <w:marLeft w:val="0"/>
      <w:marRight w:val="0"/>
      <w:marTop w:val="0"/>
      <w:marBottom w:val="0"/>
      <w:divBdr>
        <w:top w:val="none" w:sz="0" w:space="0" w:color="auto"/>
        <w:left w:val="none" w:sz="0" w:space="0" w:color="auto"/>
        <w:bottom w:val="none" w:sz="0" w:space="0" w:color="auto"/>
        <w:right w:val="none" w:sz="0" w:space="0" w:color="auto"/>
      </w:divBdr>
    </w:div>
    <w:div w:id="1754929526">
      <w:bodyDiv w:val="1"/>
      <w:marLeft w:val="0"/>
      <w:marRight w:val="0"/>
      <w:marTop w:val="0"/>
      <w:marBottom w:val="0"/>
      <w:divBdr>
        <w:top w:val="none" w:sz="0" w:space="0" w:color="auto"/>
        <w:left w:val="none" w:sz="0" w:space="0" w:color="auto"/>
        <w:bottom w:val="none" w:sz="0" w:space="0" w:color="auto"/>
        <w:right w:val="none" w:sz="0" w:space="0" w:color="auto"/>
      </w:divBdr>
    </w:div>
    <w:div w:id="1765375021">
      <w:bodyDiv w:val="1"/>
      <w:marLeft w:val="0"/>
      <w:marRight w:val="0"/>
      <w:marTop w:val="0"/>
      <w:marBottom w:val="0"/>
      <w:divBdr>
        <w:top w:val="none" w:sz="0" w:space="0" w:color="auto"/>
        <w:left w:val="none" w:sz="0" w:space="0" w:color="auto"/>
        <w:bottom w:val="none" w:sz="0" w:space="0" w:color="auto"/>
        <w:right w:val="none" w:sz="0" w:space="0" w:color="auto"/>
      </w:divBdr>
    </w:div>
    <w:div w:id="1770154374">
      <w:bodyDiv w:val="1"/>
      <w:marLeft w:val="0"/>
      <w:marRight w:val="0"/>
      <w:marTop w:val="0"/>
      <w:marBottom w:val="0"/>
      <w:divBdr>
        <w:top w:val="none" w:sz="0" w:space="0" w:color="auto"/>
        <w:left w:val="none" w:sz="0" w:space="0" w:color="auto"/>
        <w:bottom w:val="none" w:sz="0" w:space="0" w:color="auto"/>
        <w:right w:val="none" w:sz="0" w:space="0" w:color="auto"/>
      </w:divBdr>
    </w:div>
    <w:div w:id="1770664972">
      <w:bodyDiv w:val="1"/>
      <w:marLeft w:val="0"/>
      <w:marRight w:val="0"/>
      <w:marTop w:val="0"/>
      <w:marBottom w:val="0"/>
      <w:divBdr>
        <w:top w:val="none" w:sz="0" w:space="0" w:color="auto"/>
        <w:left w:val="none" w:sz="0" w:space="0" w:color="auto"/>
        <w:bottom w:val="none" w:sz="0" w:space="0" w:color="auto"/>
        <w:right w:val="none" w:sz="0" w:space="0" w:color="auto"/>
      </w:divBdr>
    </w:div>
    <w:div w:id="1775856959">
      <w:bodyDiv w:val="1"/>
      <w:marLeft w:val="0"/>
      <w:marRight w:val="0"/>
      <w:marTop w:val="0"/>
      <w:marBottom w:val="0"/>
      <w:divBdr>
        <w:top w:val="none" w:sz="0" w:space="0" w:color="auto"/>
        <w:left w:val="none" w:sz="0" w:space="0" w:color="auto"/>
        <w:bottom w:val="none" w:sz="0" w:space="0" w:color="auto"/>
        <w:right w:val="none" w:sz="0" w:space="0" w:color="auto"/>
      </w:divBdr>
    </w:div>
    <w:div w:id="1781485327">
      <w:bodyDiv w:val="1"/>
      <w:marLeft w:val="0"/>
      <w:marRight w:val="0"/>
      <w:marTop w:val="0"/>
      <w:marBottom w:val="0"/>
      <w:divBdr>
        <w:top w:val="none" w:sz="0" w:space="0" w:color="auto"/>
        <w:left w:val="none" w:sz="0" w:space="0" w:color="auto"/>
        <w:bottom w:val="none" w:sz="0" w:space="0" w:color="auto"/>
        <w:right w:val="none" w:sz="0" w:space="0" w:color="auto"/>
      </w:divBdr>
    </w:div>
    <w:div w:id="1782608964">
      <w:bodyDiv w:val="1"/>
      <w:marLeft w:val="0"/>
      <w:marRight w:val="0"/>
      <w:marTop w:val="0"/>
      <w:marBottom w:val="0"/>
      <w:divBdr>
        <w:top w:val="none" w:sz="0" w:space="0" w:color="auto"/>
        <w:left w:val="none" w:sz="0" w:space="0" w:color="auto"/>
        <w:bottom w:val="none" w:sz="0" w:space="0" w:color="auto"/>
        <w:right w:val="none" w:sz="0" w:space="0" w:color="auto"/>
      </w:divBdr>
    </w:div>
    <w:div w:id="1791892668">
      <w:bodyDiv w:val="1"/>
      <w:marLeft w:val="0"/>
      <w:marRight w:val="0"/>
      <w:marTop w:val="0"/>
      <w:marBottom w:val="0"/>
      <w:divBdr>
        <w:top w:val="none" w:sz="0" w:space="0" w:color="auto"/>
        <w:left w:val="none" w:sz="0" w:space="0" w:color="auto"/>
        <w:bottom w:val="none" w:sz="0" w:space="0" w:color="auto"/>
        <w:right w:val="none" w:sz="0" w:space="0" w:color="auto"/>
      </w:divBdr>
    </w:div>
    <w:div w:id="1806388399">
      <w:bodyDiv w:val="1"/>
      <w:marLeft w:val="0"/>
      <w:marRight w:val="0"/>
      <w:marTop w:val="0"/>
      <w:marBottom w:val="0"/>
      <w:divBdr>
        <w:top w:val="none" w:sz="0" w:space="0" w:color="auto"/>
        <w:left w:val="none" w:sz="0" w:space="0" w:color="auto"/>
        <w:bottom w:val="none" w:sz="0" w:space="0" w:color="auto"/>
        <w:right w:val="none" w:sz="0" w:space="0" w:color="auto"/>
      </w:divBdr>
    </w:div>
    <w:div w:id="1816296422">
      <w:bodyDiv w:val="1"/>
      <w:marLeft w:val="0"/>
      <w:marRight w:val="0"/>
      <w:marTop w:val="0"/>
      <w:marBottom w:val="0"/>
      <w:divBdr>
        <w:top w:val="none" w:sz="0" w:space="0" w:color="auto"/>
        <w:left w:val="none" w:sz="0" w:space="0" w:color="auto"/>
        <w:bottom w:val="none" w:sz="0" w:space="0" w:color="auto"/>
        <w:right w:val="none" w:sz="0" w:space="0" w:color="auto"/>
      </w:divBdr>
    </w:div>
    <w:div w:id="1829327199">
      <w:bodyDiv w:val="1"/>
      <w:marLeft w:val="0"/>
      <w:marRight w:val="0"/>
      <w:marTop w:val="0"/>
      <w:marBottom w:val="0"/>
      <w:divBdr>
        <w:top w:val="none" w:sz="0" w:space="0" w:color="auto"/>
        <w:left w:val="none" w:sz="0" w:space="0" w:color="auto"/>
        <w:bottom w:val="none" w:sz="0" w:space="0" w:color="auto"/>
        <w:right w:val="none" w:sz="0" w:space="0" w:color="auto"/>
      </w:divBdr>
    </w:div>
    <w:div w:id="1844003314">
      <w:bodyDiv w:val="1"/>
      <w:marLeft w:val="0"/>
      <w:marRight w:val="0"/>
      <w:marTop w:val="0"/>
      <w:marBottom w:val="0"/>
      <w:divBdr>
        <w:top w:val="none" w:sz="0" w:space="0" w:color="auto"/>
        <w:left w:val="none" w:sz="0" w:space="0" w:color="auto"/>
        <w:bottom w:val="none" w:sz="0" w:space="0" w:color="auto"/>
        <w:right w:val="none" w:sz="0" w:space="0" w:color="auto"/>
      </w:divBdr>
    </w:div>
    <w:div w:id="1845901087">
      <w:bodyDiv w:val="1"/>
      <w:marLeft w:val="0"/>
      <w:marRight w:val="0"/>
      <w:marTop w:val="0"/>
      <w:marBottom w:val="0"/>
      <w:divBdr>
        <w:top w:val="none" w:sz="0" w:space="0" w:color="auto"/>
        <w:left w:val="none" w:sz="0" w:space="0" w:color="auto"/>
        <w:bottom w:val="none" w:sz="0" w:space="0" w:color="auto"/>
        <w:right w:val="none" w:sz="0" w:space="0" w:color="auto"/>
      </w:divBdr>
    </w:div>
    <w:div w:id="1854420259">
      <w:bodyDiv w:val="1"/>
      <w:marLeft w:val="0"/>
      <w:marRight w:val="0"/>
      <w:marTop w:val="0"/>
      <w:marBottom w:val="0"/>
      <w:divBdr>
        <w:top w:val="none" w:sz="0" w:space="0" w:color="auto"/>
        <w:left w:val="none" w:sz="0" w:space="0" w:color="auto"/>
        <w:bottom w:val="none" w:sz="0" w:space="0" w:color="auto"/>
        <w:right w:val="none" w:sz="0" w:space="0" w:color="auto"/>
      </w:divBdr>
    </w:div>
    <w:div w:id="1855999431">
      <w:bodyDiv w:val="1"/>
      <w:marLeft w:val="0"/>
      <w:marRight w:val="0"/>
      <w:marTop w:val="0"/>
      <w:marBottom w:val="0"/>
      <w:divBdr>
        <w:top w:val="none" w:sz="0" w:space="0" w:color="auto"/>
        <w:left w:val="none" w:sz="0" w:space="0" w:color="auto"/>
        <w:bottom w:val="none" w:sz="0" w:space="0" w:color="auto"/>
        <w:right w:val="none" w:sz="0" w:space="0" w:color="auto"/>
      </w:divBdr>
    </w:div>
    <w:div w:id="1864511500">
      <w:bodyDiv w:val="1"/>
      <w:marLeft w:val="0"/>
      <w:marRight w:val="0"/>
      <w:marTop w:val="0"/>
      <w:marBottom w:val="0"/>
      <w:divBdr>
        <w:top w:val="none" w:sz="0" w:space="0" w:color="auto"/>
        <w:left w:val="none" w:sz="0" w:space="0" w:color="auto"/>
        <w:bottom w:val="none" w:sz="0" w:space="0" w:color="auto"/>
        <w:right w:val="none" w:sz="0" w:space="0" w:color="auto"/>
      </w:divBdr>
    </w:div>
    <w:div w:id="1868367929">
      <w:bodyDiv w:val="1"/>
      <w:marLeft w:val="0"/>
      <w:marRight w:val="0"/>
      <w:marTop w:val="0"/>
      <w:marBottom w:val="0"/>
      <w:divBdr>
        <w:top w:val="none" w:sz="0" w:space="0" w:color="auto"/>
        <w:left w:val="none" w:sz="0" w:space="0" w:color="auto"/>
        <w:bottom w:val="none" w:sz="0" w:space="0" w:color="auto"/>
        <w:right w:val="none" w:sz="0" w:space="0" w:color="auto"/>
      </w:divBdr>
    </w:div>
    <w:div w:id="1874727618">
      <w:bodyDiv w:val="1"/>
      <w:marLeft w:val="0"/>
      <w:marRight w:val="0"/>
      <w:marTop w:val="0"/>
      <w:marBottom w:val="0"/>
      <w:divBdr>
        <w:top w:val="none" w:sz="0" w:space="0" w:color="auto"/>
        <w:left w:val="none" w:sz="0" w:space="0" w:color="auto"/>
        <w:bottom w:val="none" w:sz="0" w:space="0" w:color="auto"/>
        <w:right w:val="none" w:sz="0" w:space="0" w:color="auto"/>
      </w:divBdr>
    </w:div>
    <w:div w:id="1877304914">
      <w:bodyDiv w:val="1"/>
      <w:marLeft w:val="0"/>
      <w:marRight w:val="0"/>
      <w:marTop w:val="0"/>
      <w:marBottom w:val="0"/>
      <w:divBdr>
        <w:top w:val="none" w:sz="0" w:space="0" w:color="auto"/>
        <w:left w:val="none" w:sz="0" w:space="0" w:color="auto"/>
        <w:bottom w:val="none" w:sz="0" w:space="0" w:color="auto"/>
        <w:right w:val="none" w:sz="0" w:space="0" w:color="auto"/>
      </w:divBdr>
    </w:div>
    <w:div w:id="1879202487">
      <w:bodyDiv w:val="1"/>
      <w:marLeft w:val="0"/>
      <w:marRight w:val="0"/>
      <w:marTop w:val="0"/>
      <w:marBottom w:val="0"/>
      <w:divBdr>
        <w:top w:val="none" w:sz="0" w:space="0" w:color="auto"/>
        <w:left w:val="none" w:sz="0" w:space="0" w:color="auto"/>
        <w:bottom w:val="none" w:sz="0" w:space="0" w:color="auto"/>
        <w:right w:val="none" w:sz="0" w:space="0" w:color="auto"/>
      </w:divBdr>
    </w:div>
    <w:div w:id="1884096583">
      <w:bodyDiv w:val="1"/>
      <w:marLeft w:val="0"/>
      <w:marRight w:val="0"/>
      <w:marTop w:val="0"/>
      <w:marBottom w:val="0"/>
      <w:divBdr>
        <w:top w:val="none" w:sz="0" w:space="0" w:color="auto"/>
        <w:left w:val="none" w:sz="0" w:space="0" w:color="auto"/>
        <w:bottom w:val="none" w:sz="0" w:space="0" w:color="auto"/>
        <w:right w:val="none" w:sz="0" w:space="0" w:color="auto"/>
      </w:divBdr>
    </w:div>
    <w:div w:id="1888184045">
      <w:bodyDiv w:val="1"/>
      <w:marLeft w:val="0"/>
      <w:marRight w:val="0"/>
      <w:marTop w:val="0"/>
      <w:marBottom w:val="0"/>
      <w:divBdr>
        <w:top w:val="none" w:sz="0" w:space="0" w:color="auto"/>
        <w:left w:val="none" w:sz="0" w:space="0" w:color="auto"/>
        <w:bottom w:val="none" w:sz="0" w:space="0" w:color="auto"/>
        <w:right w:val="none" w:sz="0" w:space="0" w:color="auto"/>
      </w:divBdr>
    </w:div>
    <w:div w:id="1904442785">
      <w:bodyDiv w:val="1"/>
      <w:marLeft w:val="0"/>
      <w:marRight w:val="0"/>
      <w:marTop w:val="0"/>
      <w:marBottom w:val="0"/>
      <w:divBdr>
        <w:top w:val="none" w:sz="0" w:space="0" w:color="auto"/>
        <w:left w:val="none" w:sz="0" w:space="0" w:color="auto"/>
        <w:bottom w:val="none" w:sz="0" w:space="0" w:color="auto"/>
        <w:right w:val="none" w:sz="0" w:space="0" w:color="auto"/>
      </w:divBdr>
    </w:div>
    <w:div w:id="1911232659">
      <w:bodyDiv w:val="1"/>
      <w:marLeft w:val="0"/>
      <w:marRight w:val="0"/>
      <w:marTop w:val="0"/>
      <w:marBottom w:val="0"/>
      <w:divBdr>
        <w:top w:val="none" w:sz="0" w:space="0" w:color="auto"/>
        <w:left w:val="none" w:sz="0" w:space="0" w:color="auto"/>
        <w:bottom w:val="none" w:sz="0" w:space="0" w:color="auto"/>
        <w:right w:val="none" w:sz="0" w:space="0" w:color="auto"/>
      </w:divBdr>
    </w:div>
    <w:div w:id="1942488038">
      <w:bodyDiv w:val="1"/>
      <w:marLeft w:val="0"/>
      <w:marRight w:val="0"/>
      <w:marTop w:val="0"/>
      <w:marBottom w:val="0"/>
      <w:divBdr>
        <w:top w:val="none" w:sz="0" w:space="0" w:color="auto"/>
        <w:left w:val="none" w:sz="0" w:space="0" w:color="auto"/>
        <w:bottom w:val="none" w:sz="0" w:space="0" w:color="auto"/>
        <w:right w:val="none" w:sz="0" w:space="0" w:color="auto"/>
      </w:divBdr>
    </w:div>
    <w:div w:id="1950432744">
      <w:bodyDiv w:val="1"/>
      <w:marLeft w:val="0"/>
      <w:marRight w:val="0"/>
      <w:marTop w:val="0"/>
      <w:marBottom w:val="0"/>
      <w:divBdr>
        <w:top w:val="none" w:sz="0" w:space="0" w:color="auto"/>
        <w:left w:val="none" w:sz="0" w:space="0" w:color="auto"/>
        <w:bottom w:val="none" w:sz="0" w:space="0" w:color="auto"/>
        <w:right w:val="none" w:sz="0" w:space="0" w:color="auto"/>
      </w:divBdr>
    </w:div>
    <w:div w:id="1952473923">
      <w:bodyDiv w:val="1"/>
      <w:marLeft w:val="0"/>
      <w:marRight w:val="0"/>
      <w:marTop w:val="0"/>
      <w:marBottom w:val="0"/>
      <w:divBdr>
        <w:top w:val="none" w:sz="0" w:space="0" w:color="auto"/>
        <w:left w:val="none" w:sz="0" w:space="0" w:color="auto"/>
        <w:bottom w:val="none" w:sz="0" w:space="0" w:color="auto"/>
        <w:right w:val="none" w:sz="0" w:space="0" w:color="auto"/>
      </w:divBdr>
    </w:div>
    <w:div w:id="1959530389">
      <w:bodyDiv w:val="1"/>
      <w:marLeft w:val="0"/>
      <w:marRight w:val="0"/>
      <w:marTop w:val="0"/>
      <w:marBottom w:val="0"/>
      <w:divBdr>
        <w:top w:val="none" w:sz="0" w:space="0" w:color="auto"/>
        <w:left w:val="none" w:sz="0" w:space="0" w:color="auto"/>
        <w:bottom w:val="none" w:sz="0" w:space="0" w:color="auto"/>
        <w:right w:val="none" w:sz="0" w:space="0" w:color="auto"/>
      </w:divBdr>
    </w:div>
    <w:div w:id="1964843737">
      <w:bodyDiv w:val="1"/>
      <w:marLeft w:val="0"/>
      <w:marRight w:val="0"/>
      <w:marTop w:val="0"/>
      <w:marBottom w:val="0"/>
      <w:divBdr>
        <w:top w:val="none" w:sz="0" w:space="0" w:color="auto"/>
        <w:left w:val="none" w:sz="0" w:space="0" w:color="auto"/>
        <w:bottom w:val="none" w:sz="0" w:space="0" w:color="auto"/>
        <w:right w:val="none" w:sz="0" w:space="0" w:color="auto"/>
      </w:divBdr>
    </w:div>
    <w:div w:id="2006202437">
      <w:bodyDiv w:val="1"/>
      <w:marLeft w:val="0"/>
      <w:marRight w:val="0"/>
      <w:marTop w:val="0"/>
      <w:marBottom w:val="0"/>
      <w:divBdr>
        <w:top w:val="none" w:sz="0" w:space="0" w:color="auto"/>
        <w:left w:val="none" w:sz="0" w:space="0" w:color="auto"/>
        <w:bottom w:val="none" w:sz="0" w:space="0" w:color="auto"/>
        <w:right w:val="none" w:sz="0" w:space="0" w:color="auto"/>
      </w:divBdr>
    </w:div>
    <w:div w:id="2008089039">
      <w:bodyDiv w:val="1"/>
      <w:marLeft w:val="0"/>
      <w:marRight w:val="0"/>
      <w:marTop w:val="0"/>
      <w:marBottom w:val="0"/>
      <w:divBdr>
        <w:top w:val="none" w:sz="0" w:space="0" w:color="auto"/>
        <w:left w:val="none" w:sz="0" w:space="0" w:color="auto"/>
        <w:bottom w:val="none" w:sz="0" w:space="0" w:color="auto"/>
        <w:right w:val="none" w:sz="0" w:space="0" w:color="auto"/>
      </w:divBdr>
    </w:div>
    <w:div w:id="2008241062">
      <w:bodyDiv w:val="1"/>
      <w:marLeft w:val="0"/>
      <w:marRight w:val="0"/>
      <w:marTop w:val="0"/>
      <w:marBottom w:val="0"/>
      <w:divBdr>
        <w:top w:val="none" w:sz="0" w:space="0" w:color="auto"/>
        <w:left w:val="none" w:sz="0" w:space="0" w:color="auto"/>
        <w:bottom w:val="none" w:sz="0" w:space="0" w:color="auto"/>
        <w:right w:val="none" w:sz="0" w:space="0" w:color="auto"/>
      </w:divBdr>
    </w:div>
    <w:div w:id="2009820333">
      <w:bodyDiv w:val="1"/>
      <w:marLeft w:val="0"/>
      <w:marRight w:val="0"/>
      <w:marTop w:val="0"/>
      <w:marBottom w:val="0"/>
      <w:divBdr>
        <w:top w:val="none" w:sz="0" w:space="0" w:color="auto"/>
        <w:left w:val="none" w:sz="0" w:space="0" w:color="auto"/>
        <w:bottom w:val="none" w:sz="0" w:space="0" w:color="auto"/>
        <w:right w:val="none" w:sz="0" w:space="0" w:color="auto"/>
      </w:divBdr>
    </w:div>
    <w:div w:id="2014840662">
      <w:bodyDiv w:val="1"/>
      <w:marLeft w:val="0"/>
      <w:marRight w:val="0"/>
      <w:marTop w:val="0"/>
      <w:marBottom w:val="0"/>
      <w:divBdr>
        <w:top w:val="none" w:sz="0" w:space="0" w:color="auto"/>
        <w:left w:val="none" w:sz="0" w:space="0" w:color="auto"/>
        <w:bottom w:val="none" w:sz="0" w:space="0" w:color="auto"/>
        <w:right w:val="none" w:sz="0" w:space="0" w:color="auto"/>
      </w:divBdr>
    </w:div>
    <w:div w:id="2018380785">
      <w:bodyDiv w:val="1"/>
      <w:marLeft w:val="0"/>
      <w:marRight w:val="0"/>
      <w:marTop w:val="0"/>
      <w:marBottom w:val="0"/>
      <w:divBdr>
        <w:top w:val="none" w:sz="0" w:space="0" w:color="auto"/>
        <w:left w:val="none" w:sz="0" w:space="0" w:color="auto"/>
        <w:bottom w:val="none" w:sz="0" w:space="0" w:color="auto"/>
        <w:right w:val="none" w:sz="0" w:space="0" w:color="auto"/>
      </w:divBdr>
    </w:div>
    <w:div w:id="2021079806">
      <w:bodyDiv w:val="1"/>
      <w:marLeft w:val="0"/>
      <w:marRight w:val="0"/>
      <w:marTop w:val="0"/>
      <w:marBottom w:val="0"/>
      <w:divBdr>
        <w:top w:val="none" w:sz="0" w:space="0" w:color="auto"/>
        <w:left w:val="none" w:sz="0" w:space="0" w:color="auto"/>
        <w:bottom w:val="none" w:sz="0" w:space="0" w:color="auto"/>
        <w:right w:val="none" w:sz="0" w:space="0" w:color="auto"/>
      </w:divBdr>
    </w:div>
    <w:div w:id="2026398713">
      <w:bodyDiv w:val="1"/>
      <w:marLeft w:val="0"/>
      <w:marRight w:val="0"/>
      <w:marTop w:val="0"/>
      <w:marBottom w:val="0"/>
      <w:divBdr>
        <w:top w:val="none" w:sz="0" w:space="0" w:color="auto"/>
        <w:left w:val="none" w:sz="0" w:space="0" w:color="auto"/>
        <w:bottom w:val="none" w:sz="0" w:space="0" w:color="auto"/>
        <w:right w:val="none" w:sz="0" w:space="0" w:color="auto"/>
      </w:divBdr>
    </w:div>
    <w:div w:id="2026862332">
      <w:bodyDiv w:val="1"/>
      <w:marLeft w:val="0"/>
      <w:marRight w:val="0"/>
      <w:marTop w:val="0"/>
      <w:marBottom w:val="0"/>
      <w:divBdr>
        <w:top w:val="none" w:sz="0" w:space="0" w:color="auto"/>
        <w:left w:val="none" w:sz="0" w:space="0" w:color="auto"/>
        <w:bottom w:val="none" w:sz="0" w:space="0" w:color="auto"/>
        <w:right w:val="none" w:sz="0" w:space="0" w:color="auto"/>
      </w:divBdr>
    </w:div>
    <w:div w:id="2027898016">
      <w:bodyDiv w:val="1"/>
      <w:marLeft w:val="0"/>
      <w:marRight w:val="0"/>
      <w:marTop w:val="0"/>
      <w:marBottom w:val="0"/>
      <w:divBdr>
        <w:top w:val="none" w:sz="0" w:space="0" w:color="auto"/>
        <w:left w:val="none" w:sz="0" w:space="0" w:color="auto"/>
        <w:bottom w:val="none" w:sz="0" w:space="0" w:color="auto"/>
        <w:right w:val="none" w:sz="0" w:space="0" w:color="auto"/>
      </w:divBdr>
    </w:div>
    <w:div w:id="2084060529">
      <w:bodyDiv w:val="1"/>
      <w:marLeft w:val="0"/>
      <w:marRight w:val="0"/>
      <w:marTop w:val="0"/>
      <w:marBottom w:val="0"/>
      <w:divBdr>
        <w:top w:val="none" w:sz="0" w:space="0" w:color="auto"/>
        <w:left w:val="none" w:sz="0" w:space="0" w:color="auto"/>
        <w:bottom w:val="none" w:sz="0" w:space="0" w:color="auto"/>
        <w:right w:val="none" w:sz="0" w:space="0" w:color="auto"/>
      </w:divBdr>
    </w:div>
    <w:div w:id="2088072130">
      <w:bodyDiv w:val="1"/>
      <w:marLeft w:val="0"/>
      <w:marRight w:val="0"/>
      <w:marTop w:val="0"/>
      <w:marBottom w:val="0"/>
      <w:divBdr>
        <w:top w:val="none" w:sz="0" w:space="0" w:color="auto"/>
        <w:left w:val="none" w:sz="0" w:space="0" w:color="auto"/>
        <w:bottom w:val="none" w:sz="0" w:space="0" w:color="auto"/>
        <w:right w:val="none" w:sz="0" w:space="0" w:color="auto"/>
      </w:divBdr>
    </w:div>
    <w:div w:id="2088452792">
      <w:bodyDiv w:val="1"/>
      <w:marLeft w:val="0"/>
      <w:marRight w:val="0"/>
      <w:marTop w:val="0"/>
      <w:marBottom w:val="0"/>
      <w:divBdr>
        <w:top w:val="none" w:sz="0" w:space="0" w:color="auto"/>
        <w:left w:val="none" w:sz="0" w:space="0" w:color="auto"/>
        <w:bottom w:val="none" w:sz="0" w:space="0" w:color="auto"/>
        <w:right w:val="none" w:sz="0" w:space="0" w:color="auto"/>
      </w:divBdr>
    </w:div>
    <w:div w:id="2096778301">
      <w:bodyDiv w:val="1"/>
      <w:marLeft w:val="0"/>
      <w:marRight w:val="0"/>
      <w:marTop w:val="0"/>
      <w:marBottom w:val="0"/>
      <w:divBdr>
        <w:top w:val="none" w:sz="0" w:space="0" w:color="auto"/>
        <w:left w:val="none" w:sz="0" w:space="0" w:color="auto"/>
        <w:bottom w:val="none" w:sz="0" w:space="0" w:color="auto"/>
        <w:right w:val="none" w:sz="0" w:space="0" w:color="auto"/>
      </w:divBdr>
    </w:div>
    <w:div w:id="2112356621">
      <w:bodyDiv w:val="1"/>
      <w:marLeft w:val="0"/>
      <w:marRight w:val="0"/>
      <w:marTop w:val="0"/>
      <w:marBottom w:val="0"/>
      <w:divBdr>
        <w:top w:val="none" w:sz="0" w:space="0" w:color="auto"/>
        <w:left w:val="none" w:sz="0" w:space="0" w:color="auto"/>
        <w:bottom w:val="none" w:sz="0" w:space="0" w:color="auto"/>
        <w:right w:val="none" w:sz="0" w:space="0" w:color="auto"/>
      </w:divBdr>
    </w:div>
    <w:div w:id="2125227481">
      <w:bodyDiv w:val="1"/>
      <w:marLeft w:val="0"/>
      <w:marRight w:val="0"/>
      <w:marTop w:val="0"/>
      <w:marBottom w:val="0"/>
      <w:divBdr>
        <w:top w:val="none" w:sz="0" w:space="0" w:color="auto"/>
        <w:left w:val="none" w:sz="0" w:space="0" w:color="auto"/>
        <w:bottom w:val="none" w:sz="0" w:space="0" w:color="auto"/>
        <w:right w:val="none" w:sz="0" w:space="0" w:color="auto"/>
      </w:divBdr>
    </w:div>
    <w:div w:id="2130854894">
      <w:bodyDiv w:val="1"/>
      <w:marLeft w:val="0"/>
      <w:marRight w:val="0"/>
      <w:marTop w:val="0"/>
      <w:marBottom w:val="0"/>
      <w:divBdr>
        <w:top w:val="none" w:sz="0" w:space="0" w:color="auto"/>
        <w:left w:val="none" w:sz="0" w:space="0" w:color="auto"/>
        <w:bottom w:val="none" w:sz="0" w:space="0" w:color="auto"/>
        <w:right w:val="none" w:sz="0" w:space="0" w:color="auto"/>
      </w:divBdr>
    </w:div>
    <w:div w:id="2139030367">
      <w:bodyDiv w:val="1"/>
      <w:marLeft w:val="0"/>
      <w:marRight w:val="0"/>
      <w:marTop w:val="0"/>
      <w:marBottom w:val="0"/>
      <w:divBdr>
        <w:top w:val="none" w:sz="0" w:space="0" w:color="auto"/>
        <w:left w:val="none" w:sz="0" w:space="0" w:color="auto"/>
        <w:bottom w:val="none" w:sz="0" w:space="0" w:color="auto"/>
        <w:right w:val="none" w:sz="0" w:space="0" w:color="auto"/>
      </w:divBdr>
    </w:div>
    <w:div w:id="21429653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doi.org/10.1186/1471-244X-10-113" TargetMode="External"/><Relationship Id="rId39" Type="http://schemas.openxmlformats.org/officeDocument/2006/relationships/image" Target="media/image12.png"/><Relationship Id="rId21" Type="http://schemas.openxmlformats.org/officeDocument/2006/relationships/hyperlink" Target="https://doi.org/10.1037/0022-006X.66.4.685" TargetMode="External"/><Relationship Id="rId34" Type="http://schemas.openxmlformats.org/officeDocument/2006/relationships/hyperlink" Target="https://doi.org/10.55489/njcm.160320254839"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doi.org/10.1136/bmjopen-2015-010247"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doi.org/10.1111/acps.12275" TargetMode="External"/><Relationship Id="rId32" Type="http://schemas.openxmlformats.org/officeDocument/2006/relationships/hyperlink" Target="https://doi.org/10.1016/j.brat.2015.01.009" TargetMode="External"/><Relationship Id="rId37" Type="http://schemas.openxmlformats.org/officeDocument/2006/relationships/hyperlink" Target="https://doi.org/10.1016/j.invent.2023.100690"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doi.org/10.1002/jrsm.1230" TargetMode="External"/><Relationship Id="rId28" Type="http://schemas.openxmlformats.org/officeDocument/2006/relationships/hyperlink" Target="https://doi.org/10.1186/1471-2288-14-25" TargetMode="External"/><Relationship Id="rId36" Type="http://schemas.openxmlformats.org/officeDocument/2006/relationships/hyperlink" Target="https://doi.org/10.3102/10769986030003261%EF%BC%88REML%EF%BC%8C%E5%8A%A0%E4%B8%8D%E5%8A%A0%E7%9C%8B%E4%BD%A0%EF%BC%89" TargetMode="Externa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hyperlink" Target="https://doi.org/10.1101/2025.06.26.25330349"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hyperlink" Target="https://doi.org/10.48550/arXiv.2601.20747" TargetMode="External"/><Relationship Id="rId27" Type="http://schemas.openxmlformats.org/officeDocument/2006/relationships/hyperlink" Target="https://doi.org/10.1371/journal.pmen.0000347" TargetMode="External"/><Relationship Id="rId30" Type="http://schemas.openxmlformats.org/officeDocument/2006/relationships/hyperlink" Target="https://doi.org/10.1186/s12888-024-06046-x" TargetMode="External"/><Relationship Id="rId35" Type="http://schemas.openxmlformats.org/officeDocument/2006/relationships/hyperlink" Target="https://doi.org/10.1007/s40894-024-00237-z"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doi.org/10.1007/s10567-018-0271-8" TargetMode="External"/><Relationship Id="rId33" Type="http://schemas.openxmlformats.org/officeDocument/2006/relationships/hyperlink" Target="https://doi.org/10.1016/j.jclinepi.2007.11.010" TargetMode="External"/><Relationship Id="rId38" Type="http://schemas.openxmlformats.org/officeDocument/2006/relationships/hyperlink" Target="https://doi.org/10.1515/ijamh-2013-0020"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95EA47-AEB6-4A31-9B7F-C9A9653FD9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14486</TotalTime>
  <Pages>87</Pages>
  <Words>26472</Words>
  <Characters>150894</Characters>
  <Application>Microsoft Office Word</Application>
  <DocSecurity>0</DocSecurity>
  <Lines>1257</Lines>
  <Paragraphs>354</Paragraphs>
  <ScaleCrop>false</ScaleCrop>
  <Company/>
  <LinksUpToDate>false</LinksUpToDate>
  <CharactersWithSpaces>177012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Effectiveness of Unguided Self-Help CBT for Adolescents with Depressive Symptoms: A Meta-Analysis</dc:title>
  <dc:subject/>
  <dc:creator>Milyeong Lee</dc:creator>
  <cp:keywords/>
  <dc:description/>
  <cp:lastModifiedBy>MEILING LI</cp:lastModifiedBy>
  <cp:revision>386</cp:revision>
  <dcterms:created xsi:type="dcterms:W3CDTF">2026-04-24T10:43:00Z</dcterms:created>
  <dcterms:modified xsi:type="dcterms:W3CDTF">2026-06-09T09:21:00Z</dcterms:modified>
</cp:coreProperties>
</file>