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Pr>
          <w:b w:val="1"/>
          <w:bCs w:val="1"/>
          <w:sz w:val="30"/>
          <w:szCs w:val="30"/>
        </w:rPr>
        <w:drawing>
          <wp:anchor allowOverlap="1" behindDoc="0" distB="114300" distT="114300" distL="114300" distR="114300" hidden="0" layoutInCell="1" locked="0" relativeHeight="0" simplePos="0">
            <wp:simplePos x="0" y="0"/>
            <wp:positionH relativeFrom="page">
              <wp:posOffset>6296025</wp:posOffset>
            </wp:positionH>
            <wp:positionV relativeFrom="page">
              <wp:posOffset>177800</wp:posOffset>
            </wp:positionV>
            <wp:extent cx="695325" cy="860425"/>
            <wp:effectExtent b="0" l="0" r="0" t="0"/>
            <wp:wrapNone/>
            <wp:docPr id="2" name="image2.jpg"/>
            <a:graphic>
              <a:graphicData uri="http://schemas.openxmlformats.org/drawingml/2006/picture">
                <pic:pic>
                  <pic:nvPicPr>
                    <pic:cNvPr id="0" name="image2.jpg"/>
                    <pic:cNvPicPr preferRelativeResize="0"/>
                  </pic:nvPicPr>
                  <pic:blipFill>
                    <a:blip r:embed="rId6"/>
                    <a:srcRect b="34893" l="41117" r="42837" t="29507"/>
                    <a:stretch>
                      <a:fillRect/>
                    </a:stretch>
                  </pic:blipFill>
                  <pic:spPr>
                    <a:xfrm>
                      <a:off x="0" y="0"/>
                      <a:ext cx="695325" cy="860425"/>
                    </a:xfrm>
                    <a:prstGeom prst="rect"/>
                    <a:ln/>
                  </pic:spPr>
                </pic:pic>
              </a:graphicData>
            </a:graphic>
          </wp:anchor>
        </w:drawing>
      </w:r>
      <w:r>
        <w:rPr>
          <w:rFonts w:ascii="Calibri" w:cs="Calibri" w:eastAsia="Calibri" w:hAnsi="Calibri"/>
          <w:b w:val="1"/>
          <w:bCs w:val="1"/>
          <w:sz w:val="30"/>
          <w:szCs w:val="30"/>
          <w:rtl w:val="0"/>
        </w:rPr>
        <w:t xml:space="preserve">YU CHIAO LIN</w:t>
      </w:r>
      <w:r>
        <w:rPr>
          <w:rtl w:val="0"/>
        </w:rPr>
      </w:r>
    </w:p>
    <w:p w:rsidR="00000000" w:rsidDel="00000000" w:rsidP="00000000" w:rsidRDefault="00000000" w:rsidRPr="00000000" w14:paraId="00000002">
      <w:pPr>
        <w:spacing w:after="20" w:lineRule="auto"/>
        <w:rPr/>
      </w:pPr>
      <w:r>
        <w:rPr>
          <w:rFonts w:ascii="Calibri" w:cs="Calibri" w:eastAsia="Calibri" w:hAnsi="Calibri"/>
          <w:sz w:val="18"/>
          <w:szCs w:val="18"/>
          <w:rtl w:val="0"/>
        </w:rPr>
        <w:t xml:space="preserve">Île-de-France, France | 07 69 34 64 58 | yuchiao.lin@kedgebs.com</w:t>
      </w:r>
      <w:r>
        <w:rPr>
          <w:rtl w:val="0"/>
        </w:rPr>
      </w:r>
    </w:p>
    <w:p w:rsidR="00000000" w:rsidDel="00000000" w:rsidP="00000000" w:rsidRDefault="00000000" w:rsidRPr="00000000" w14:paraId="00000003">
      <w:pPr>
        <w:spacing w:after="80" w:lineRule="auto"/>
        <w:rPr/>
      </w:pPr>
      <w:r>
        <w:rPr>
          <w:rFonts w:ascii="Calibri" w:cs="Calibri" w:eastAsia="Calibri" w:hAnsi="Calibri"/>
          <w:b w:val="1"/>
          <w:bCs w:val="1"/>
          <w:sz w:val="18"/>
          <w:szCs w:val="18"/>
          <w:rtl w:val="0"/>
        </w:rPr>
        <w:t xml:space="preserve">Poste visé : Supply Planner | Disponibilité : </w:t>
      </w:r>
      <w:r>
        <w:rPr>
          <w:b w:val="1"/>
          <w:bCs w:val="1"/>
          <w:sz w:val="18"/>
          <w:szCs w:val="18"/>
          <w:rtl w:val="0"/>
        </w:rPr>
        <w:t xml:space="preserve">décembre</w:t>
      </w:r>
      <w:r>
        <w:rPr>
          <w:rFonts w:ascii="Calibri" w:cs="Calibri" w:eastAsia="Calibri" w:hAnsi="Calibri"/>
          <w:b w:val="1"/>
          <w:bCs w:val="1"/>
          <w:sz w:val="18"/>
          <w:szCs w:val="18"/>
          <w:rtl w:val="0"/>
        </w:rPr>
        <w:t xml:space="preserve"> 202</w:t>
      </w:r>
      <w:r>
        <w:rPr>
          <w:b w:val="1"/>
          <w:bCs w:val="1"/>
          <w:sz w:val="18"/>
          <w:szCs w:val="18"/>
          <w:rtl w:val="0"/>
        </w:rPr>
        <w:t xml:space="preserve">6</w:t>
      </w:r>
      <w:r>
        <w:rPr>
          <w:rtl w:val="0"/>
        </w:rPr>
      </w:r>
    </w:p>
    <w:p w:rsidR="00000000" w:rsidDel="00000000" w:rsidP="00000000" w:rsidRDefault="00000000" w:rsidRPr="00000000" w14:paraId="00000004">
      <w:pPr>
        <w:pBdr>
          <w:bottom w:color="444444" w:space="1" w:sz="6" w:val="single"/>
        </w:pBdr>
        <w:spacing w:after="30" w:before="90" w:lineRule="auto"/>
        <w:rPr/>
      </w:pPr>
      <w:r>
        <w:rPr>
          <w:rFonts w:ascii="Calibri" w:cs="Calibri" w:eastAsia="Calibri" w:hAnsi="Calibri"/>
          <w:b w:val="1"/>
          <w:bCs w:val="1"/>
          <w:sz w:val="22"/>
          <w:szCs w:val="22"/>
          <w:rtl w:val="0"/>
        </w:rPr>
        <w:t xml:space="preserve">PROFIL</w:t>
      </w:r>
      <w:r>
        <w:rPr>
          <w:rtl w:val="0"/>
        </w:rPr>
      </w:r>
    </w:p>
    <w:p w:rsidR="00000000" w:rsidDel="00000000" w:rsidP="00000000" w:rsidRDefault="00000000" w:rsidRPr="00000000" w14:paraId="00000005">
      <w:pPr>
        <w:spacing w:after="20" w:lineRule="auto"/>
        <w:rPr/>
      </w:pPr>
      <w:r>
        <w:rPr>
          <w:rFonts w:ascii="Calibri" w:cs="Calibri" w:eastAsia="Calibri" w:hAnsi="Calibri"/>
          <w:sz w:val="18"/>
          <w:szCs w:val="18"/>
          <w:rtl w:val="0"/>
        </w:rPr>
        <w:t xml:space="preserve">Profil supply chain (KEDGE ISLI) avec une expérience dans l'industrie du luxe, de la beauté et du parfum : suivi de production fournisseurs et des commandes pour des marques de prestige comme L'Oréal Luxe, Puig, Guerlain et Sephora. Maîtrise de la réconciliation des stocks, des KPI fournisseurs (OTD, OTIF), de Dynamics 365 et Power BI ; formation en prévision de la demande et S&amp;OP.</w:t>
      </w:r>
      <w:r>
        <w:rPr>
          <w:rtl w:val="0"/>
        </w:rPr>
      </w:r>
    </w:p>
    <w:p w:rsidR="00000000" w:rsidDel="00000000" w:rsidP="00000000" w:rsidRDefault="00000000" w:rsidRPr="00000000" w14:paraId="00000006">
      <w:pPr>
        <w:pBdr>
          <w:bottom w:color="444444" w:space="1" w:sz="6" w:val="single"/>
        </w:pBdr>
        <w:spacing w:after="30" w:before="90" w:lineRule="auto"/>
        <w:rPr/>
      </w:pPr>
      <w:r>
        <w:rPr>
          <w:rFonts w:ascii="Calibri" w:cs="Calibri" w:eastAsia="Calibri" w:hAnsi="Calibri"/>
          <w:b w:val="1"/>
          <w:bCs w:val="1"/>
          <w:sz w:val="22"/>
          <w:szCs w:val="22"/>
          <w:rtl w:val="0"/>
        </w:rPr>
        <w:t xml:space="preserve">COMPÉTENCES</w:t>
      </w:r>
      <w:r>
        <w:rPr>
          <w:rtl w:val="0"/>
        </w:rPr>
      </w:r>
    </w:p>
    <w:p w:rsidR="00000000" w:rsidDel="00000000" w:rsidP="00000000" w:rsidRDefault="00000000" w:rsidRPr="00000000" w14:paraId="00000007">
      <w:pPr>
        <w:spacing w:after="25" w:lineRule="auto"/>
        <w:rPr/>
      </w:pPr>
      <w:r>
        <w:rPr>
          <w:rFonts w:ascii="Calibri" w:cs="Calibri" w:eastAsia="Calibri" w:hAnsi="Calibri"/>
          <w:b w:val="1"/>
          <w:bCs w:val="1"/>
          <w:sz w:val="18"/>
          <w:szCs w:val="18"/>
          <w:rtl w:val="0"/>
        </w:rPr>
        <w:t xml:space="preserve">Compétences techniques : </w:t>
      </w:r>
      <w:r>
        <w:rPr>
          <w:rFonts w:ascii="Calibri" w:cs="Calibri" w:eastAsia="Calibri" w:hAnsi="Calibri"/>
          <w:sz w:val="18"/>
          <w:szCs w:val="18"/>
          <w:rtl w:val="0"/>
        </w:rPr>
        <w:t xml:space="preserve">Planification et prévision de la demande, S&amp;OP et gestion des stocks (formation) ; analyse et réconciliation des données de stock ; suivi de production fournisseurs et gestion des risques de retard ; KPI fournisseurs (OTD, OTIF, lead time) ; gestion des commandes ; logistique internationale (ETD/ETA, Incoterms) ; CAPA et amélioration continue</w:t>
      </w:r>
      <w:r>
        <w:rPr>
          <w:rtl w:val="0"/>
        </w:rPr>
      </w:r>
    </w:p>
    <w:p w:rsidR="00000000" w:rsidDel="00000000" w:rsidP="00000000" w:rsidRDefault="00000000" w:rsidRPr="00000000" w14:paraId="00000008">
      <w:pPr>
        <w:spacing w:after="25" w:lineRule="auto"/>
        <w:rPr/>
      </w:pPr>
      <w:r>
        <w:rPr>
          <w:rFonts w:ascii="Calibri" w:cs="Calibri" w:eastAsia="Calibri" w:hAnsi="Calibri"/>
          <w:b w:val="1"/>
          <w:bCs w:val="1"/>
          <w:sz w:val="18"/>
          <w:szCs w:val="18"/>
          <w:rtl w:val="0"/>
        </w:rPr>
        <w:t xml:space="preserve">Savoir-être : </w:t>
      </w:r>
      <w:r>
        <w:rPr>
          <w:rFonts w:ascii="Calibri" w:cs="Calibri" w:eastAsia="Calibri" w:hAnsi="Calibri"/>
          <w:sz w:val="18"/>
          <w:szCs w:val="18"/>
          <w:rtl w:val="0"/>
        </w:rPr>
        <w:t xml:space="preserve">Rigueur et sens du détail ; esprit d'analyse ; proactivité dans la remontée des risques ; communication transverse ; aisance en équipes multiculturelles</w:t>
      </w:r>
      <w:r>
        <w:rPr>
          <w:rtl w:val="0"/>
        </w:rPr>
      </w:r>
    </w:p>
    <w:p w:rsidR="00000000" w:rsidDel="00000000" w:rsidP="00000000" w:rsidRDefault="00000000" w:rsidRPr="00000000" w14:paraId="00000009">
      <w:pPr>
        <w:spacing w:after="25" w:lineRule="auto"/>
        <w:rPr/>
      </w:pPr>
      <w:r>
        <w:rPr>
          <w:rFonts w:ascii="Calibri" w:cs="Calibri" w:eastAsia="Calibri" w:hAnsi="Calibri"/>
          <w:b w:val="1"/>
          <w:bCs w:val="1"/>
          <w:sz w:val="18"/>
          <w:szCs w:val="18"/>
          <w:rtl w:val="0"/>
        </w:rPr>
        <w:t xml:space="preserve">Outils : </w:t>
      </w:r>
      <w:r>
        <w:rPr>
          <w:rFonts w:ascii="Calibri" w:cs="Calibri" w:eastAsia="Calibri" w:hAnsi="Calibri"/>
          <w:sz w:val="18"/>
          <w:szCs w:val="18"/>
          <w:rtl w:val="0"/>
        </w:rPr>
        <w:t xml:space="preserve">Microsoft Dynamics 365 (ERP), Power BI, Excel avancé, SQL</w:t>
      </w:r>
      <w:r>
        <w:rPr>
          <w:rtl w:val="0"/>
        </w:rPr>
      </w:r>
    </w:p>
    <w:p w:rsidR="00000000" w:rsidDel="00000000" w:rsidP="00000000" w:rsidRDefault="00000000" w:rsidRPr="00000000" w14:paraId="0000000B">
      <w:pPr>
        <w:pBdr>
          <w:bottom w:color="444444" w:space="1" w:sz="6" w:val="single"/>
        </w:pBdr>
        <w:spacing w:after="30" w:before="90" w:lineRule="auto"/>
        <w:rPr/>
      </w:pPr>
      <w:r>
        <w:rPr>
          <w:rFonts w:ascii="Calibri" w:cs="Calibri" w:eastAsia="Calibri" w:hAnsi="Calibri"/>
          <w:b w:val="1"/>
          <w:bCs w:val="1"/>
          <w:sz w:val="22"/>
          <w:szCs w:val="22"/>
          <w:rtl w:val="0"/>
        </w:rPr>
        <w:t xml:space="preserve">EXPÉRIENCES PROFESSIONNELLES</w:t>
      </w:r>
      <w:r>
        <w:rPr>
          <w:rtl w:val="0"/>
        </w:rPr>
      </w:r>
    </w:p>
    <w:p w:rsidR="00000000" w:rsidDel="00000000" w:rsidP="00000000" w:rsidRDefault="00000000" w:rsidRPr="00000000" w14:paraId="0000000C">
      <w:pPr>
        <w:spacing w:after="10" w:before="70" w:lineRule="auto"/>
        <w:rPr/>
      </w:pPr>
      <w:r>
        <w:rPr>
          <w:rFonts w:ascii="Calibri" w:cs="Calibri" w:eastAsia="Calibri" w:hAnsi="Calibri"/>
          <w:b w:val="1"/>
          <w:bCs w:val="1"/>
          <w:sz w:val="20"/>
          <w:szCs w:val="20"/>
          <w:rtl w:val="0"/>
        </w:rPr>
        <w:t xml:space="preserve">Stagiaire Supply Chain &amp; Performance Logistique</w:t>
      </w:r>
      <w:r>
        <w:rPr>
          <w:rtl w:val="0"/>
        </w:rPr>
      </w:r>
    </w:p>
    <w:p w:rsidR="00000000" w:rsidDel="00000000" w:rsidP="00000000" w:rsidRDefault="00000000" w:rsidRPr="00000000" w14:paraId="0000000D">
      <w:pPr>
        <w:spacing w:after="20" w:lineRule="auto"/>
        <w:rPr/>
      </w:pPr>
      <w:r>
        <w:rPr>
          <w:rFonts w:ascii="Calibri" w:cs="Calibri" w:eastAsia="Calibri" w:hAnsi="Calibri"/>
          <w:sz w:val="18"/>
          <w:szCs w:val="18"/>
          <w:rtl w:val="0"/>
        </w:rPr>
        <w:t xml:space="preserve">PURE TRADE, Île-de-France, France | Juillet 2026 à janvier 2027 (6 mois)</w:t>
      </w:r>
      <w:r>
        <w:rPr>
          <w:rtl w:val="0"/>
        </w:rPr>
      </w:r>
    </w:p>
    <w:p w:rsidR="00000000" w:rsidDel="00000000" w:rsidP="00000000" w:rsidRDefault="00000000" w:rsidRPr="00000000" w14:paraId="0000000E">
      <w:pPr>
        <w:spacing w:after="20" w:lineRule="auto"/>
        <w:rPr/>
      </w:pPr>
      <w:r>
        <w:rPr>
          <w:rFonts w:ascii="Calibri" w:cs="Calibri" w:eastAsia="Calibri" w:hAnsi="Calibri"/>
          <w:i w:val="1"/>
          <w:iCs w:val="1"/>
          <w:sz w:val="18"/>
          <w:szCs w:val="18"/>
          <w:rtl w:val="0"/>
        </w:rPr>
        <w:t xml:space="preserve">Fournisseur de packaging de luxe et d'objets promotionnels (gift-with-purchase, GWP) pour des marques premium de beauté et de parfum, avec des bureaux en France, aux États-Unis, à Hong Kong et à Shenzhen. Clients : marques L'Oréal Luxe, Puig, Guerlain et Sephora.</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Suivi des plannings et jalons de production de 4 fournisseurs sur plus de 100 commandes GWP et cadeaux VIP pour des marques de beauté de luxe (trousses de maquillage, sacs), en lien avec les équipes planification de production et achats, afin d'anticiper les retards d'approvisionnement et de sécuriser les dates de lancement clients.</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Gestion du suivi des nouvelles commandes et de la facturation dans Microsoft Dynamics 365 (ERP), et mise à jour de l'outil hebdomadaire de suivi des commandes pour fiabiliser les statuts et assurer la visibilité des commandes ouvertes.</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Présentation des KPI de performance de livraison fournisseurs (OTD, OTIF) et des KPI commandes aux équipes internes ; mise à jour des statuts de commandes dans le reporting Power BI de l'équipe.</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Nettoyage et restructuration de plus de 1 900 commandes historiques, puis alimentation continue d'un outil web KPI interne avec les données fournisseurs, en appui au passage d'un reporting manuel à un suivi automatisé des KPI usines et de l'efficacité de production.</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Coordination des flux internationaux de l'usine à la livraison finale (ETD/ETA ; fret maritime, aérien et routier ; Incoterm FCA) avec les fournisseurs et les transitaires, et résolution des retards de transport.</w:t>
      </w:r>
      <w:r>
        <w:rPr>
          <w:rtl w:val="0"/>
        </w:rPr>
      </w:r>
    </w:p>
    <w:p w:rsidR="00000000" w:rsidDel="00000000" w:rsidP="00000000" w:rsidRDefault="00000000" w:rsidRPr="00000000" w14:paraId="00000014">
      <w:pPr>
        <w:spacing w:after="10" w:before="70" w:lineRule="auto"/>
        <w:rPr/>
      </w:pPr>
      <w:r>
        <w:rPr>
          <w:rFonts w:ascii="Calibri" w:cs="Calibri" w:eastAsia="Calibri" w:hAnsi="Calibri"/>
          <w:b w:val="1"/>
          <w:bCs w:val="1"/>
          <w:sz w:val="20"/>
          <w:szCs w:val="20"/>
          <w:rtl w:val="0"/>
        </w:rPr>
        <w:t xml:space="preserve">Mission de conseil : des supply chains durables à l'économie circulaire</w:t>
      </w:r>
      <w:r>
        <w:rPr>
          <w:rtl w:val="0"/>
        </w:rPr>
      </w:r>
    </w:p>
    <w:p w:rsidR="00000000" w:rsidDel="00000000" w:rsidP="00000000" w:rsidRDefault="00000000" w:rsidRPr="00000000" w14:paraId="00000015">
      <w:pPr>
        <w:spacing w:after="20" w:lineRule="auto"/>
        <w:rPr/>
      </w:pPr>
      <w:r>
        <w:rPr>
          <w:rFonts w:ascii="Calibri" w:cs="Calibri" w:eastAsia="Calibri" w:hAnsi="Calibri"/>
          <w:sz w:val="18"/>
          <w:szCs w:val="18"/>
          <w:rtl w:val="0"/>
        </w:rPr>
        <w:t xml:space="preserve">TNP Consultants, Paris, France | Novembre 2025 à mai 2026 (6 mois)</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Cartographie des leviers et des goulots d'étranglement des processus supply chain, traduits en actions d'amélioration continue et en supports destinés aux parties prenantes.</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Réalisation d'un playbook réutilisable, issu d'une analyse intersectorielle des goulots d'étranglement, pour accompagner les projets clients de transformation vers l'économie circulaire.</w:t>
      </w:r>
      <w:r>
        <w:rPr>
          <w:rtl w:val="0"/>
        </w:rPr>
      </w:r>
    </w:p>
    <w:p w:rsidR="00000000" w:rsidDel="00000000" w:rsidP="00000000" w:rsidRDefault="00000000" w:rsidRPr="00000000" w14:paraId="00000018">
      <w:pPr>
        <w:spacing w:after="10" w:before="70" w:lineRule="auto"/>
        <w:rPr/>
      </w:pPr>
      <w:r>
        <w:rPr>
          <w:rFonts w:ascii="Calibri" w:cs="Calibri" w:eastAsia="Calibri" w:hAnsi="Calibri"/>
          <w:b w:val="1"/>
          <w:bCs w:val="1"/>
          <w:sz w:val="20"/>
          <w:szCs w:val="20"/>
          <w:rtl w:val="0"/>
        </w:rPr>
        <w:t xml:space="preserve">Support Données Opérationnelles &amp; Planification</w:t>
      </w:r>
      <w:r>
        <w:rPr>
          <w:rtl w:val="0"/>
        </w:rPr>
      </w:r>
    </w:p>
    <w:p w:rsidR="00000000" w:rsidDel="00000000" w:rsidP="00000000" w:rsidRDefault="00000000" w:rsidRPr="00000000" w14:paraId="00000019">
      <w:pPr>
        <w:spacing w:after="20" w:lineRule="auto"/>
        <w:rPr/>
      </w:pPr>
      <w:r>
        <w:rPr>
          <w:rFonts w:ascii="Calibri" w:cs="Calibri" w:eastAsia="Calibri" w:hAnsi="Calibri"/>
          <w:sz w:val="18"/>
          <w:szCs w:val="18"/>
          <w:rtl w:val="0"/>
        </w:rPr>
        <w:t xml:space="preserve">Clear Express, Paris, France | Avril 2025 à août 2025 (4 mois)</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Consolidation et réconciliation des données de stock entre plusieurs systèmes pour fiabiliser la visibilité des stocks, réduire les écarts et renforcer le suivi quotidien.</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Création et mise à jour de tableaux de suivi KPI sous Excel et SQL pour le pilotage hebdomadaire de la performance et des flux, avec une structuration des données pour la planification opérationnelle et le reporting.</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Détection précoce des anomalies d'exécution et coordination des actions correctives avec les équipes internes et les partenaires externes, avec documentation des problèmes récurrents pour le suivi CAPA.</w:t>
      </w:r>
      <w:r>
        <w:rPr>
          <w:rtl w:val="0"/>
        </w:rPr>
      </w:r>
    </w:p>
    <w:p w:rsidR="00000000" w:rsidDel="00000000" w:rsidP="00000000" w:rsidRDefault="00000000" w:rsidRPr="00000000" w14:paraId="0000001D">
      <w:pPr>
        <w:pBdr>
          <w:bottom w:color="444444" w:space="1" w:sz="6" w:val="single"/>
        </w:pBdr>
        <w:spacing w:after="30" w:before="90" w:lineRule="auto"/>
        <w:rPr/>
      </w:pPr>
      <w:r>
        <w:rPr>
          <w:rFonts w:ascii="Calibri" w:cs="Calibri" w:eastAsia="Calibri" w:hAnsi="Calibri"/>
          <w:b w:val="1"/>
          <w:bCs w:val="1"/>
          <w:sz w:val="22"/>
          <w:szCs w:val="22"/>
          <w:rtl w:val="0"/>
        </w:rPr>
        <w:t xml:space="preserve">FORMATION</w:t>
      </w:r>
      <w:r>
        <w:rPr>
          <w:rtl w:val="0"/>
        </w:rPr>
      </w:r>
    </w:p>
    <w:p w:rsidR="00000000" w:rsidDel="00000000" w:rsidP="00000000" w:rsidRDefault="00000000" w:rsidRPr="00000000" w14:paraId="0000001E">
      <w:pPr>
        <w:spacing w:after="20" w:before="80" w:lineRule="auto"/>
        <w:rPr/>
      </w:pPr>
      <w:r>
        <w:rPr>
          <w:rFonts w:ascii="Calibri" w:cs="Calibri" w:eastAsia="Calibri" w:hAnsi="Calibri"/>
          <w:b w:val="1"/>
          <w:bCs w:val="1"/>
          <w:sz w:val="20"/>
          <w:szCs w:val="20"/>
          <w:rtl w:val="0"/>
        </w:rPr>
        <w:t xml:space="preserve">ISLI - Global Supply Chain Management (classé 2e en France, Eduniversal 2026)</w:t>
      </w:r>
      <w:r>
        <w:rPr>
          <w:rtl w:val="0"/>
        </w:rPr>
      </w:r>
    </w:p>
    <w:p w:rsidR="00000000" w:rsidDel="00000000" w:rsidP="00000000" w:rsidRDefault="00000000" w:rsidRPr="00000000" w14:paraId="0000001F">
      <w:pPr>
        <w:spacing w:after="20" w:lineRule="auto"/>
        <w:rPr/>
      </w:pPr>
      <w:r>
        <w:rPr>
          <w:rFonts w:ascii="Calibri" w:cs="Calibri" w:eastAsia="Calibri" w:hAnsi="Calibri"/>
          <w:sz w:val="18"/>
          <w:szCs w:val="18"/>
          <w:rtl w:val="0"/>
        </w:rPr>
        <w:t xml:space="preserve">KEDGE Business School, Bordeaux, France | Septembre 2024 à mai 2026</w:t>
      </w:r>
      <w:r>
        <w:rPr>
          <w:rtl w:val="0"/>
        </w:rPr>
      </w:r>
    </w:p>
    <w:p w:rsidR="00000000" w:rsidDel="00000000" w:rsidP="00000000" w:rsidRDefault="00000000" w:rsidRPr="00000000" w14:paraId="00000020">
      <w:pPr>
        <w:spacing w:after="20" w:lineRule="auto"/>
        <w:rPr/>
      </w:pPr>
      <w:r>
        <w:rPr>
          <w:rFonts w:ascii="Calibri" w:cs="Calibri" w:eastAsia="Calibri" w:hAnsi="Calibri"/>
          <w:sz w:val="18"/>
          <w:szCs w:val="18"/>
          <w:rtl w:val="0"/>
        </w:rPr>
        <w:t xml:space="preserve">Cours principaux : gestion des stocks, planification de la demande, prévisions, S&amp;OP, ERP, sourcing, logistique internationale, gestion des risques, stratégie supply chain globale</w:t>
      </w:r>
      <w:r>
        <w:rPr>
          <w:rtl w:val="0"/>
        </w:rPr>
      </w:r>
    </w:p>
    <w:p w:rsidR="00000000" w:rsidDel="00000000" w:rsidP="00000000" w:rsidRDefault="00000000" w:rsidRPr="00000000" w14:paraId="00000021">
      <w:pPr>
        <w:spacing w:after="20" w:before="80" w:lineRule="auto"/>
        <w:rPr/>
      </w:pPr>
      <w:r>
        <w:rPr>
          <w:rFonts w:ascii="Calibri" w:cs="Calibri" w:eastAsia="Calibri" w:hAnsi="Calibri"/>
          <w:b w:val="1"/>
          <w:bCs w:val="1"/>
          <w:sz w:val="20"/>
          <w:szCs w:val="20"/>
          <w:rtl w:val="0"/>
        </w:rPr>
        <w:t xml:space="preserve">Bachelor - Commerce international (université classée 236e en Asie, QS 2026)</w:t>
      </w:r>
      <w:r>
        <w:rPr>
          <w:rtl w:val="0"/>
        </w:rPr>
      </w:r>
    </w:p>
    <w:p w:rsidR="00000000" w:rsidDel="00000000" w:rsidP="00000000" w:rsidRDefault="00000000" w:rsidRPr="00000000" w14:paraId="00000022">
      <w:pPr>
        <w:spacing w:after="20" w:lineRule="auto"/>
        <w:rPr/>
      </w:pPr>
      <w:r>
        <w:rPr>
          <w:rFonts w:ascii="Calibri" w:cs="Calibri" w:eastAsia="Calibri" w:hAnsi="Calibri"/>
          <w:sz w:val="18"/>
          <w:szCs w:val="18"/>
          <w:rtl w:val="0"/>
        </w:rPr>
        <w:t xml:space="preserve">Yuan Ze University, Taoyuan, Taïwan | Septembre 2020 à juin 2024</w:t>
      </w:r>
      <w:r>
        <w:rPr>
          <w:rtl w:val="0"/>
        </w:rPr>
      </w:r>
    </w:p>
    <w:p w:rsidR="00000000" w:rsidDel="00000000" w:rsidP="00000000" w:rsidRDefault="00000000" w:rsidRPr="00000000" w14:paraId="00000023">
      <w:pPr>
        <w:spacing w:after="20" w:lineRule="auto"/>
        <w:rPr/>
      </w:pPr>
      <w:r>
        <w:rPr>
          <w:rFonts w:ascii="Calibri" w:cs="Calibri" w:eastAsia="Calibri" w:hAnsi="Calibri"/>
          <w:sz w:val="18"/>
          <w:szCs w:val="18"/>
          <w:rtl w:val="0"/>
        </w:rPr>
        <w:t xml:space="preserve">Mineures en investissement et finance d'entreprise, et en leadership et ressources humaines ; prix d'excellence académique (top 10 %) ; bourse du Council of Agriculture (Taïwan)</w:t>
      </w:r>
      <w:r>
        <w:rPr>
          <w:rtl w:val="0"/>
        </w:rPr>
      </w:r>
    </w:p>
    <w:p w:rsidR="00000000" w:rsidDel="00000000" w:rsidP="00000000" w:rsidRDefault="00000000" w:rsidRPr="00000000" w14:paraId="00000024">
      <w:pPr>
        <w:pBdr>
          <w:bottom w:color="444444" w:space="1" w:sz="6" w:val="single"/>
        </w:pBdr>
        <w:spacing w:after="30" w:before="90" w:lineRule="auto"/>
        <w:rPr/>
      </w:pPr>
      <w:r>
        <w:rPr>
          <w:rFonts w:ascii="Calibri" w:cs="Calibri" w:eastAsia="Calibri" w:hAnsi="Calibri"/>
          <w:b w:val="1"/>
          <w:bCs w:val="1"/>
          <w:sz w:val="22"/>
          <w:szCs w:val="22"/>
          <w:rtl w:val="0"/>
        </w:rPr>
        <w:t xml:space="preserve">LANGUES</w:t>
      </w:r>
      <w:r>
        <w:rPr>
          <w:rtl w:val="0"/>
        </w:rPr>
      </w:r>
    </w:p>
    <w:p w:rsidR="00000000" w:rsidDel="00000000" w:rsidP="00000000" w:rsidRDefault="00000000" w:rsidRPr="00000000" w14:paraId="00000025">
      <w:pPr>
        <w:spacing w:after="20" w:lineRule="auto"/>
        <w:rPr/>
      </w:pPr>
      <w:r>
        <w:rPr>
          <w:sz w:val="18"/>
          <w:szCs w:val="18"/>
        </w:rPr>
        <w:drawing>
          <wp:anchor allowOverlap="1" behindDoc="0" distB="114300" distT="114300" distL="114300" distR="114300" hidden="0" layoutInCell="1" locked="0" relativeHeight="0" simplePos="0">
            <wp:simplePos x="0" y="0"/>
            <wp:positionH relativeFrom="page">
              <wp:posOffset>6531300</wp:posOffset>
            </wp:positionH>
            <wp:positionV relativeFrom="page">
              <wp:posOffset>9660235</wp:posOffset>
            </wp:positionV>
            <wp:extent cx="566738" cy="565926"/>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6738" cy="565926"/>
                    </a:xfrm>
                    <a:prstGeom prst="rect"/>
                    <a:ln/>
                  </pic:spPr>
                </pic:pic>
              </a:graphicData>
            </a:graphic>
          </wp:anchor>
        </w:drawing>
      </w:r>
      <w:r>
        <w:rPr>
          <w:rFonts w:ascii="Calibri" w:cs="Calibri" w:eastAsia="Calibri" w:hAnsi="Calibri"/>
          <w:sz w:val="18"/>
          <w:szCs w:val="18"/>
          <w:rtl w:val="0"/>
        </w:rPr>
        <w:t xml:space="preserve">Chinois (mandarin) : langue maternelle</w:t>
      </w:r>
      <w:r>
        <w:rPr>
          <w:rtl w:val="0"/>
        </w:rPr>
      </w:r>
    </w:p>
    <w:p w:rsidR="00000000" w:rsidDel="00000000" w:rsidP="00000000" w:rsidRDefault="00000000" w:rsidRPr="00000000" w14:paraId="00000026">
      <w:pPr>
        <w:spacing w:after="20" w:lineRule="auto"/>
        <w:rPr/>
      </w:pPr>
      <w:r>
        <w:rPr>
          <w:rFonts w:ascii="Calibri" w:cs="Calibri" w:eastAsia="Calibri" w:hAnsi="Calibri"/>
          <w:sz w:val="18"/>
          <w:szCs w:val="18"/>
          <w:rtl w:val="0"/>
        </w:rPr>
        <w:t xml:space="preserve">Anglais : courant (niveau professionnel)</w:t>
      </w:r>
      <w:r>
        <w:rPr>
          <w:rtl w:val="0"/>
        </w:rPr>
      </w:r>
    </w:p>
    <w:p w:rsidR="00000000" w:rsidDel="00000000" w:rsidP="00000000" w:rsidRDefault="00000000" w:rsidRPr="00000000" w14:paraId="00000027">
      <w:pPr>
        <w:spacing w:after="20" w:lineRule="auto"/>
        <w:rPr/>
      </w:pPr>
      <w:r>
        <w:rPr>
          <w:rFonts w:ascii="Calibri" w:cs="Calibri" w:eastAsia="Calibri" w:hAnsi="Calibri"/>
          <w:sz w:val="18"/>
          <w:szCs w:val="18"/>
          <w:rtl w:val="0"/>
        </w:rPr>
        <w:t xml:space="preserve">Français : intermédiaire (en cours d'apprentissage)</w:t>
      </w:r>
      <w:r>
        <w:rPr>
          <w:rtl w:val="0"/>
        </w:rPr>
      </w:r>
    </w:p>
    <w:sectPr>
      <w:pgSz w:h="16838" w:w="11906" w:orient="portrait"/>
      <w:pgMar w:bottom="480" w:top="5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