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2A" w:rsidRDefault="001D442A" w:rsidP="001D442A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云南大学研究生学位论文开题答辩评审表</w:t>
      </w:r>
    </w:p>
    <w:tbl>
      <w:tblPr>
        <w:tblW w:w="846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78"/>
        <w:gridCol w:w="1522"/>
        <w:gridCol w:w="542"/>
        <w:gridCol w:w="1066"/>
        <w:gridCol w:w="128"/>
        <w:gridCol w:w="2149"/>
        <w:gridCol w:w="711"/>
        <w:gridCol w:w="283"/>
        <w:gridCol w:w="1284"/>
      </w:tblGrid>
      <w:tr w:rsidR="001D442A" w:rsidTr="001D442A">
        <w:trPr>
          <w:trHeight w:val="272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研究生简况</w:t>
            </w:r>
          </w:p>
        </w:tc>
      </w:tr>
      <w:tr w:rsidR="001D442A" w:rsidTr="001D442A">
        <w:trPr>
          <w:trHeight w:val="409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李涵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t>12021115016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t>2021</w:t>
            </w:r>
            <w:r>
              <w:rPr>
                <w:rFonts w:hint="eastAsia"/>
              </w:rPr>
              <w:t>级</w:t>
            </w:r>
          </w:p>
        </w:tc>
      </w:tr>
      <w:tr w:rsidR="001D442A" w:rsidTr="001D442A">
        <w:trPr>
          <w:trHeight w:val="370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信息学院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导师</w:t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445335">
            <w:pPr>
              <w:jc w:val="center"/>
            </w:pPr>
            <w:r>
              <w:rPr>
                <w:rFonts w:hint="eastAsia"/>
              </w:rPr>
              <w:t>张学杰</w:t>
            </w:r>
          </w:p>
        </w:tc>
      </w:tr>
      <w:tr w:rsidR="001D442A" w:rsidTr="001D442A">
        <w:trPr>
          <w:trHeight w:val="247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开题日期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开题</w:t>
            </w:r>
          </w:p>
          <w:p w:rsidR="001D442A" w:rsidRDefault="001D442A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4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trHeight w:val="225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开题报告简况</w:t>
            </w:r>
          </w:p>
        </w:tc>
      </w:tr>
      <w:tr w:rsidR="001D442A" w:rsidTr="001D442A">
        <w:trPr>
          <w:trHeight w:val="228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CE15E3">
            <w:r w:rsidRPr="00CE15E3">
              <w:rPr>
                <w:rFonts w:hint="eastAsia"/>
              </w:rPr>
              <w:t>车联网环境下能耗优先的任务调度算法研究</w:t>
            </w:r>
          </w:p>
        </w:tc>
      </w:tr>
      <w:tr w:rsidR="001D442A" w:rsidTr="001D442A">
        <w:trPr>
          <w:trHeight w:val="207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r>
              <w:rPr>
                <w:rFonts w:ascii="宋体" w:hAnsi="宋体" w:hint="eastAsia"/>
              </w:rPr>
              <w:t>□基础研究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□应用研究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□其他</w:t>
            </w:r>
          </w:p>
        </w:tc>
      </w:tr>
      <w:tr w:rsidR="001D442A" w:rsidTr="001D442A">
        <w:trPr>
          <w:trHeight w:val="216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开题报告内容摘要</w:t>
            </w:r>
            <w:r>
              <w:rPr>
                <w:rFonts w:hint="eastAsia"/>
              </w:rPr>
              <w:t>（要求不超过1000字，报告全文须单独附后。）</w:t>
            </w:r>
          </w:p>
        </w:tc>
      </w:tr>
      <w:tr w:rsidR="001D442A" w:rsidTr="001D442A">
        <w:trPr>
          <w:trHeight w:val="2117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55630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随着万物互联时代的到来，汽车不止是一个交通工具，同时也是一个移动的影音娱乐设备，就像是随着科技的发展，手机不止作为接打电话的工具，同时也是我们主力的娱乐设备。这必然使得汽车上会被安装越来越多的传感器，用来监控汽车的各种状态和为用户提供各种服务。</w:t>
            </w:r>
          </w:p>
          <w:p w:rsidR="001D442A" w:rsidRDefault="0055630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但是传感器的增多，必然导致能耗的增多，因此可以通过任务卸载的方式来增加能量的利用率。</w:t>
            </w:r>
            <w:r w:rsidRPr="0055630C">
              <w:rPr>
                <w:rFonts w:hint="eastAsia"/>
              </w:rPr>
              <w:t>车辆应用程序按照其关键程度分为三类：关键应用程序</w:t>
            </w:r>
            <w:r w:rsidRPr="0055630C">
              <w:t>、高优先级应用程序和低优先级应用程序。</w:t>
            </w:r>
            <w:r>
              <w:rPr>
                <w:rFonts w:hint="eastAsia"/>
              </w:rPr>
              <w:t>低优先级的任务，例如影音娱乐任务，</w:t>
            </w:r>
            <w:r w:rsidRPr="0055630C">
              <w:rPr>
                <w:rFonts w:hint="eastAsia"/>
              </w:rPr>
              <w:t>不会影响到车辆的安全，因此可以将其进行卸载，来提高资源的利用率。</w:t>
            </w:r>
          </w:p>
          <w:p w:rsidR="001D442A" w:rsidRDefault="0055630C" w:rsidP="0055630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本文</w:t>
            </w:r>
            <w:r w:rsidR="00CB30DC">
              <w:rPr>
                <w:rFonts w:hint="eastAsia"/>
              </w:rPr>
              <w:t>将移动边缘计算场景车联网中任务卸载的问题抽象为</w:t>
            </w:r>
            <w:r>
              <w:rPr>
                <w:rFonts w:hint="eastAsia"/>
              </w:rPr>
              <w:t>数学规划的形式，其中，目标是最小化所有能源消耗的平方，这可以兼顾能耗最小化与公平。约束包括：所有的任务必须有车辆来做，所有的车辆能够在规定时间内完成任务，以及为了保证通讯的质量，参与资源共享的智能汽车的距离要在一定的距离内。</w:t>
            </w:r>
          </w:p>
          <w:p w:rsidR="001D442A" w:rsidRDefault="00CB30DC">
            <w:pPr>
              <w:spacing w:line="240" w:lineRule="exac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根据的任务是否可分，又分为任务可分情况和任务不可分情况，任务可分的情况较为简单，能够在多项式的时间内处理完成，但是任务可分的情况就比较复杂，不能在多项式的时间内完成，因此只能通过智能算法来得到他们的近似解，</w:t>
            </w:r>
            <w:r w:rsidRPr="00CB30DC">
              <w:rPr>
                <w:rFonts w:hint="eastAsia"/>
              </w:rPr>
              <w:t>来满足靠近最优解和卸载方案计算时间的平衡</w:t>
            </w:r>
            <w:r>
              <w:rPr>
                <w:rFonts w:hint="eastAsia"/>
              </w:rPr>
              <w:t>。</w:t>
            </w:r>
          </w:p>
          <w:p w:rsidR="001D442A" w:rsidRDefault="00CB30DC" w:rsidP="005E7866">
            <w:pPr>
              <w:spacing w:line="240" w:lineRule="exact"/>
              <w:ind w:firstLine="420"/>
              <w:jc w:val="left"/>
            </w:pPr>
            <w:r>
              <w:rPr>
                <w:rFonts w:hint="eastAsia"/>
              </w:rPr>
              <w:t>首先要解决的问题是</w:t>
            </w:r>
            <w:r w:rsidR="005E7866">
              <w:rPr>
                <w:rFonts w:hint="eastAsia"/>
              </w:rPr>
              <w:t>如何将计算资源进行量化，本文使用CPU指令条数来刻画计算资源，建立起指令条数和CPU频率之间的关系模型，以及CPU频率和能耗的关系。</w:t>
            </w:r>
          </w:p>
          <w:p w:rsidR="005E7866" w:rsidRPr="00CB30DC" w:rsidRDefault="005E7866" w:rsidP="005E7866">
            <w:pPr>
              <w:spacing w:line="240" w:lineRule="exact"/>
              <w:ind w:firstLine="420"/>
              <w:jc w:val="left"/>
            </w:pPr>
            <w:r>
              <w:rPr>
                <w:rFonts w:hint="eastAsia"/>
              </w:rPr>
              <w:t>选择合适的智能算法是另一个问题，因为解的离散性以及</w:t>
            </w:r>
            <w:r w:rsidR="007050B4">
              <w:rPr>
                <w:rFonts w:hint="eastAsia"/>
              </w:rPr>
              <w:t>解空间有其</w:t>
            </w:r>
            <w:r>
              <w:rPr>
                <w:rFonts w:hint="eastAsia"/>
              </w:rPr>
              <w:t>物理意义</w:t>
            </w:r>
            <w:r w:rsidR="00DB7AC0">
              <w:rPr>
                <w:rFonts w:hint="eastAsia"/>
              </w:rPr>
              <w:t>（例如</w:t>
            </w:r>
            <w:r w:rsidR="00DB7AC0" w:rsidRPr="00DB7AC0">
              <w:rPr>
                <w:position w:val="-14"/>
              </w:rPr>
              <w:object w:dxaOrig="63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pt;height:19pt" o:ole="">
                  <v:imagedata r:id="rId6" o:title=""/>
                </v:shape>
                <o:OLEObject Type="Embed" ProgID="Equation.DSMT4" ShapeID="_x0000_i1025" DrawAspect="Content" ObjectID="_1744011876" r:id="rId7"/>
              </w:object>
            </w:r>
            <w:r w:rsidR="00DB7AC0">
              <w:rPr>
                <w:rFonts w:hint="eastAsia"/>
              </w:rPr>
              <w:t>代表了车辆</w:t>
            </w:r>
            <w:r w:rsidR="00DB7AC0" w:rsidRPr="00DB7AC0">
              <w:rPr>
                <w:position w:val="-6"/>
              </w:rPr>
              <w:object w:dxaOrig="139" w:dyaOrig="260">
                <v:shape id="_x0000_i1026" type="#_x0000_t75" style="width:7pt;height:13pt" o:ole="">
                  <v:imagedata r:id="rId8" o:title=""/>
                </v:shape>
                <o:OLEObject Type="Embed" ProgID="Equation.DSMT4" ShapeID="_x0000_i1026" DrawAspect="Content" ObjectID="_1744011877" r:id="rId9"/>
              </w:object>
            </w:r>
            <w:r w:rsidR="00DB7AC0">
              <w:rPr>
                <w:rFonts w:hint="eastAsia"/>
              </w:rPr>
              <w:t>将任务卸载给了车辆</w:t>
            </w:r>
            <w:r w:rsidR="00DB7AC0" w:rsidRPr="00DB7AC0">
              <w:rPr>
                <w:position w:val="-10"/>
              </w:rPr>
              <w:object w:dxaOrig="200" w:dyaOrig="300">
                <v:shape id="_x0000_i1027" type="#_x0000_t75" style="width:10pt;height:15pt" o:ole="">
                  <v:imagedata r:id="rId10" o:title=""/>
                </v:shape>
                <o:OLEObject Type="Embed" ProgID="Equation.DSMT4" ShapeID="_x0000_i1027" DrawAspect="Content" ObjectID="_1744011878" r:id="rId11"/>
              </w:object>
            </w:r>
            <w:r w:rsidR="00DB7AC0">
              <w:rPr>
                <w:rFonts w:hint="eastAsia"/>
              </w:rPr>
              <w:t>，而</w:t>
            </w:r>
            <w:r w:rsidR="00DB7AC0" w:rsidRPr="00DB7AC0">
              <w:rPr>
                <w:position w:val="-14"/>
              </w:rPr>
              <w:object w:dxaOrig="680" w:dyaOrig="380">
                <v:shape id="_x0000_i1028" type="#_x0000_t75" style="width:34pt;height:19pt" o:ole="">
                  <v:imagedata r:id="rId12" o:title=""/>
                </v:shape>
                <o:OLEObject Type="Embed" ProgID="Equation.DSMT4" ShapeID="_x0000_i1028" DrawAspect="Content" ObjectID="_1744011879" r:id="rId13"/>
              </w:object>
            </w:r>
            <w:r w:rsidR="00DB7AC0">
              <w:rPr>
                <w:rFonts w:hint="eastAsia"/>
              </w:rPr>
              <w:t>则代表没有卸载）</w:t>
            </w:r>
            <w:r>
              <w:rPr>
                <w:rFonts w:hint="eastAsia"/>
              </w:rPr>
              <w:t>，使得基于梯度的更新形式并不适用，因此需要其他的解的更新形式，本文选择了三种智能算法，基因算法，</w:t>
            </w:r>
            <w:r w:rsidR="007050B4">
              <w:rPr>
                <w:rFonts w:hint="eastAsia"/>
              </w:rPr>
              <w:t>离散</w:t>
            </w:r>
            <w:r>
              <w:rPr>
                <w:rFonts w:hint="eastAsia"/>
              </w:rPr>
              <w:t>粒子群算法，侏儒猫鼬算法来解决这个问题。基因算法通过编码的方式来更新解，</w:t>
            </w:r>
            <w:r w:rsidR="007050B4">
              <w:rPr>
                <w:rFonts w:hint="eastAsia"/>
              </w:rPr>
              <w:t>离散粒子群算法通过对操作符进行重载的方式来解决更新问题，侏儒猫鼬算法是根据侏儒猫鼬的社会行为提出的算法，有着独特的更新形式，但是它只能决绝连续问题，离散问题难以解决，因此本文打算通过对基因算法和离散粒子群算法的学习，来解决侏儒猫鼬算法不能用来解决离散型问题的缺点。</w:t>
            </w:r>
          </w:p>
          <w:p w:rsidR="001D442A" w:rsidRPr="005E7866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  <w:p w:rsidR="001D442A" w:rsidRDefault="001D442A">
            <w:pPr>
              <w:spacing w:line="240" w:lineRule="exact"/>
              <w:jc w:val="left"/>
            </w:pPr>
          </w:p>
        </w:tc>
      </w:tr>
      <w:tr w:rsidR="001D442A" w:rsidTr="001D442A">
        <w:trPr>
          <w:trHeight w:val="2020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442A" w:rsidRDefault="00CE15E3">
            <w:pPr>
              <w:rPr>
                <w:b/>
                <w:sz w:val="24"/>
                <w:szCs w:val="24"/>
              </w:rPr>
            </w:pPr>
            <w:r w:rsidRPr="00CE15E3"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3CCFF61" wp14:editId="3A6DD5C0">
                  <wp:simplePos x="0" y="0"/>
                  <wp:positionH relativeFrom="column">
                    <wp:posOffset>3300095</wp:posOffset>
                  </wp:positionH>
                  <wp:positionV relativeFrom="paragraph">
                    <wp:posOffset>219075</wp:posOffset>
                  </wp:positionV>
                  <wp:extent cx="1272540" cy="502920"/>
                  <wp:effectExtent l="0" t="0" r="3810" b="0"/>
                  <wp:wrapNone/>
                  <wp:docPr id="1" name="图片 1" descr="C:\Users\li544\AppData\Local\Temp\WeChat Files\2cf0e82d3ddce049997996bbebd91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544\AppData\Local\Temp\WeChat Files\2cf0e82d3ddce049997996bbebd91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442A">
              <w:rPr>
                <w:rFonts w:hint="eastAsia"/>
                <w:b/>
                <w:sz w:val="24"/>
                <w:szCs w:val="24"/>
              </w:rPr>
              <w:t>指导教师是否同意开题：</w:t>
            </w:r>
          </w:p>
          <w:p w:rsidR="001D442A" w:rsidRDefault="001D442A">
            <w:pPr>
              <w:ind w:right="840" w:firstLineChars="650" w:firstLine="1820"/>
              <w:rPr>
                <w:rFonts w:ascii="黑体" w:eastAsia="黑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□同意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</w:t>
            </w:r>
            <w:r>
              <w:rPr>
                <w:rFonts w:ascii="宋体" w:hAnsi="宋体" w:hint="eastAsia"/>
                <w:sz w:val="28"/>
                <w:szCs w:val="28"/>
              </w:rPr>
              <w:t>□不同意</w:t>
            </w:r>
          </w:p>
          <w:p w:rsidR="001D442A" w:rsidRDefault="001D442A">
            <w:pPr>
              <w:ind w:right="840" w:firstLineChars="2550" w:firstLine="5355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指导教师（签名）：</w:t>
            </w:r>
          </w:p>
          <w:p w:rsidR="001D442A" w:rsidRDefault="001D442A">
            <w:pPr>
              <w:ind w:right="840" w:firstLineChars="2550" w:firstLine="5355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年      月     日</w:t>
            </w:r>
          </w:p>
        </w:tc>
      </w:tr>
      <w:tr w:rsidR="001D442A" w:rsidTr="001D442A">
        <w:trPr>
          <w:trHeight w:val="386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评审专家组情况</w:t>
            </w:r>
          </w:p>
        </w:tc>
      </w:tr>
      <w:tr w:rsidR="001D442A" w:rsidTr="001D442A">
        <w:trPr>
          <w:cantSplit/>
          <w:trHeight w:val="497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签名栏</w:t>
            </w:r>
          </w:p>
        </w:tc>
      </w:tr>
      <w:tr w:rsidR="001D442A" w:rsidTr="001D442A">
        <w:trPr>
          <w:cantSplit/>
          <w:trHeight w:val="502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10"/>
        </w:trPr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cantSplit/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42A" w:rsidRDefault="001D442A">
            <w:pPr>
              <w:widowControl/>
              <w:jc w:val="left"/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center"/>
            </w:pPr>
          </w:p>
        </w:tc>
      </w:tr>
      <w:tr w:rsidR="001D442A" w:rsidTr="001D442A">
        <w:trPr>
          <w:trHeight w:val="2354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评审专家对开题答辩的意见和建议：</w:t>
            </w:r>
          </w:p>
        </w:tc>
      </w:tr>
      <w:tr w:rsidR="001D442A" w:rsidTr="001D442A">
        <w:trPr>
          <w:trHeight w:val="1956"/>
        </w:trPr>
        <w:tc>
          <w:tcPr>
            <w:tcW w:w="84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42A" w:rsidRDefault="001D442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开题答辩结果：</w:t>
            </w:r>
          </w:p>
          <w:p w:rsidR="001D442A" w:rsidRDefault="001D442A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□通过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</w:t>
            </w:r>
            <w:r>
              <w:rPr>
                <w:rFonts w:ascii="宋体" w:hAnsi="宋体" w:hint="eastAsia"/>
                <w:sz w:val="28"/>
                <w:szCs w:val="28"/>
              </w:rPr>
              <w:t>□修改后通过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hint="eastAsia"/>
                <w:sz w:val="28"/>
                <w:szCs w:val="28"/>
              </w:rPr>
              <w:t>□不通过</w:t>
            </w:r>
          </w:p>
          <w:p w:rsidR="001D442A" w:rsidRDefault="001D442A">
            <w:pPr>
              <w:ind w:right="840" w:firstLineChars="2200" w:firstLine="4620"/>
            </w:pPr>
          </w:p>
          <w:p w:rsidR="001D442A" w:rsidRDefault="001D442A">
            <w:pPr>
              <w:ind w:right="840" w:firstLineChars="2350" w:firstLine="4935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评审专家组组长（签名）：                </w:t>
            </w:r>
          </w:p>
          <w:p w:rsidR="001D442A" w:rsidRDefault="001D442A">
            <w:pPr>
              <w:ind w:right="840" w:firstLineChars="2400" w:firstLine="5040"/>
              <w:rPr>
                <w:b/>
              </w:rPr>
            </w:pPr>
            <w:r>
              <w:rPr>
                <w:rFonts w:ascii="黑体" w:eastAsia="黑体" w:hint="eastAsia"/>
              </w:rPr>
              <w:t>年     月     日</w:t>
            </w:r>
          </w:p>
        </w:tc>
      </w:tr>
    </w:tbl>
    <w:p w:rsidR="001D442A" w:rsidRDefault="001D442A" w:rsidP="001D442A">
      <w:pPr>
        <w:widowControl/>
        <w:jc w:val="left"/>
      </w:pPr>
    </w:p>
    <w:p w:rsidR="001D442A" w:rsidRDefault="001D442A" w:rsidP="001D442A">
      <w:pPr>
        <w:ind w:firstLineChars="350" w:firstLine="2531"/>
        <w:rPr>
          <w:rFonts w:ascii="仿宋" w:eastAsia="仿宋" w:hAnsi="仿宋"/>
          <w:b/>
          <w:bCs/>
          <w:spacing w:val="-40"/>
          <w:sz w:val="80"/>
          <w:szCs w:val="72"/>
        </w:rPr>
      </w:pPr>
      <w:r>
        <w:rPr>
          <w:rFonts w:ascii="仿宋" w:eastAsia="仿宋" w:hAnsi="仿宋" w:hint="eastAsia"/>
          <w:b/>
          <w:bCs/>
          <w:spacing w:val="-40"/>
          <w:sz w:val="80"/>
          <w:szCs w:val="72"/>
        </w:rPr>
        <w:t>云南大学</w:t>
      </w:r>
    </w:p>
    <w:p w:rsidR="001D442A" w:rsidRDefault="001D442A" w:rsidP="001D442A">
      <w:pPr>
        <w:widowControl/>
        <w:jc w:val="left"/>
      </w:pPr>
    </w:p>
    <w:p w:rsidR="001D442A" w:rsidRDefault="001D442A" w:rsidP="001D442A">
      <w:pPr>
        <w:widowControl/>
        <w:jc w:val="left"/>
      </w:pPr>
    </w:p>
    <w:p w:rsidR="001D442A" w:rsidRDefault="001D442A" w:rsidP="001D442A">
      <w:pPr>
        <w:ind w:firstLineChars="250" w:firstLine="1808"/>
        <w:rPr>
          <w:rFonts w:ascii="仿宋" w:eastAsia="仿宋" w:hAnsi="仿宋"/>
          <w:b/>
          <w:bCs/>
          <w:spacing w:val="-40"/>
          <w:sz w:val="80"/>
          <w:szCs w:val="72"/>
        </w:rPr>
      </w:pPr>
      <w:r>
        <w:rPr>
          <w:rFonts w:ascii="仿宋" w:eastAsia="仿宋" w:hAnsi="仿宋" w:hint="eastAsia"/>
          <w:b/>
          <w:bCs/>
          <w:spacing w:val="-40"/>
          <w:sz w:val="80"/>
          <w:szCs w:val="72"/>
        </w:rPr>
        <w:t>研究生开题报告</w:t>
      </w:r>
      <w:bookmarkStart w:id="0" w:name="_GoBack"/>
      <w:bookmarkEnd w:id="0"/>
    </w:p>
    <w:p w:rsidR="001D442A" w:rsidRDefault="00620239" w:rsidP="001D442A">
      <w:pPr>
        <w:jc w:val="center"/>
        <w:rPr>
          <w:rFonts w:ascii="仿宋" w:eastAsia="仿宋" w:hAnsi="仿宋"/>
          <w:b/>
          <w:bCs/>
          <w:spacing w:val="-40"/>
          <w:sz w:val="80"/>
          <w:szCs w:val="72"/>
        </w:rPr>
      </w:pPr>
      <w:r w:rsidRPr="00620239">
        <w:rPr>
          <w:rFonts w:ascii="仿宋" w:eastAsia="仿宋" w:hAnsi="仿宋" w:hint="eastAsia"/>
          <w:b/>
          <w:bCs/>
          <w:spacing w:val="-40"/>
          <w:sz w:val="48"/>
          <w:szCs w:val="72"/>
        </w:rPr>
        <w:t>（原稿）</w:t>
      </w: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812"/>
      </w:tblGrid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题   目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6055F4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 w:rsidRPr="006055F4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车联网环境下</w:t>
            </w:r>
            <w:r w:rsidR="00CE15E3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能耗优先</w:t>
            </w:r>
            <w:r w:rsidRPr="006055F4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的任务调度算法研究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研究类型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基础研究□  </w:t>
            </w:r>
            <w:r w:rsid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应用研究</w:t>
            </w:r>
            <w:r w:rsidR="004B5777"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√</w:t>
            </w: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  其他□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学院/研究院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信息学院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学   号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1</w:t>
            </w:r>
            <w:r>
              <w:rPr>
                <w:rFonts w:ascii="新宋体" w:eastAsia="新宋体" w:hAnsi="新宋体" w:cs="Times New Roman"/>
                <w:bCs/>
                <w:sz w:val="36"/>
                <w:szCs w:val="24"/>
              </w:rPr>
              <w:t>2021115016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姓   名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李涵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专   业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计算机软件与理论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导   师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张学杰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层   次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博  士□       硕  </w:t>
            </w:r>
            <w:r w:rsid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士</w:t>
            </w:r>
            <w:r w:rsidR="004B5777"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√</w:t>
            </w:r>
          </w:p>
        </w:tc>
      </w:tr>
      <w:tr w:rsidR="001D442A" w:rsidTr="001D442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学习形式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4B5777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  <w:r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全日制</w:t>
            </w:r>
            <w:r w:rsidRPr="004B5777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>√</w:t>
            </w:r>
            <w:r w:rsidR="001D442A">
              <w:rPr>
                <w:rFonts w:ascii="新宋体" w:eastAsia="新宋体" w:hAnsi="新宋体" w:cs="Times New Roman" w:hint="eastAsia"/>
                <w:bCs/>
                <w:sz w:val="36"/>
                <w:szCs w:val="24"/>
              </w:rPr>
              <w:t xml:space="preserve">     非全日制□</w:t>
            </w:r>
          </w:p>
        </w:tc>
      </w:tr>
      <w:tr w:rsidR="001D442A" w:rsidTr="001D442A">
        <w:trPr>
          <w:trHeight w:val="6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42A" w:rsidRDefault="001D442A">
            <w:pPr>
              <w:tabs>
                <w:tab w:val="right" w:pos="9638"/>
              </w:tabs>
              <w:jc w:val="center"/>
              <w:rPr>
                <w:rFonts w:ascii="新宋体" w:eastAsia="新宋体" w:hAnsi="新宋体" w:cs="Times New Roman"/>
                <w:bCs/>
                <w:sz w:val="44"/>
                <w:szCs w:val="44"/>
              </w:rPr>
            </w:pPr>
            <w:r>
              <w:rPr>
                <w:rFonts w:ascii="新宋体" w:eastAsia="新宋体" w:hAnsi="新宋体" w:cs="Times New Roman" w:hint="eastAsia"/>
                <w:bCs/>
                <w:sz w:val="44"/>
                <w:szCs w:val="44"/>
              </w:rPr>
              <w:t>时   间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2A" w:rsidRDefault="001D442A">
            <w:pPr>
              <w:tabs>
                <w:tab w:val="right" w:pos="9638"/>
              </w:tabs>
              <w:rPr>
                <w:rFonts w:ascii="新宋体" w:eastAsia="新宋体" w:hAnsi="新宋体" w:cs="Times New Roman"/>
                <w:bCs/>
                <w:sz w:val="36"/>
                <w:szCs w:val="24"/>
              </w:rPr>
            </w:pPr>
          </w:p>
        </w:tc>
      </w:tr>
    </w:tbl>
    <w:p w:rsidR="001D442A" w:rsidRDefault="001D442A" w:rsidP="001D442A">
      <w:pPr>
        <w:jc w:val="center"/>
        <w:rPr>
          <w:rFonts w:ascii="仿宋" w:eastAsia="仿宋" w:hAnsi="仿宋"/>
          <w:b/>
          <w:bCs/>
          <w:spacing w:val="-40"/>
          <w:sz w:val="80"/>
          <w:szCs w:val="72"/>
        </w:rPr>
      </w:pPr>
    </w:p>
    <w:p w:rsidR="00AE12B0" w:rsidRDefault="00AE12B0"/>
    <w:sectPr w:rsidR="00AE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AD0" w:rsidRDefault="00932AD0" w:rsidP="001D442A">
      <w:r>
        <w:separator/>
      </w:r>
    </w:p>
  </w:endnote>
  <w:endnote w:type="continuationSeparator" w:id="0">
    <w:p w:rsidR="00932AD0" w:rsidRDefault="00932AD0" w:rsidP="001D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AD0" w:rsidRDefault="00932AD0" w:rsidP="001D442A">
      <w:r>
        <w:separator/>
      </w:r>
    </w:p>
  </w:footnote>
  <w:footnote w:type="continuationSeparator" w:id="0">
    <w:p w:rsidR="00932AD0" w:rsidRDefault="00932AD0" w:rsidP="001D4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61"/>
    <w:rsid w:val="001522EB"/>
    <w:rsid w:val="00153B61"/>
    <w:rsid w:val="001D442A"/>
    <w:rsid w:val="00225945"/>
    <w:rsid w:val="0028312F"/>
    <w:rsid w:val="00330D91"/>
    <w:rsid w:val="00445335"/>
    <w:rsid w:val="004811DA"/>
    <w:rsid w:val="004B5777"/>
    <w:rsid w:val="0055630C"/>
    <w:rsid w:val="005E7866"/>
    <w:rsid w:val="006055F4"/>
    <w:rsid w:val="00620239"/>
    <w:rsid w:val="007050B4"/>
    <w:rsid w:val="00932AD0"/>
    <w:rsid w:val="00AA4A82"/>
    <w:rsid w:val="00AE12B0"/>
    <w:rsid w:val="00CB30DC"/>
    <w:rsid w:val="00CE15E3"/>
    <w:rsid w:val="00D57743"/>
    <w:rsid w:val="00DB7AC0"/>
    <w:rsid w:val="00F82948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CD153-DC7E-4BD5-BADB-123CF998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42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5774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57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han li</cp:lastModifiedBy>
  <cp:revision>12</cp:revision>
  <cp:lastPrinted>2023-03-26T11:32:00Z</cp:lastPrinted>
  <dcterms:created xsi:type="dcterms:W3CDTF">2020-05-13T00:34:00Z</dcterms:created>
  <dcterms:modified xsi:type="dcterms:W3CDTF">2023-04-26T02:57:00Z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