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9F950">
      <w:pPr>
        <w:spacing w:after="80" w:line="276" w:lineRule="auto"/>
        <w:jc w:val="center"/>
      </w:pPr>
      <w:r>
        <w:rPr>
          <w:rFonts w:ascii="微软雅黑" w:hAnsi="微软雅黑" w:eastAsia="微软雅黑"/>
          <w:b/>
          <w:sz w:val="36"/>
        </w:rPr>
        <w:t>《星地数据融合土壤水分监测与干旱智能预警系统》</w:t>
      </w:r>
      <w:r>
        <w:rPr>
          <w:rFonts w:ascii="微软雅黑" w:hAnsi="微软雅黑" w:eastAsia="微软雅黑"/>
          <w:b/>
          <w:sz w:val="36"/>
        </w:rPr>
        <w:br w:type="textWrapping"/>
      </w:r>
      <w:r>
        <w:rPr>
          <w:rFonts w:ascii="微软雅黑" w:hAnsi="微软雅黑" w:eastAsia="微软雅黑"/>
          <w:b/>
          <w:sz w:val="36"/>
        </w:rPr>
        <w:t>结题验收材料最终修改指引</w:t>
      </w:r>
    </w:p>
    <w:p w14:paraId="5124DBD8">
      <w:pPr>
        <w:pStyle w:val="3"/>
        <w:spacing w:after="80" w:line="276" w:lineRule="auto"/>
        <w:rPr>
          <w:highlight w:val="cyan"/>
        </w:rPr>
      </w:pPr>
      <w:r>
        <w:rPr>
          <w:rFonts w:ascii="微软雅黑" w:hAnsi="微软雅黑" w:eastAsia="微软雅黑"/>
          <w:sz w:val="21"/>
          <w:highlight w:val="cyan"/>
        </w:rPr>
        <w:t>一、第一部分：项目结题技术报告</w:t>
      </w:r>
    </w:p>
    <w:p w14:paraId="48A8A753">
      <w:pPr>
        <w:pStyle w:val="4"/>
        <w:spacing w:after="80" w:line="276" w:lineRule="auto"/>
      </w:pPr>
      <w:r>
        <w:rPr>
          <w:rFonts w:ascii="微软雅黑" w:hAnsi="微软雅黑" w:eastAsia="微软雅黑"/>
          <w:sz w:val="21"/>
        </w:rPr>
        <w:t>3.1 1.2 技术路线：FY卫星与轨道口径</w:t>
      </w:r>
    </w:p>
    <w:p w14:paraId="0E580AD6">
      <w:pPr>
        <w:spacing w:after="80" w:line="276" w:lineRule="auto"/>
      </w:pPr>
      <w:r>
        <w:rPr>
          <w:rFonts w:ascii="微软雅黑" w:hAnsi="微软雅黑" w:eastAsia="微软雅黑"/>
          <w:sz w:val="21"/>
        </w:rPr>
        <w:t>当前问题：1.2中写“FY-3B和FY-3D降轨，FY-3F升轨”，如果这是实际处理策略可以保留，但需要解释；如果只是临时表述，建议弱化为“具体采用的升/降轨观测以实际产品处理流程为准”。</w:t>
      </w:r>
    </w:p>
    <w:p w14:paraId="0FF50949">
      <w:pPr>
        <w:spacing w:after="80" w:line="276" w:lineRule="auto"/>
      </w:pPr>
      <w:r>
        <w:rPr>
          <w:rFonts w:ascii="微软雅黑" w:hAnsi="微软雅黑" w:eastAsia="微软雅黑"/>
          <w:sz w:val="21"/>
        </w:rPr>
        <w:t>建议替换文本：</w:t>
      </w:r>
    </w:p>
    <w:p w14:paraId="52881BB4">
      <w:pPr>
        <w:spacing w:after="80" w:line="276" w:lineRule="auto"/>
      </w:pPr>
      <w:r>
        <w:rPr>
          <w:rFonts w:ascii="微软雅黑" w:hAnsi="微软雅黑" w:eastAsia="微软雅黑"/>
          <w:sz w:val="21"/>
        </w:rPr>
        <w:t>FY输入包括</w:t>
      </w:r>
      <w:r>
        <w:rPr>
          <w:rFonts w:ascii="微软雅黑" w:hAnsi="微软雅黑" w:eastAsia="微软雅黑"/>
          <w:b/>
          <w:sz w:val="21"/>
        </w:rPr>
        <w:t>FY-3B、FY-3D和FY-3F</w:t>
      </w:r>
      <w:r>
        <w:rPr>
          <w:rFonts w:ascii="微软雅黑" w:hAnsi="微软雅黑" w:eastAsia="微软雅黑"/>
          <w:sz w:val="21"/>
        </w:rPr>
        <w:t xml:space="preserve"> MWRI 10.65 GHz V/H极化亮温。其中，FY-3B/FY-3D历史序列以FY-3D为基准进行一致性校正；FY-3F数据作为后续同类传感器观测接入，用于扩展系统土壤水分产品的连续生产能力。各传感器具体采用的升/降轨观测</w:t>
      </w:r>
      <w:r>
        <w:rPr>
          <w:rFonts w:ascii="微软雅黑" w:hAnsi="微软雅黑" w:eastAsia="微软雅黑"/>
          <w:b/>
          <w:sz w:val="21"/>
        </w:rPr>
        <w:t>以实际产品处理流程为准</w:t>
      </w:r>
      <w:r>
        <w:rPr>
          <w:rFonts w:ascii="微软雅黑" w:hAnsi="微软雅黑" w:eastAsia="微软雅黑"/>
          <w:sz w:val="21"/>
        </w:rPr>
        <w:t>。</w:t>
      </w:r>
    </w:p>
    <w:p w14:paraId="1FA6A520">
      <w:pPr>
        <w:pStyle w:val="4"/>
        <w:spacing w:after="80" w:line="276" w:lineRule="auto"/>
      </w:pPr>
      <w:r>
        <w:rPr>
          <w:rFonts w:ascii="微软雅黑" w:hAnsi="微软雅黑" w:eastAsia="微软雅黑"/>
          <w:sz w:val="21"/>
        </w:rPr>
        <w:t>3.2 1.3 数据来源与预处理：FY写法和标点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C1B0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6ED629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当前位置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44C06C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当前问题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333AA1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建议修改</w:t>
            </w:r>
          </w:p>
        </w:tc>
      </w:tr>
      <w:tr w14:paraId="57F0F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0C7B45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表1-1 微波亮温</w:t>
            </w:r>
          </w:p>
        </w:tc>
        <w:tc>
          <w:tcPr>
            <w:tcW w:w="3324" w:type="dxa"/>
            <w:vAlign w:val="center"/>
          </w:tcPr>
          <w:p w14:paraId="19B510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“L 波段SMAP ，X波段FY-3B / FY-3D/FY-3F”标点和空格不统一</w:t>
            </w:r>
          </w:p>
        </w:tc>
        <w:tc>
          <w:tcPr>
            <w:tcW w:w="3324" w:type="dxa"/>
            <w:vAlign w:val="center"/>
          </w:tcPr>
          <w:p w14:paraId="5777F5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改为“L波段SMAP，X波段FY-3B/FY-3D/FY-3F亮温观测”</w:t>
            </w:r>
          </w:p>
        </w:tc>
      </w:tr>
      <w:tr w14:paraId="00FDF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2D4165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全文FY写法</w:t>
            </w:r>
          </w:p>
        </w:tc>
        <w:tc>
          <w:tcPr>
            <w:tcW w:w="3324" w:type="dxa"/>
            <w:vAlign w:val="center"/>
          </w:tcPr>
          <w:p w14:paraId="66A270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FY3B/3D、FY3F、FY-3B混用</w:t>
            </w:r>
          </w:p>
        </w:tc>
        <w:tc>
          <w:tcPr>
            <w:tcW w:w="3324" w:type="dxa"/>
            <w:vAlign w:val="center"/>
          </w:tcPr>
          <w:p w14:paraId="35E44F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统一为FY-3B、FY-3D、FY-3F</w:t>
            </w:r>
          </w:p>
        </w:tc>
      </w:tr>
      <w:tr w14:paraId="14084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20A86C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FY-3B校正说明</w:t>
            </w:r>
          </w:p>
        </w:tc>
        <w:tc>
          <w:tcPr>
            <w:tcW w:w="3324" w:type="dxa"/>
            <w:vAlign w:val="center"/>
          </w:tcPr>
          <w:p w14:paraId="1487C0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当前只说明FY-3B以FY-3D为基准校正</w:t>
            </w:r>
          </w:p>
        </w:tc>
        <w:tc>
          <w:tcPr>
            <w:tcW w:w="3324" w:type="dxa"/>
            <w:vAlign w:val="center"/>
          </w:tcPr>
          <w:p w14:paraId="3637A7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若FY-3F也进入产品，补充FY-3F作为后续接入数据或实际处理说明</w:t>
            </w:r>
          </w:p>
        </w:tc>
      </w:tr>
    </w:tbl>
    <w:p w14:paraId="1FC798CD">
      <w:pPr>
        <w:pStyle w:val="4"/>
        <w:spacing w:after="80" w:line="276" w:lineRule="auto"/>
      </w:pPr>
      <w:r>
        <w:rPr>
          <w:rFonts w:ascii="微软雅黑" w:hAnsi="微软雅黑" w:eastAsia="微软雅黑"/>
          <w:sz w:val="21"/>
        </w:rPr>
        <w:t>3.3 1.4 产品生成情况：格式说明标点与术语</w:t>
      </w:r>
    </w:p>
    <w:p w14:paraId="5A013349">
      <w:pPr>
        <w:spacing w:after="80" w:line="276" w:lineRule="auto"/>
      </w:pPr>
      <w:r>
        <w:rPr>
          <w:rFonts w:ascii="微软雅黑" w:hAnsi="微软雅黑" w:eastAsia="微软雅黑"/>
          <w:sz w:val="21"/>
        </w:rPr>
        <w:t>当前问题：格式说明中“GeoTIFF、NetCDF 和 MAT三类导出格式GeoTIFF……”少标点。另“动态等效散射率”与后文“动态有效散射反照率”不统一。</w:t>
      </w:r>
    </w:p>
    <w:p w14:paraId="4C01D980">
      <w:pPr>
        <w:spacing w:after="80" w:line="276" w:lineRule="auto"/>
      </w:pPr>
      <w:r>
        <w:rPr>
          <w:rFonts w:ascii="微软雅黑" w:hAnsi="微软雅黑" w:eastAsia="微软雅黑"/>
          <w:sz w:val="21"/>
        </w:rPr>
        <w:t>建议替换文本：</w:t>
      </w:r>
    </w:p>
    <w:p w14:paraId="6D6D6152">
      <w:pPr>
        <w:spacing w:after="80" w:line="276" w:lineRule="auto"/>
      </w:pPr>
      <w:r>
        <w:rPr>
          <w:rFonts w:ascii="微软雅黑" w:hAnsi="微软雅黑" w:eastAsia="微软雅黑"/>
          <w:sz w:val="21"/>
        </w:rPr>
        <w:t>面向系统用户时，平台支持</w:t>
      </w:r>
      <w:r>
        <w:rPr>
          <w:rFonts w:ascii="微软雅黑" w:hAnsi="微软雅黑" w:eastAsia="微软雅黑"/>
          <w:b/>
          <w:sz w:val="21"/>
        </w:rPr>
        <w:t>GeoTIFF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NetCDF</w:t>
      </w:r>
      <w:r>
        <w:rPr>
          <w:rFonts w:ascii="微软雅黑" w:hAnsi="微软雅黑" w:eastAsia="微软雅黑"/>
          <w:sz w:val="21"/>
        </w:rPr>
        <w:t>和</w:t>
      </w:r>
      <w:r>
        <w:rPr>
          <w:rFonts w:ascii="微软雅黑" w:hAnsi="微软雅黑" w:eastAsia="微软雅黑"/>
          <w:b/>
          <w:sz w:val="21"/>
        </w:rPr>
        <w:t>MAT三类导出格式：GeoTIFF</w:t>
      </w:r>
      <w:r>
        <w:rPr>
          <w:rFonts w:ascii="微软雅黑" w:hAnsi="微软雅黑" w:eastAsia="微软雅黑"/>
          <w:sz w:val="21"/>
        </w:rPr>
        <w:t>主要用于单日空间栅格产品展示和GIS软件读取，</w:t>
      </w:r>
      <w:r>
        <w:rPr>
          <w:rFonts w:ascii="微软雅黑" w:hAnsi="微软雅黑" w:eastAsia="微软雅黑"/>
          <w:b/>
          <w:sz w:val="21"/>
        </w:rPr>
        <w:t>NetCDF</w:t>
      </w:r>
      <w:r>
        <w:rPr>
          <w:rFonts w:ascii="微软雅黑" w:hAnsi="微软雅黑" w:eastAsia="微软雅黑"/>
          <w:sz w:val="21"/>
        </w:rPr>
        <w:t>主要用于多时次产品归档和批量下载，</w:t>
      </w:r>
      <w:r>
        <w:rPr>
          <w:rFonts w:ascii="微软雅黑" w:hAnsi="微软雅黑" w:eastAsia="微软雅黑"/>
          <w:b/>
          <w:sz w:val="21"/>
        </w:rPr>
        <w:t>MAT</w:t>
      </w:r>
      <w:r>
        <w:rPr>
          <w:rFonts w:ascii="微软雅黑" w:hAnsi="微软雅黑" w:eastAsia="微软雅黑"/>
          <w:sz w:val="21"/>
        </w:rPr>
        <w:t>主要用于算法结果复核和科研分析。</w:t>
      </w:r>
    </w:p>
    <w:p w14:paraId="6142964D">
      <w:pPr>
        <w:spacing w:after="80" w:line="276" w:lineRule="auto"/>
      </w:pPr>
      <w:r>
        <w:rPr>
          <w:rFonts w:ascii="微软雅黑" w:hAnsi="微软雅黑" w:eastAsia="微软雅黑"/>
          <w:sz w:val="21"/>
        </w:rPr>
        <w:t>变量名称建议统一为：土壤水分（soil moisture, SM）；动态有效散射反照率（dynamic effective scattering albedo, ω）；植被光学厚度（vegetation optical depth, VOD）。</w:t>
      </w:r>
    </w:p>
    <w:p w14:paraId="25DD9483">
      <w:pPr>
        <w:pStyle w:val="4"/>
        <w:spacing w:after="80" w:line="276" w:lineRule="auto"/>
      </w:pPr>
      <w:r>
        <w:rPr>
          <w:rFonts w:ascii="微软雅黑" w:hAnsi="微软雅黑" w:eastAsia="微软雅黑"/>
          <w:sz w:val="21"/>
        </w:rPr>
        <w:t>3.4 1.5 产品样例：图题与图号</w:t>
      </w:r>
    </w:p>
    <w:p w14:paraId="39C5D6CC">
      <w:pPr>
        <w:spacing w:after="80" w:line="276" w:lineRule="auto"/>
      </w:pPr>
      <w:r>
        <w:rPr>
          <w:rFonts w:ascii="微软雅黑" w:hAnsi="微软雅黑" w:eastAsia="微软雅黑"/>
          <w:sz w:val="21"/>
        </w:rPr>
        <w:t>当前问题：1.5中图1-10写成“SMAP土壤水分全球样例图”，但按前文逻辑应为SMAP ω参数全球样例图；同时后续1.6又重复使用图1-8、图1-9、图1-10。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1B3C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74E75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当前图题/编号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42BABF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建议修改</w:t>
            </w:r>
          </w:p>
        </w:tc>
      </w:tr>
      <w:tr w14:paraId="08A43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00FCB1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1）FY3B/3D 微波反演...</w:t>
            </w:r>
          </w:p>
        </w:tc>
        <w:tc>
          <w:tcPr>
            <w:tcW w:w="4986" w:type="dxa"/>
            <w:vAlign w:val="center"/>
          </w:tcPr>
          <w:p w14:paraId="46634F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改为“FY-3B/FY-3D 微波反演土壤水分与ω参数样例（动态ω算法）”</w:t>
            </w:r>
          </w:p>
        </w:tc>
      </w:tr>
      <w:tr w14:paraId="617B8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41CF38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2）FY3F 微波反演...</w:t>
            </w:r>
          </w:p>
        </w:tc>
        <w:tc>
          <w:tcPr>
            <w:tcW w:w="4986" w:type="dxa"/>
            <w:vAlign w:val="center"/>
          </w:tcPr>
          <w:p w14:paraId="0403BD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改为“FY-3F 微波反演土壤水分与ω参数样例（动态ω算法）”</w:t>
            </w:r>
          </w:p>
        </w:tc>
      </w:tr>
      <w:tr w14:paraId="18C4B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457593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图1-8 SMAP 动态ω算法的数据产品文件示例</w:t>
            </w:r>
          </w:p>
        </w:tc>
        <w:tc>
          <w:tcPr>
            <w:tcW w:w="4986" w:type="dxa"/>
            <w:vAlign w:val="center"/>
          </w:tcPr>
          <w:p w14:paraId="3A159F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建议改为“图1-8 SMAP微波反演产品文件示例（动态ω算法）”</w:t>
            </w:r>
          </w:p>
        </w:tc>
      </w:tr>
      <w:tr w14:paraId="44635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A044F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图1-10 SMAP 土壤水分全球样例图（dynamic ω算法）</w:t>
            </w:r>
          </w:p>
        </w:tc>
        <w:tc>
          <w:tcPr>
            <w:tcW w:w="4986" w:type="dxa"/>
            <w:vAlign w:val="center"/>
          </w:tcPr>
          <w:p w14:paraId="526E94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改为“图1-10 SMAP ω参数全球样例图（动态ω算法）”</w:t>
            </w:r>
          </w:p>
        </w:tc>
      </w:tr>
    </w:tbl>
    <w:p w14:paraId="1873E3FB">
      <w:pPr>
        <w:pStyle w:val="4"/>
        <w:spacing w:after="80" w:line="276" w:lineRule="auto"/>
      </w:pPr>
      <w:r>
        <w:rPr>
          <w:rFonts w:ascii="微软雅黑" w:hAnsi="微软雅黑" w:eastAsia="微软雅黑"/>
          <w:sz w:val="21"/>
        </w:rPr>
        <w:t>3.5 1.6 精度验证与结果说明：图号、图注和过程验证口径</w:t>
      </w:r>
    </w:p>
    <w:p w14:paraId="221A1F16">
      <w:pPr>
        <w:spacing w:after="80" w:line="276" w:lineRule="auto"/>
      </w:pPr>
      <w:r>
        <w:rPr>
          <w:rFonts w:ascii="微软雅黑" w:hAnsi="微软雅黑" w:eastAsia="微软雅黑"/>
          <w:sz w:val="21"/>
        </w:rPr>
        <w:t>1.6中的图号应整体后移，避免与1.5重复。建议如下：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7CB0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4BA5E8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当前图号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3BCB0B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建议图号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1DB200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建议图题</w:t>
            </w:r>
          </w:p>
        </w:tc>
      </w:tr>
      <w:tr w14:paraId="46D58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73C42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图1-8</w:t>
            </w:r>
          </w:p>
        </w:tc>
        <w:tc>
          <w:tcPr>
            <w:tcW w:w="3324" w:type="dxa"/>
            <w:vAlign w:val="center"/>
          </w:tcPr>
          <w:p w14:paraId="45618E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图1-11</w:t>
            </w:r>
          </w:p>
        </w:tc>
        <w:tc>
          <w:tcPr>
            <w:tcW w:w="3324" w:type="dxa"/>
            <w:vAlign w:val="center"/>
          </w:tcPr>
          <w:p w14:paraId="6E0A64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产品一致性与干旱事件响应展示</w:t>
            </w:r>
          </w:p>
        </w:tc>
      </w:tr>
      <w:tr w14:paraId="437FA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6CA6E9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图1-9</w:t>
            </w:r>
          </w:p>
        </w:tc>
        <w:tc>
          <w:tcPr>
            <w:tcW w:w="3324" w:type="dxa"/>
            <w:vAlign w:val="center"/>
          </w:tcPr>
          <w:p w14:paraId="63D489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图1-12</w:t>
            </w:r>
          </w:p>
        </w:tc>
        <w:tc>
          <w:tcPr>
            <w:tcW w:w="3324" w:type="dxa"/>
            <w:vAlign w:val="center"/>
          </w:tcPr>
          <w:p w14:paraId="2EAB5C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林火事件动态ω参数对比图</w:t>
            </w:r>
          </w:p>
        </w:tc>
      </w:tr>
      <w:tr w14:paraId="50758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1571E9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图1-10</w:t>
            </w:r>
          </w:p>
        </w:tc>
        <w:tc>
          <w:tcPr>
            <w:tcW w:w="3324" w:type="dxa"/>
            <w:vAlign w:val="center"/>
          </w:tcPr>
          <w:p w14:paraId="01DE9A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图1-13</w:t>
            </w:r>
          </w:p>
        </w:tc>
        <w:tc>
          <w:tcPr>
            <w:tcW w:w="3324" w:type="dxa"/>
            <w:vAlign w:val="center"/>
          </w:tcPr>
          <w:p w14:paraId="0A82A3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ISMN站点上不同SM范围的土壤水分与SMAP RDCA产品的对比验证结果</w:t>
            </w:r>
          </w:p>
        </w:tc>
      </w:tr>
      <w:tr w14:paraId="11EEF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603223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图1-11</w:t>
            </w:r>
          </w:p>
        </w:tc>
        <w:tc>
          <w:tcPr>
            <w:tcW w:w="3324" w:type="dxa"/>
            <w:vAlign w:val="center"/>
          </w:tcPr>
          <w:p w14:paraId="719E4C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图1-14</w:t>
            </w:r>
          </w:p>
        </w:tc>
        <w:tc>
          <w:tcPr>
            <w:tcW w:w="3324" w:type="dxa"/>
            <w:vAlign w:val="center"/>
          </w:tcPr>
          <w:p w14:paraId="29C347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CASMOS站点上不同SM范围的土壤水分与SMAP RDCA产品的对比验证结果</w:t>
            </w:r>
          </w:p>
        </w:tc>
      </w:tr>
    </w:tbl>
    <w:p w14:paraId="583631D0">
      <w:pPr>
        <w:spacing w:after="80" w:line="276" w:lineRule="auto"/>
      </w:pPr>
      <w:r>
        <w:rPr>
          <w:rFonts w:ascii="微软雅黑" w:hAnsi="微软雅黑" w:eastAsia="微软雅黑"/>
          <w:sz w:val="21"/>
        </w:rPr>
        <w:t>ISMN与CASMOS图注应分开，不要把CASMOS统计时段放在ISMN图注后。建议替换为：</w:t>
      </w:r>
    </w:p>
    <w:p w14:paraId="500313D5">
      <w:pPr>
        <w:spacing w:after="80" w:line="276" w:lineRule="auto"/>
      </w:pPr>
      <w:r>
        <w:rPr>
          <w:rFonts w:ascii="微软雅黑" w:hAnsi="微软雅黑" w:eastAsia="微软雅黑"/>
          <w:sz w:val="21"/>
        </w:rPr>
        <w:t>图1-13 ISMN站点上不同SM范围的土壤水分与SMAP RDCA产品的对比验证结果。色块越大且越偏向蓝色，说明本数据集相对于基线产品SMAP的效果越好。统计时段为2015—2025年，共使用1563个站点。</w:t>
      </w:r>
    </w:p>
    <w:p w14:paraId="363EC448">
      <w:pPr>
        <w:spacing w:after="80" w:line="276" w:lineRule="auto"/>
      </w:pPr>
      <w:r>
        <w:rPr>
          <w:rFonts w:ascii="微软雅黑" w:hAnsi="微软雅黑" w:eastAsia="微软雅黑"/>
          <w:sz w:val="21"/>
        </w:rPr>
        <w:t>图1-14 CASMOS站点上不同SM范围的土壤水分与SMAP RDCA产品的对比验证结果。色块越大且越偏向蓝色，说明本数据集相对于对比产品SMAP的效果越好。统计时段为2010—2018年，共使用1000个站点。</w:t>
      </w:r>
    </w:p>
    <w:p w14:paraId="621BD8DC">
      <w:pPr>
        <w:spacing w:after="80" w:line="276" w:lineRule="auto"/>
      </w:pPr>
      <w:r>
        <w:rPr>
          <w:rFonts w:ascii="微软雅黑" w:hAnsi="微软雅黑" w:eastAsia="微软雅黑"/>
          <w:sz w:val="21"/>
        </w:rPr>
        <w:t>过程验证口径建议保持为“典型过程响应检验”，不要写成单点绝对精度验证。干旱事件用于展示SM响应过程；林火事件用于展示动态ω参数对冠层/地表扰动的响应。</w:t>
      </w:r>
    </w:p>
    <w:p w14:paraId="691FE93E">
      <w:pPr>
        <w:pStyle w:val="3"/>
        <w:spacing w:after="80" w:line="276" w:lineRule="auto"/>
        <w:rPr>
          <w:highlight w:val="cyan"/>
        </w:rPr>
      </w:pPr>
      <w:r>
        <w:rPr>
          <w:rFonts w:ascii="微软雅黑" w:hAnsi="微软雅黑" w:eastAsia="微软雅黑"/>
          <w:sz w:val="21"/>
          <w:highlight w:val="cyan"/>
        </w:rPr>
        <w:t>四、第二部分：系统平台部署与运行说明</w:t>
      </w:r>
    </w:p>
    <w:p w14:paraId="5DEBE9D4">
      <w:pPr>
        <w:pStyle w:val="4"/>
        <w:spacing w:after="80" w:line="276" w:lineRule="auto"/>
      </w:pPr>
      <w:r>
        <w:rPr>
          <w:rFonts w:ascii="微软雅黑" w:hAnsi="微软雅黑" w:eastAsia="微软雅黑"/>
          <w:sz w:val="21"/>
        </w:rPr>
        <w:t>4.1 2.1 系统组成：功能名与区域能力</w:t>
      </w:r>
    </w:p>
    <w:p w14:paraId="308A9B5D">
      <w:pPr>
        <w:spacing w:after="80" w:line="276" w:lineRule="auto"/>
      </w:pPr>
      <w:r>
        <w:rPr>
          <w:rFonts w:ascii="微软雅黑" w:hAnsi="微软雅黑" w:eastAsia="微软雅黑"/>
          <w:sz w:val="21"/>
        </w:rPr>
        <w:t>当前表2-1前端展示模块仍写“区域查询”，但第三部分说明当前主界面不提供独立框选统计。建议改为“点位查询、区域范围约束、下载入口”。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4435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02C199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当前位置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5098C2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当前表述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5E5C68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建议表述</w:t>
            </w:r>
          </w:p>
        </w:tc>
      </w:tr>
      <w:tr w14:paraId="3E4BC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2BF4E9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表2-1 前端展示模块功能</w:t>
            </w:r>
          </w:p>
        </w:tc>
        <w:tc>
          <w:tcPr>
            <w:tcW w:w="3324" w:type="dxa"/>
            <w:vAlign w:val="center"/>
          </w:tcPr>
          <w:p w14:paraId="49B8D8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地图展示、时间选择、图层切换、图例、区域查询、下载入口</w:t>
            </w:r>
          </w:p>
        </w:tc>
        <w:tc>
          <w:tcPr>
            <w:tcW w:w="3324" w:type="dxa"/>
            <w:vAlign w:val="center"/>
          </w:tcPr>
          <w:p w14:paraId="4FCD65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地图展示、时间选择、图层切换、图例、点位查询、区域范围约束、下载入口</w:t>
            </w:r>
          </w:p>
        </w:tc>
      </w:tr>
      <w:tr w14:paraId="415E8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6E8EEA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前端交互层描述</w:t>
            </w:r>
          </w:p>
        </w:tc>
        <w:tc>
          <w:tcPr>
            <w:tcW w:w="3324" w:type="dxa"/>
            <w:vAlign w:val="center"/>
          </w:tcPr>
          <w:p w14:paraId="1882EC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空间查询、数据下载等交互组件</w:t>
            </w:r>
          </w:p>
        </w:tc>
        <w:tc>
          <w:tcPr>
            <w:tcW w:w="3324" w:type="dxa"/>
            <w:vAlign w:val="center"/>
          </w:tcPr>
          <w:p w14:paraId="09A351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点位查询、图层分析和数据导出等交互组件</w:t>
            </w:r>
          </w:p>
        </w:tc>
      </w:tr>
    </w:tbl>
    <w:p w14:paraId="44413398">
      <w:pPr>
        <w:spacing w:after="80" w:line="276" w:lineRule="auto"/>
      </w:pPr>
      <w:r>
        <w:rPr>
          <w:rFonts w:ascii="微软雅黑" w:hAnsi="微软雅黑" w:eastAsia="微软雅黑"/>
          <w:sz w:val="21"/>
        </w:rPr>
        <w:t>“区域范围约束”比“框选查询”更稳妥，因为当前系统不承诺在地图上框选后直接返回区域均值、最大值、像元数等统计结果，而是通过工作流bbox、产品导出范围和数据处理范围限定空间范围。</w:t>
      </w:r>
    </w:p>
    <w:p w14:paraId="46740815">
      <w:pPr>
        <w:pStyle w:val="4"/>
        <w:spacing w:after="80" w:line="276" w:lineRule="auto"/>
      </w:pPr>
      <w:r>
        <w:rPr>
          <w:rFonts w:ascii="微软雅黑" w:hAnsi="微软雅黑" w:eastAsia="微软雅黑"/>
          <w:sz w:val="21"/>
        </w:rPr>
        <w:t>4.2 2.1 数据存储层：公开访问与权限结构</w:t>
      </w:r>
    </w:p>
    <w:p w14:paraId="0B109844">
      <w:pPr>
        <w:spacing w:after="80" w:line="276" w:lineRule="auto"/>
      </w:pPr>
      <w:r>
        <w:rPr>
          <w:rFonts w:ascii="微软雅黑" w:hAnsi="微软雅黑" w:eastAsia="微软雅黑"/>
          <w:sz w:val="21"/>
        </w:rPr>
        <w:t>当前2.1写SQLite存储“用户账号与权限配置”，但后文又写“公开访问、不部署登录”。建议统一为：</w:t>
      </w:r>
    </w:p>
    <w:p w14:paraId="4BF01525">
      <w:pPr>
        <w:spacing w:after="80" w:line="276" w:lineRule="auto"/>
      </w:pPr>
      <w:r>
        <w:rPr>
          <w:rFonts w:ascii="微软雅黑" w:hAnsi="微软雅黑" w:eastAsia="微软雅黑"/>
          <w:sz w:val="21"/>
        </w:rPr>
        <w:t>SQLite嵌入式数据库主要存储土壤水分产品元数据、图层配置、文件路径、时间索引和系统运行任务记录；</w:t>
      </w:r>
      <w:r>
        <w:rPr>
          <w:rFonts w:ascii="微软雅黑" w:hAnsi="微软雅黑" w:eastAsia="微软雅黑"/>
          <w:b/>
          <w:sz w:val="21"/>
        </w:rPr>
        <w:t>用户与权限表结构作为后续扩展保留</w:t>
      </w:r>
      <w:r>
        <w:rPr>
          <w:rFonts w:ascii="微软雅黑" w:hAnsi="微软雅黑" w:eastAsia="微软雅黑"/>
          <w:sz w:val="21"/>
        </w:rPr>
        <w:t>。当前验收版本面向终端用户的地图浏览、点位查询和产品下载等</w:t>
      </w:r>
      <w:r>
        <w:rPr>
          <w:rFonts w:ascii="微软雅黑" w:hAnsi="微软雅黑" w:eastAsia="微软雅黑"/>
          <w:b/>
          <w:sz w:val="21"/>
        </w:rPr>
        <w:t>只读功能为公开访问</w:t>
      </w:r>
      <w:r>
        <w:rPr>
          <w:rFonts w:ascii="微软雅黑" w:hAnsi="微软雅黑" w:eastAsia="微软雅黑"/>
          <w:sz w:val="21"/>
        </w:rPr>
        <w:t>，配置写入、数据导入和工作流提交等管理操作通过</w:t>
      </w:r>
      <w:r>
        <w:rPr>
          <w:rFonts w:ascii="微软雅黑" w:hAnsi="微软雅黑" w:eastAsia="微软雅黑"/>
          <w:b/>
          <w:sz w:val="21"/>
        </w:rPr>
        <w:t>X-API-Key保护</w:t>
      </w:r>
      <w:r>
        <w:rPr>
          <w:rFonts w:ascii="微软雅黑" w:hAnsi="微软雅黑" w:eastAsia="微软雅黑"/>
          <w:sz w:val="21"/>
        </w:rPr>
        <w:t>。</w:t>
      </w:r>
    </w:p>
    <w:p w14:paraId="1240EDF3">
      <w:pPr>
        <w:pStyle w:val="4"/>
        <w:spacing w:after="80" w:line="276" w:lineRule="auto"/>
      </w:pPr>
      <w:r>
        <w:rPr>
          <w:rFonts w:ascii="微软雅黑" w:hAnsi="微软雅黑" w:eastAsia="微软雅黑"/>
          <w:sz w:val="21"/>
        </w:rPr>
        <w:t>4.3 2.2 部署环境：小错误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F1F8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63D862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69172F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当前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1ED406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</w:t>
            </w:r>
          </w:p>
        </w:tc>
      </w:tr>
      <w:tr w14:paraId="539D3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6CC28C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表2-2 地图服务</w:t>
            </w:r>
          </w:p>
        </w:tc>
        <w:tc>
          <w:tcPr>
            <w:tcW w:w="3324" w:type="dxa"/>
            <w:vAlign w:val="center"/>
          </w:tcPr>
          <w:p w14:paraId="54E52E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自研统一瓦片服unified-tiles</w:t>
            </w:r>
          </w:p>
        </w:tc>
        <w:tc>
          <w:tcPr>
            <w:tcW w:w="3324" w:type="dxa"/>
            <w:vAlign w:val="center"/>
          </w:tcPr>
          <w:p w14:paraId="47CC56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自研统一瓦片服务 unified-tiles</w:t>
            </w:r>
          </w:p>
        </w:tc>
      </w:tr>
      <w:tr w14:paraId="30ACA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313C0D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系统访问地址</w:t>
            </w:r>
          </w:p>
        </w:tc>
        <w:tc>
          <w:tcPr>
            <w:tcW w:w="3324" w:type="dxa"/>
            <w:vAlign w:val="center"/>
          </w:tcPr>
          <w:p w14:paraId="6DDFB1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保留公网地址即可</w:t>
            </w:r>
          </w:p>
        </w:tc>
        <w:tc>
          <w:tcPr>
            <w:tcW w:w="3324" w:type="dxa"/>
            <w:vAlign w:val="center"/>
          </w:tcPr>
          <w:p w14:paraId="2247AF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若写localhost，应注明仅用于本机部署测试</w:t>
            </w:r>
          </w:p>
        </w:tc>
      </w:tr>
    </w:tbl>
    <w:p w14:paraId="320BF292">
      <w:pPr>
        <w:pStyle w:val="4"/>
        <w:spacing w:after="80" w:line="276" w:lineRule="auto"/>
      </w:pPr>
      <w:r>
        <w:rPr>
          <w:rFonts w:ascii="微软雅黑" w:hAnsi="微软雅黑" w:eastAsia="微软雅黑"/>
          <w:sz w:val="21"/>
        </w:rPr>
        <w:t>4.4 2.3 运行与测试记录：过满表述与产品范围</w:t>
      </w:r>
    </w:p>
    <w:p w14:paraId="4762384F">
      <w:pPr>
        <w:spacing w:after="80" w:line="276" w:lineRule="auto"/>
      </w:pPr>
      <w:r>
        <w:rPr>
          <w:rFonts w:ascii="微软雅黑" w:hAnsi="微软雅黑" w:eastAsia="微软雅黑"/>
          <w:sz w:val="21"/>
        </w:rPr>
        <w:t>建议将“SMAP日/月/旬产品”核实后再写。如果没有日/月/旬全套产品，改成更稳妥的描述：</w:t>
      </w:r>
    </w:p>
    <w:p w14:paraId="557D6ACE">
      <w:pPr>
        <w:spacing w:after="80" w:line="276" w:lineRule="auto"/>
      </w:pPr>
      <w:r>
        <w:rPr>
          <w:rFonts w:ascii="微软雅黑" w:hAnsi="微软雅黑" w:eastAsia="微软雅黑"/>
          <w:sz w:val="21"/>
        </w:rPr>
        <w:t>平台内</w:t>
      </w:r>
      <w:r>
        <w:rPr>
          <w:rFonts w:ascii="微软雅黑" w:hAnsi="微软雅黑" w:eastAsia="微软雅黑"/>
          <w:b/>
          <w:sz w:val="21"/>
        </w:rPr>
        <w:t>SMAP/FY土壤水分样例产品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动态ω参数图层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站点观测图层</w:t>
      </w:r>
      <w:r>
        <w:rPr>
          <w:rFonts w:ascii="微软雅黑" w:hAnsi="微软雅黑" w:eastAsia="微软雅黑"/>
          <w:sz w:val="21"/>
        </w:rPr>
        <w:t>及气象辅助图层均可正常载入地图，渲染颜色图例正常。</w:t>
      </w:r>
    </w:p>
    <w:p w14:paraId="50846E3F">
      <w:pPr>
        <w:spacing w:after="80" w:line="276" w:lineRule="auto"/>
      </w:pPr>
      <w:r>
        <w:rPr>
          <w:rFonts w:ascii="微软雅黑" w:hAnsi="微软雅黑" w:eastAsia="微软雅黑"/>
          <w:sz w:val="21"/>
        </w:rPr>
        <w:t>2.3末尾“全部核心功能运行正常”如果没有完整日志附件，建议降调为：</w:t>
      </w:r>
    </w:p>
    <w:p w14:paraId="03475754">
      <w:pPr>
        <w:spacing w:after="80" w:line="276" w:lineRule="auto"/>
      </w:pPr>
      <w:r>
        <w:rPr>
          <w:rFonts w:ascii="微软雅黑" w:hAnsi="微软雅黑" w:eastAsia="微软雅黑"/>
          <w:sz w:val="21"/>
        </w:rPr>
        <w:t>测试结果表明，平台首页访问、图层加载、时间切换、点位查询、数据导出和后端接口响应等核心功能均可正常运行。</w:t>
      </w:r>
    </w:p>
    <w:p w14:paraId="342D0F0F">
      <w:pPr>
        <w:pStyle w:val="3"/>
        <w:spacing w:after="80" w:line="276" w:lineRule="auto"/>
        <w:rPr>
          <w:highlight w:val="cyan"/>
        </w:rPr>
      </w:pPr>
      <w:r>
        <w:rPr>
          <w:rFonts w:ascii="微软雅黑" w:hAnsi="微软雅黑" w:eastAsia="微软雅黑"/>
          <w:sz w:val="21"/>
          <w:highlight w:val="cyan"/>
        </w:rPr>
        <w:t>五、第三部分：系统操作手册</w:t>
      </w:r>
    </w:p>
    <w:p w14:paraId="51AB84E9">
      <w:pPr>
        <w:pStyle w:val="4"/>
        <w:spacing w:after="80" w:line="276" w:lineRule="auto"/>
      </w:pPr>
      <w:r>
        <w:rPr>
          <w:rFonts w:ascii="微软雅黑" w:hAnsi="微软雅黑" w:eastAsia="微软雅黑"/>
          <w:sz w:val="21"/>
        </w:rPr>
        <w:t>5.1 3.2 土壤水分产品查看：类别与图层名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AA74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7DF205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当前位置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589A1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当前问题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2304BF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建议修改</w:t>
            </w:r>
          </w:p>
        </w:tc>
      </w:tr>
      <w:tr w14:paraId="0D634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483E00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3.2 操作步骤</w:t>
            </w:r>
          </w:p>
        </w:tc>
        <w:tc>
          <w:tcPr>
            <w:tcW w:w="3324" w:type="dxa"/>
            <w:vAlign w:val="center"/>
          </w:tcPr>
          <w:p w14:paraId="3FD161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“图层面板,选择目标图层”英文逗号</w:t>
            </w:r>
          </w:p>
        </w:tc>
        <w:tc>
          <w:tcPr>
            <w:tcW w:w="3324" w:type="dxa"/>
            <w:vAlign w:val="center"/>
          </w:tcPr>
          <w:p w14:paraId="4C9A53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改为“图层面板，选择目标图层”</w:t>
            </w:r>
          </w:p>
        </w:tc>
      </w:tr>
      <w:tr w14:paraId="45577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37F8B1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3.2 图层名</w:t>
            </w:r>
          </w:p>
        </w:tc>
        <w:tc>
          <w:tcPr>
            <w:tcW w:w="3324" w:type="dxa"/>
            <w:vAlign w:val="center"/>
          </w:tcPr>
          <w:p w14:paraId="7B12AC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“ SMAP L3土壤水分”前有空格</w:t>
            </w:r>
          </w:p>
        </w:tc>
        <w:tc>
          <w:tcPr>
            <w:tcW w:w="3324" w:type="dxa"/>
            <w:vAlign w:val="center"/>
          </w:tcPr>
          <w:p w14:paraId="653720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改为“SMAP L3土壤水分”</w:t>
            </w:r>
          </w:p>
        </w:tc>
      </w:tr>
      <w:tr w14:paraId="2394A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4A2553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左侧类别</w:t>
            </w:r>
          </w:p>
        </w:tc>
        <w:tc>
          <w:tcPr>
            <w:tcW w:w="3324" w:type="dxa"/>
            <w:vAlign w:val="center"/>
          </w:tcPr>
          <w:p w14:paraId="000F85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“科研数据”若网页后续改名</w:t>
            </w:r>
          </w:p>
        </w:tc>
        <w:tc>
          <w:tcPr>
            <w:tcW w:w="3324" w:type="dxa"/>
            <w:vAlign w:val="center"/>
          </w:tcPr>
          <w:p w14:paraId="01F11C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建议改为“土壤水分产品”或“项目数据”，与网页实际名称一致</w:t>
            </w:r>
          </w:p>
        </w:tc>
      </w:tr>
    </w:tbl>
    <w:p w14:paraId="77A9B82F">
      <w:pPr>
        <w:pStyle w:val="4"/>
        <w:spacing w:after="80" w:line="276" w:lineRule="auto"/>
      </w:pPr>
      <w:r>
        <w:rPr>
          <w:rFonts w:ascii="微软雅黑" w:hAnsi="微软雅黑" w:eastAsia="微软雅黑"/>
          <w:sz w:val="21"/>
        </w:rPr>
        <w:t>5.2 3.3.1 点位查询：步骤编号重复</w:t>
      </w:r>
    </w:p>
    <w:p w14:paraId="1486B25D">
      <w:pPr>
        <w:spacing w:after="80" w:line="276" w:lineRule="auto"/>
      </w:pPr>
      <w:r>
        <w:rPr>
          <w:rFonts w:ascii="微软雅黑" w:hAnsi="微软雅黑" w:eastAsia="微软雅黑"/>
          <w:sz w:val="21"/>
        </w:rPr>
        <w:t>当前点位查询步骤中连续出现两个“（2）”。建议改为：</w:t>
      </w:r>
    </w:p>
    <w:p w14:paraId="4CCA0C20">
      <w:pPr>
        <w:spacing w:after="80" w:line="276" w:lineRule="auto"/>
      </w:pPr>
      <w:r>
        <w:rPr>
          <w:rFonts w:ascii="微软雅黑" w:hAnsi="微软雅黑" w:eastAsia="微软雅黑"/>
          <w:sz w:val="21"/>
        </w:rPr>
        <w:t>（1）点击顶部工具栏的“点查”按钮。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（2）在地图区域将鼠标移动至目标位置并单击。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（3）页面右侧分析面板自动弹出，显示查询结果。</w:t>
      </w:r>
    </w:p>
    <w:p w14:paraId="775A1806">
      <w:pPr>
        <w:pStyle w:val="4"/>
        <w:spacing w:after="80" w:line="276" w:lineRule="auto"/>
      </w:pPr>
      <w:r>
        <w:rPr>
          <w:rFonts w:ascii="微软雅黑" w:hAnsi="微软雅黑" w:eastAsia="微软雅黑"/>
          <w:sz w:val="21"/>
        </w:rPr>
        <w:t>5.3 3.3.2 区域范围约束：句子需更自然</w:t>
      </w:r>
    </w:p>
    <w:p w14:paraId="37D72442">
      <w:pPr>
        <w:spacing w:after="80" w:line="276" w:lineRule="auto"/>
      </w:pPr>
      <w:r>
        <w:rPr>
          <w:rFonts w:ascii="微软雅黑" w:hAnsi="微软雅黑" w:eastAsia="微软雅黑"/>
          <w:sz w:val="21"/>
        </w:rPr>
        <w:t>当前句子“区域范围约束取样并返回区域统计”不自然。建议改为：</w:t>
      </w:r>
    </w:p>
    <w:p w14:paraId="78251108">
      <w:pPr>
        <w:spacing w:after="80" w:line="276" w:lineRule="auto"/>
      </w:pPr>
      <w:r>
        <w:rPr>
          <w:rFonts w:ascii="微软雅黑" w:hAnsi="微软雅黑" w:eastAsia="微软雅黑"/>
          <w:sz w:val="21"/>
        </w:rPr>
        <w:t>当前地图主界面</w:t>
      </w:r>
      <w:r>
        <w:rPr>
          <w:rFonts w:ascii="微软雅黑" w:hAnsi="微软雅黑" w:eastAsia="微软雅黑"/>
          <w:b/>
          <w:sz w:val="21"/>
        </w:rPr>
        <w:t>不提供独立的“框选取样并返回区域统计”按钮</w:t>
      </w:r>
      <w:r>
        <w:rPr>
          <w:rFonts w:ascii="微软雅黑" w:hAnsi="微软雅黑" w:eastAsia="微软雅黑"/>
          <w:sz w:val="21"/>
        </w:rPr>
        <w:t>或专用REST接口。</w:t>
      </w:r>
      <w:r>
        <w:rPr>
          <w:rFonts w:ascii="微软雅黑" w:hAnsi="微软雅黑" w:eastAsia="微软雅黑"/>
          <w:b/>
          <w:sz w:val="21"/>
        </w:rPr>
        <w:t>区域范围约束能力</w:t>
      </w:r>
      <w:r>
        <w:rPr>
          <w:rFonts w:ascii="微软雅黑" w:hAnsi="微软雅黑" w:eastAsia="微软雅黑"/>
          <w:sz w:val="21"/>
        </w:rPr>
        <w:t>主要体现在工作流bbox、产品导出范围和数据处理范围设置中。系统已实现点位查询、图层预览、时间切换和产品导出功能；独立的交互式框选统计功能作为</w:t>
      </w:r>
      <w:r>
        <w:rPr>
          <w:rFonts w:ascii="微软雅黑" w:hAnsi="微软雅黑" w:eastAsia="微软雅黑"/>
          <w:b/>
          <w:sz w:val="21"/>
        </w:rPr>
        <w:t>后续扩展能力预留</w:t>
      </w:r>
      <w:r>
        <w:rPr>
          <w:rFonts w:ascii="微软雅黑" w:hAnsi="微软雅黑" w:eastAsia="微软雅黑"/>
          <w:sz w:val="21"/>
        </w:rPr>
        <w:t>，不作为本阶段核心验收功能。</w:t>
      </w:r>
    </w:p>
    <w:p w14:paraId="4DE54668">
      <w:pPr>
        <w:pStyle w:val="4"/>
        <w:spacing w:after="80" w:line="276" w:lineRule="auto"/>
      </w:pPr>
      <w:r>
        <w:rPr>
          <w:rFonts w:ascii="微软雅黑" w:hAnsi="微软雅黑" w:eastAsia="微软雅黑"/>
          <w:sz w:val="21"/>
        </w:rPr>
        <w:t>5.4 3.3.3 数据导出方式：导出对象更清楚</w:t>
      </w:r>
    </w:p>
    <w:p w14:paraId="70FDF523">
      <w:pPr>
        <w:spacing w:after="80" w:line="276" w:lineRule="auto"/>
      </w:pPr>
      <w:r>
        <w:rPr>
          <w:rFonts w:ascii="微软雅黑" w:hAnsi="微软雅黑" w:eastAsia="微软雅黑"/>
          <w:sz w:val="21"/>
        </w:rPr>
        <w:t>“算法结果导出”适用范围写“课题组反演算法输出的栅格产品”略显内部化，建议改成“已接入的项目反演产品或工作流生成结果”。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A6FF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22F9C2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当前导出方式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3CBBCB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建议名称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3C5B79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建议适用范围</w:t>
            </w:r>
          </w:p>
        </w:tc>
      </w:tr>
      <w:tr w14:paraId="652DE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714639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算法结果导出</w:t>
            </w:r>
          </w:p>
        </w:tc>
        <w:tc>
          <w:tcPr>
            <w:tcW w:w="3324" w:type="dxa"/>
            <w:vAlign w:val="center"/>
          </w:tcPr>
          <w:p w14:paraId="2707D8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产品/算法结果导出</w:t>
            </w:r>
          </w:p>
        </w:tc>
        <w:tc>
          <w:tcPr>
            <w:tcW w:w="3324" w:type="dxa"/>
            <w:vAlign w:val="center"/>
          </w:tcPr>
          <w:p w14:paraId="5A672D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已接入的项目反演产品或工作流生成结果</w:t>
            </w:r>
          </w:p>
        </w:tc>
      </w:tr>
      <w:tr w14:paraId="2FF2A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0F956B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导入栅格导出</w:t>
            </w:r>
          </w:p>
        </w:tc>
        <w:tc>
          <w:tcPr>
            <w:tcW w:w="3324" w:type="dxa"/>
            <w:vAlign w:val="center"/>
          </w:tcPr>
          <w:p w14:paraId="51703C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导入栅格导出</w:t>
            </w:r>
          </w:p>
        </w:tc>
        <w:tc>
          <w:tcPr>
            <w:tcW w:w="3324" w:type="dxa"/>
            <w:vAlign w:val="center"/>
          </w:tcPr>
          <w:p w14:paraId="25079F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用户自行导入的外部栅格数据</w:t>
            </w:r>
          </w:p>
        </w:tc>
      </w:tr>
      <w:tr w14:paraId="75026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3C0F77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导入矢量导出</w:t>
            </w:r>
          </w:p>
        </w:tc>
        <w:tc>
          <w:tcPr>
            <w:tcW w:w="3324" w:type="dxa"/>
            <w:vAlign w:val="center"/>
          </w:tcPr>
          <w:p w14:paraId="349E5D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导入矢量导出</w:t>
            </w:r>
          </w:p>
        </w:tc>
        <w:tc>
          <w:tcPr>
            <w:tcW w:w="3324" w:type="dxa"/>
            <w:vAlign w:val="center"/>
          </w:tcPr>
          <w:p w14:paraId="157A75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用户自行导入的点、线、面矢量数据</w:t>
            </w:r>
          </w:p>
        </w:tc>
      </w:tr>
      <w:tr w14:paraId="63068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0A4F47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截图导出</w:t>
            </w:r>
          </w:p>
        </w:tc>
        <w:tc>
          <w:tcPr>
            <w:tcW w:w="3324" w:type="dxa"/>
            <w:vAlign w:val="center"/>
          </w:tcPr>
          <w:p w14:paraId="0E1F3D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截图导出</w:t>
            </w:r>
          </w:p>
        </w:tc>
        <w:tc>
          <w:tcPr>
            <w:tcW w:w="3324" w:type="dxa"/>
            <w:vAlign w:val="center"/>
          </w:tcPr>
          <w:p w14:paraId="71698B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地图当前视图的可视化截图，不作为科学数据文件</w:t>
            </w:r>
          </w:p>
        </w:tc>
      </w:tr>
    </w:tbl>
    <w:p w14:paraId="577BF2B6">
      <w:pPr>
        <w:pStyle w:val="3"/>
        <w:spacing w:after="80" w:line="276" w:lineRule="auto"/>
        <w:rPr>
          <w:highlight w:val="cyan"/>
        </w:rPr>
      </w:pPr>
      <w:r>
        <w:rPr>
          <w:rFonts w:ascii="微软雅黑" w:hAnsi="微软雅黑" w:eastAsia="微软雅黑"/>
          <w:sz w:val="21"/>
          <w:highlight w:val="cyan"/>
        </w:rPr>
        <w:t>六、第四部分：产品与接口说明</w:t>
      </w:r>
    </w:p>
    <w:p w14:paraId="7D5EDF33">
      <w:pPr>
        <w:pStyle w:val="4"/>
        <w:spacing w:after="80" w:line="276" w:lineRule="auto"/>
      </w:pPr>
      <w:r>
        <w:rPr>
          <w:rFonts w:ascii="微软雅黑" w:hAnsi="微软雅黑" w:eastAsia="微软雅黑"/>
          <w:sz w:val="21"/>
        </w:rPr>
        <w:t>6.1 4.1 图层命名规范：总体可保留，但需修正示例</w:t>
      </w:r>
    </w:p>
    <w:p w14:paraId="57BEB808">
      <w:pPr>
        <w:spacing w:after="80" w:line="276" w:lineRule="auto"/>
      </w:pPr>
      <w:r>
        <w:rPr>
          <w:rFonts w:ascii="微软雅黑" w:hAnsi="微软雅黑" w:eastAsia="微软雅黑"/>
          <w:sz w:val="21"/>
        </w:rPr>
        <w:t>4.1.1命名规则方向是对的：role-source-variable-period-method。建议保留“一个layer_id对应一个主变量”的原则。</w:t>
      </w:r>
    </w:p>
    <w:p w14:paraId="2F10F4D1">
      <w:pPr>
        <w:spacing w:after="80" w:line="276" w:lineRule="auto"/>
      </w:pPr>
      <w:r>
        <w:rPr>
          <w:rFonts w:ascii="微软雅黑" w:hAnsi="微软雅黑" w:eastAsia="微软雅黑"/>
          <w:sz w:val="21"/>
        </w:rPr>
        <w:t>正文中“动态ω算法”“DDCA”“L3”“fusion”均应作为算法方案或产品来源标签，不作为产品主名称。产品名称、图层显示名称和layer_id采用同一套逻辑：数据来源 + 主变量 + 时间范围 + 算法/角色标签。</w:t>
      </w:r>
    </w:p>
    <w:p w14:paraId="6ED4A74B">
      <w:pPr>
        <w:pStyle w:val="4"/>
        <w:spacing w:after="80" w:line="276" w:lineRule="auto"/>
      </w:pPr>
      <w:r>
        <w:rPr>
          <w:rFonts w:ascii="微软雅黑" w:hAnsi="微软雅黑" w:eastAsia="微软雅黑"/>
          <w:sz w:val="21"/>
        </w:rPr>
        <w:t>6.2 4.1.2 显示名称示例：dynamic ω写法</w:t>
      </w:r>
    </w:p>
    <w:p w14:paraId="6FE18A3E">
      <w:pPr>
        <w:spacing w:after="80" w:line="276" w:lineRule="auto"/>
      </w:pPr>
      <w:r>
        <w:rPr>
          <w:rFonts w:ascii="微软雅黑" w:hAnsi="微软雅黑" w:eastAsia="微软雅黑"/>
          <w:sz w:val="21"/>
        </w:rPr>
        <w:t>中文报告建议正文和显示名称统一为“动态ω算法”；layer_id中使用domega。若保留英文，可在括号中写“dynamic ω algorithm”。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768E8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77DD9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2EFC7D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推荐写法</w:t>
            </w:r>
          </w:p>
        </w:tc>
      </w:tr>
      <w:tr w14:paraId="6365A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572341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正文中文叙述</w:t>
            </w:r>
          </w:p>
        </w:tc>
        <w:tc>
          <w:tcPr>
            <w:tcW w:w="4986" w:type="dxa"/>
            <w:vAlign w:val="center"/>
          </w:tcPr>
          <w:p w14:paraId="7D7960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动态ω算法</w:t>
            </w:r>
          </w:p>
        </w:tc>
      </w:tr>
      <w:tr w14:paraId="493C7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B6890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图题/表题</w:t>
            </w:r>
          </w:p>
        </w:tc>
        <w:tc>
          <w:tcPr>
            <w:tcW w:w="4986" w:type="dxa"/>
            <w:vAlign w:val="center"/>
          </w:tcPr>
          <w:p w14:paraId="24CA05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动态ω算法</w:t>
            </w:r>
          </w:p>
        </w:tc>
      </w:tr>
      <w:tr w14:paraId="3A27D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2203DB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英文括号解释</w:t>
            </w:r>
          </w:p>
        </w:tc>
        <w:tc>
          <w:tcPr>
            <w:tcW w:w="4986" w:type="dxa"/>
            <w:vAlign w:val="center"/>
          </w:tcPr>
          <w:p w14:paraId="0C8833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dynamic ω algorithm</w:t>
            </w:r>
          </w:p>
        </w:tc>
      </w:tr>
      <w:tr w14:paraId="502AB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7BBF3F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layer_id/method字段</w:t>
            </w:r>
          </w:p>
        </w:tc>
        <w:tc>
          <w:tcPr>
            <w:tcW w:w="4986" w:type="dxa"/>
            <w:vAlign w:val="center"/>
          </w:tcPr>
          <w:p w14:paraId="3C96E8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domega</w:t>
            </w:r>
          </w:p>
        </w:tc>
      </w:tr>
    </w:tbl>
    <w:p w14:paraId="78730535">
      <w:pPr>
        <w:pStyle w:val="4"/>
        <w:spacing w:after="80" w:line="276" w:lineRule="auto"/>
      </w:pPr>
      <w:r>
        <w:rPr>
          <w:rFonts w:ascii="微软雅黑" w:hAnsi="微软雅黑" w:eastAsia="微软雅黑"/>
          <w:sz w:val="21"/>
        </w:rPr>
        <w:t>6.3 4.1.3 图层一览表：必须修改的几行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8463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19492F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当前内容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372D44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53E200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建议修改</w:t>
            </w:r>
          </w:p>
        </w:tc>
      </w:tr>
      <w:tr w14:paraId="03413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41EB99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ref-smap-sm-202512-L3</w:t>
            </w:r>
          </w:p>
        </w:tc>
        <w:tc>
          <w:tcPr>
            <w:tcW w:w="3324" w:type="dxa"/>
            <w:vAlign w:val="center"/>
          </w:tcPr>
          <w:p w14:paraId="746A19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method字段大写L3，不符合小写规则</w:t>
            </w:r>
          </w:p>
        </w:tc>
        <w:tc>
          <w:tcPr>
            <w:tcW w:w="3324" w:type="dxa"/>
            <w:vAlign w:val="center"/>
          </w:tcPr>
          <w:p w14:paraId="490AF8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改为ref-smap-sm-202512-l3</w:t>
            </w:r>
          </w:p>
        </w:tc>
      </w:tr>
      <w:tr w14:paraId="4B806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88E40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SMAP L3 ω土壤水分（2025-12，参考产品）</w:t>
            </w:r>
          </w:p>
        </w:tc>
        <w:tc>
          <w:tcPr>
            <w:tcW w:w="3324" w:type="dxa"/>
            <w:vAlign w:val="center"/>
          </w:tcPr>
          <w:p w14:paraId="03B68E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多了“ω”，变量错</w:t>
            </w:r>
          </w:p>
        </w:tc>
        <w:tc>
          <w:tcPr>
            <w:tcW w:w="3324" w:type="dxa"/>
            <w:vAlign w:val="center"/>
          </w:tcPr>
          <w:p w14:paraId="08F0BE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改为SMAP L3土壤水分（2025-12，参考产品）</w:t>
            </w:r>
          </w:p>
        </w:tc>
      </w:tr>
      <w:tr w14:paraId="79A54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0604B0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角色：正式产品/样例产品</w:t>
            </w:r>
          </w:p>
        </w:tc>
        <w:tc>
          <w:tcPr>
            <w:tcW w:w="3324" w:type="dxa"/>
            <w:vAlign w:val="center"/>
          </w:tcPr>
          <w:p w14:paraId="671447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ref前缀是参考产品，不应写正式产品</w:t>
            </w:r>
          </w:p>
        </w:tc>
        <w:tc>
          <w:tcPr>
            <w:tcW w:w="3324" w:type="dxa"/>
            <w:vAlign w:val="center"/>
          </w:tcPr>
          <w:p w14:paraId="5E7BB3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改为参考产品</w:t>
            </w:r>
          </w:p>
        </w:tc>
      </w:tr>
      <w:tr w14:paraId="4C6BB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39AE07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说明：基于SMAP L波段亮温和动态ω算法生成</w:t>
            </w:r>
          </w:p>
        </w:tc>
        <w:tc>
          <w:tcPr>
            <w:tcW w:w="3324" w:type="dxa"/>
            <w:vAlign w:val="center"/>
          </w:tcPr>
          <w:p w14:paraId="743BEC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与L3参考产品矛盾</w:t>
            </w:r>
          </w:p>
        </w:tc>
        <w:tc>
          <w:tcPr>
            <w:tcW w:w="3324" w:type="dxa"/>
            <w:vAlign w:val="center"/>
          </w:tcPr>
          <w:p w14:paraId="4F686B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改为SMAP L3官方土壤水分参考产品，用于产品对比和系统展示</w:t>
            </w:r>
          </w:p>
        </w:tc>
      </w:tr>
      <w:tr w14:paraId="0953D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46D29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prod-fy-omega-202512-domega 角色：方法展示/正式产品</w:t>
            </w:r>
          </w:p>
        </w:tc>
        <w:tc>
          <w:tcPr>
            <w:tcW w:w="3324" w:type="dxa"/>
            <w:vAlign w:val="center"/>
          </w:tcPr>
          <w:p w14:paraId="5B5B6E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若合同核心是土壤水分，ω不宜全写正式产品</w:t>
            </w:r>
          </w:p>
        </w:tc>
        <w:tc>
          <w:tcPr>
            <w:tcW w:w="3324" w:type="dxa"/>
            <w:vAlign w:val="center"/>
          </w:tcPr>
          <w:p w14:paraId="41568B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建议改为方法展示/质量诊断变量</w:t>
            </w:r>
          </w:p>
        </w:tc>
      </w:tr>
      <w:tr w14:paraId="59DE5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4508EF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prod-fy-vod-202512-domega 角色：方法展示/正式产品</w:t>
            </w:r>
          </w:p>
        </w:tc>
        <w:tc>
          <w:tcPr>
            <w:tcW w:w="3324" w:type="dxa"/>
            <w:vAlign w:val="center"/>
          </w:tcPr>
          <w:p w14:paraId="5F990B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VOD若非正式验收变量，不宜全写正式产品</w:t>
            </w:r>
          </w:p>
        </w:tc>
        <w:tc>
          <w:tcPr>
            <w:tcW w:w="3324" w:type="dxa"/>
            <w:vAlign w:val="center"/>
          </w:tcPr>
          <w:p w14:paraId="407B1E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建议改为方法展示/辅助变量</w:t>
            </w:r>
          </w:p>
        </w:tc>
      </w:tr>
    </w:tbl>
    <w:p w14:paraId="3F5D315F">
      <w:pPr>
        <w:spacing w:after="80" w:line="276" w:lineRule="auto"/>
      </w:pPr>
      <w:r>
        <w:rPr>
          <w:rFonts w:ascii="微软雅黑" w:hAnsi="微软雅黑" w:eastAsia="微软雅黑"/>
          <w:sz w:val="21"/>
        </w:rPr>
        <w:t>建议角色划分：土壤水分SM为正式产品；ω为方法展示/质量诊断变量；VOD为方法展示/辅助变量；SMAP L3和DDCA为参考产品；站点为观测验证。</w:t>
      </w:r>
    </w:p>
    <w:p w14:paraId="14076F96">
      <w:pPr>
        <w:pStyle w:val="4"/>
        <w:spacing w:after="80" w:line="276" w:lineRule="auto"/>
      </w:pPr>
      <w:r>
        <w:rPr>
          <w:rFonts w:ascii="微软雅黑" w:hAnsi="微软雅黑" w:eastAsia="微软雅黑"/>
          <w:sz w:val="21"/>
        </w:rPr>
        <w:t>6.4 4.6 接口与权限：导出权限要统一</w:t>
      </w:r>
    </w:p>
    <w:p w14:paraId="7551F817">
      <w:pPr>
        <w:spacing w:after="80" w:line="276" w:lineRule="auto"/>
      </w:pPr>
      <w:r>
        <w:rPr>
          <w:rFonts w:ascii="微软雅黑" w:hAnsi="微软雅黑" w:eastAsia="微软雅黑"/>
          <w:sz w:val="21"/>
        </w:rPr>
        <w:t>当前表4-11写“导出默认开放”，后文又写“产品导出需X-API-Key”，存在冲突。建议统一为：</w:t>
      </w:r>
    </w:p>
    <w:p w14:paraId="7AE1A234">
      <w:pPr>
        <w:spacing w:after="80" w:line="276" w:lineRule="auto"/>
      </w:pPr>
      <w:r>
        <w:rPr>
          <w:rFonts w:ascii="微软雅黑" w:hAnsi="微软雅黑" w:eastAsia="微软雅黑"/>
          <w:sz w:val="21"/>
        </w:rPr>
        <w:t>图层浏览、叠加预览、点查和瓦片访问等</w:t>
      </w:r>
      <w:r>
        <w:rPr>
          <w:rFonts w:ascii="微软雅黑" w:hAnsi="微软雅黑" w:eastAsia="微软雅黑"/>
          <w:b/>
          <w:sz w:val="21"/>
        </w:rPr>
        <w:t>只读接口默认开放</w:t>
      </w:r>
      <w:r>
        <w:rPr>
          <w:rFonts w:ascii="微软雅黑" w:hAnsi="微软雅黑" w:eastAsia="微软雅黑"/>
          <w:sz w:val="21"/>
        </w:rPr>
        <w:t>；产品导出可根据部署策略设置为开放下载或需X-API-Key认证。当前验收版本中，面向用户的</w:t>
      </w:r>
      <w:r>
        <w:rPr>
          <w:rFonts w:ascii="微软雅黑" w:hAnsi="微软雅黑" w:eastAsia="微软雅黑"/>
          <w:b/>
          <w:sz w:val="21"/>
        </w:rPr>
        <w:t>已发布产品下载入口开放</w:t>
      </w:r>
      <w:r>
        <w:rPr>
          <w:rFonts w:ascii="微软雅黑" w:hAnsi="微软雅黑" w:eastAsia="微软雅黑"/>
          <w:sz w:val="21"/>
        </w:rPr>
        <w:t>，批量导出、工作流产物导出、数据导入和配置写入等</w:t>
      </w:r>
      <w:r>
        <w:rPr>
          <w:rFonts w:ascii="微软雅黑" w:hAnsi="微软雅黑" w:eastAsia="微软雅黑"/>
          <w:b/>
          <w:sz w:val="21"/>
        </w:rPr>
        <w:t>管理类操作需X-API-Key</w:t>
      </w:r>
      <w:r>
        <w:rPr>
          <w:rFonts w:ascii="微软雅黑" w:hAnsi="微软雅黑" w:eastAsia="微软雅黑"/>
          <w:sz w:val="21"/>
        </w:rPr>
        <w:t>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2216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CA411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6D1C50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建议访问权限/认证方式</w:t>
            </w:r>
          </w:p>
        </w:tc>
      </w:tr>
      <w:tr w14:paraId="09B4B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064416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图层浏览、叠加预览、点查、瓦片访问</w:t>
            </w:r>
          </w:p>
        </w:tc>
        <w:tc>
          <w:tcPr>
            <w:tcW w:w="4986" w:type="dxa"/>
            <w:vAlign w:val="center"/>
          </w:tcPr>
          <w:p w14:paraId="2B5D44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默认开放</w:t>
            </w:r>
          </w:p>
        </w:tc>
      </w:tr>
      <w:tr w14:paraId="50658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2AF224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已发布产品下载</w:t>
            </w:r>
          </w:p>
        </w:tc>
        <w:tc>
          <w:tcPr>
            <w:tcW w:w="4986" w:type="dxa"/>
            <w:vAlign w:val="center"/>
          </w:tcPr>
          <w:p w14:paraId="73F2D6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可按部署策略开放或限制；验收演示版本建议开放</w:t>
            </w:r>
          </w:p>
        </w:tc>
      </w:tr>
      <w:tr w14:paraId="7B865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1A698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批量导出、工作流产物导出、数据导入、配置写入</w:t>
            </w:r>
          </w:p>
        </w:tc>
        <w:tc>
          <w:tcPr>
            <w:tcW w:w="4986" w:type="dxa"/>
            <w:vAlign w:val="center"/>
          </w:tcPr>
          <w:p w14:paraId="657632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需X-API-Key</w:t>
            </w:r>
          </w:p>
        </w:tc>
      </w:tr>
      <w:tr w14:paraId="34313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BE9A4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工作流提交/取消/重试</w:t>
            </w:r>
          </w:p>
        </w:tc>
        <w:tc>
          <w:tcPr>
            <w:tcW w:w="4986" w:type="dxa"/>
            <w:vAlign w:val="center"/>
          </w:tcPr>
          <w:p w14:paraId="61F8BC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需X-API-Key</w:t>
            </w:r>
          </w:p>
        </w:tc>
      </w:tr>
    </w:tbl>
    <w:p w14:paraId="2FF681DC">
      <w:pPr>
        <w:pStyle w:val="4"/>
        <w:spacing w:after="80" w:line="276" w:lineRule="auto"/>
      </w:pPr>
      <w:r>
        <w:rPr>
          <w:rFonts w:ascii="微软雅黑" w:hAnsi="微软雅黑" w:eastAsia="微软雅黑"/>
          <w:sz w:val="21"/>
        </w:rPr>
        <w:t>6.5 4.6.2 标题</w:t>
      </w:r>
    </w:p>
    <w:p w14:paraId="2D2526A2">
      <w:pPr>
        <w:spacing w:after="80" w:line="276" w:lineRule="auto"/>
      </w:pPr>
      <w:r>
        <w:rPr>
          <w:rFonts w:ascii="微软雅黑" w:hAnsi="微软雅黑" w:eastAsia="微软雅黑"/>
          <w:sz w:val="21"/>
        </w:rPr>
        <w:t>“产品产出”建议改为“产品导出接口”，更贴合/export/layer和/export/batch。</w:t>
      </w:r>
    </w:p>
    <w:p w14:paraId="5DB2B01E">
      <w:pPr>
        <w:pStyle w:val="3"/>
        <w:spacing w:after="80" w:line="276" w:lineRule="auto"/>
      </w:pPr>
      <w:r>
        <w:rPr>
          <w:rFonts w:ascii="微软雅黑" w:hAnsi="微软雅黑" w:eastAsia="微软雅黑"/>
          <w:sz w:val="21"/>
        </w:rPr>
        <w:t>七、第五部分：系统平台源代码</w:t>
      </w:r>
    </w:p>
    <w:p w14:paraId="2169ECEC">
      <w:pPr>
        <w:pStyle w:val="4"/>
        <w:spacing w:after="80" w:line="276" w:lineRule="auto"/>
      </w:pPr>
      <w:r>
        <w:rPr>
          <w:rFonts w:ascii="微软雅黑" w:hAnsi="微软雅黑" w:eastAsia="微软雅黑"/>
          <w:sz w:val="21"/>
        </w:rPr>
        <w:t>7.1 表号错误</w:t>
      </w:r>
    </w:p>
    <w:p w14:paraId="15947F44">
      <w:pPr>
        <w:spacing w:after="80" w:line="276" w:lineRule="auto"/>
      </w:pPr>
      <w:r>
        <w:rPr>
          <w:rFonts w:ascii="微软雅黑" w:hAnsi="微软雅黑" w:eastAsia="微软雅黑"/>
          <w:sz w:val="21"/>
        </w:rPr>
        <w:t>第五部分当前表题写作“表4-12 系统平台源代码交付内容清单”，应改为“表5-1 系统平台源代码交付内容清单”。</w:t>
      </w:r>
    </w:p>
    <w:p w14:paraId="34DB8F23">
      <w:pPr>
        <w:pStyle w:val="4"/>
        <w:spacing w:after="80" w:line="276" w:lineRule="auto"/>
      </w:pPr>
      <w:r>
        <w:rPr>
          <w:rFonts w:ascii="微软雅黑" w:hAnsi="微软雅黑" w:eastAsia="微软雅黑"/>
          <w:sz w:val="21"/>
        </w:rPr>
        <w:t>7.2 源代码交付范围</w:t>
      </w:r>
    </w:p>
    <w:p w14:paraId="38798436">
      <w:pPr>
        <w:spacing w:after="80" w:line="276" w:lineRule="auto"/>
      </w:pPr>
      <w:r>
        <w:rPr>
          <w:rFonts w:ascii="微软雅黑" w:hAnsi="微软雅黑" w:eastAsia="微软雅黑"/>
          <w:sz w:val="21"/>
        </w:rPr>
        <w:t>建议保留现有口径：系统平台源代码交付包括前端、后端、数据库脚本、产品接入脚本、配置与部署文件；土壤水分反演核心算法以技术说明、产品样例和验证结果体现，作为离线生产流程/API服务保留。不要写成“交付全部Dynamic ω核心源码”。</w:t>
      </w:r>
    </w:p>
    <w:p w14:paraId="41DDA7AA">
      <w:pPr>
        <w:pStyle w:val="3"/>
        <w:spacing w:after="80" w:line="276" w:lineRule="auto"/>
      </w:pPr>
      <w:r>
        <w:rPr>
          <w:rFonts w:ascii="微软雅黑" w:hAnsi="微软雅黑" w:eastAsia="微软雅黑"/>
          <w:sz w:val="21"/>
        </w:rPr>
        <w:t>八、全文术语与风格统一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32E2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F4D8B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需要统一的内容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3046F0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推荐写法</w:t>
            </w:r>
          </w:p>
        </w:tc>
      </w:tr>
      <w:tr w14:paraId="26C2D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59395C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土壤湿度/土壤水/土壤水分混用</w:t>
            </w:r>
          </w:p>
        </w:tc>
        <w:tc>
          <w:tcPr>
            <w:tcW w:w="4986" w:type="dxa"/>
            <w:vAlign w:val="center"/>
          </w:tcPr>
          <w:p w14:paraId="6AEE9E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全文统一“土壤水分”；变量首次出现写“近地表土壤体积含水量（土壤水分，SM）”</w:t>
            </w:r>
          </w:p>
        </w:tc>
      </w:tr>
      <w:tr w14:paraId="3E0F3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1B8D7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动态等效散射率/有效散射反照率</w:t>
            </w:r>
          </w:p>
        </w:tc>
        <w:tc>
          <w:tcPr>
            <w:tcW w:w="4986" w:type="dxa"/>
            <w:vAlign w:val="center"/>
          </w:tcPr>
          <w:p w14:paraId="2E550E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统一为“动态有效散射反照率（ω）”</w:t>
            </w:r>
          </w:p>
        </w:tc>
      </w:tr>
      <w:tr w14:paraId="58279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FD13E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dynamic ω / 动态ω / domega混用</w:t>
            </w:r>
          </w:p>
        </w:tc>
        <w:tc>
          <w:tcPr>
            <w:tcW w:w="4986" w:type="dxa"/>
            <w:vAlign w:val="center"/>
          </w:tcPr>
          <w:p w14:paraId="31F256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正文和图题用“动态ω算法”；layer_id用domega</w:t>
            </w:r>
          </w:p>
        </w:tc>
      </w:tr>
      <w:tr w14:paraId="24DD2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7E635E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FY3B/FY3F</w:t>
            </w:r>
          </w:p>
        </w:tc>
        <w:tc>
          <w:tcPr>
            <w:tcW w:w="4986" w:type="dxa"/>
            <w:vAlign w:val="center"/>
          </w:tcPr>
          <w:p w14:paraId="332812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统一为FY-3B、FY-3D、FY-3F</w:t>
            </w:r>
          </w:p>
        </w:tc>
      </w:tr>
      <w:tr w14:paraId="533B1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2C0F7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空间查询/区域查询/框选查询</w:t>
            </w:r>
          </w:p>
        </w:tc>
        <w:tc>
          <w:tcPr>
            <w:tcW w:w="4986" w:type="dxa"/>
            <w:vAlign w:val="center"/>
          </w:tcPr>
          <w:p w14:paraId="33A3A8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已实现功能写“点位查询”；范围类能力写“区域范围约束”；未实现的交互统计写“框选取样并返回区域统计功能预留”</w:t>
            </w:r>
          </w:p>
        </w:tc>
      </w:tr>
      <w:tr w14:paraId="136DB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0105AD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全套/全部等过满措辞</w:t>
            </w:r>
          </w:p>
        </w:tc>
        <w:tc>
          <w:tcPr>
            <w:tcW w:w="4986" w:type="dxa"/>
            <w:vAlign w:val="center"/>
          </w:tcPr>
          <w:p w14:paraId="405ED9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尽量改为“核心功能”“主要接口”“基础能力”“可扩展接口”</w:t>
            </w:r>
          </w:p>
        </w:tc>
      </w:tr>
    </w:tbl>
    <w:p w14:paraId="37B1286E">
      <w:pPr>
        <w:pStyle w:val="3"/>
        <w:spacing w:after="80" w:line="276" w:lineRule="auto"/>
      </w:pPr>
      <w:r>
        <w:rPr>
          <w:rFonts w:ascii="微软雅黑" w:hAnsi="微软雅黑" w:eastAsia="微软雅黑"/>
          <w:sz w:val="21"/>
        </w:rPr>
        <w:t>九、正式提交前最终自查清单</w:t>
      </w:r>
    </w:p>
    <w:p w14:paraId="6ADCE659">
      <w:pPr>
        <w:spacing w:after="80" w:line="276" w:lineRule="auto"/>
        <w:ind w:left="283"/>
      </w:pPr>
      <w:r>
        <w:rPr>
          <w:rFonts w:ascii="微软雅黑" w:hAnsi="微软雅黑" w:eastAsia="微软雅黑"/>
          <w:sz w:val="21"/>
        </w:rPr>
        <w:t>□ 网页标题已从“综合地理态势”调整为项目相关名称或专题名称。</w:t>
      </w:r>
    </w:p>
    <w:p w14:paraId="1065486D">
      <w:pPr>
        <w:spacing w:after="80" w:line="276" w:lineRule="auto"/>
        <w:ind w:left="283"/>
      </w:pPr>
      <w:r>
        <w:rPr>
          <w:rFonts w:ascii="微软雅黑" w:hAnsi="微软雅黑" w:eastAsia="微软雅黑"/>
          <w:sz w:val="21"/>
        </w:rPr>
        <w:t>□ 全文“土壤湿度”“土壤水”已统一为“土壤水分”。</w:t>
      </w:r>
    </w:p>
    <w:p w14:paraId="339D327D">
      <w:pPr>
        <w:spacing w:after="80" w:line="276" w:lineRule="auto"/>
        <w:ind w:left="283"/>
      </w:pPr>
      <w:r>
        <w:rPr>
          <w:rFonts w:ascii="微软雅黑" w:hAnsi="微软雅黑" w:eastAsia="微软雅黑"/>
          <w:sz w:val="21"/>
        </w:rPr>
        <w:t>□ FY-3B/FY-3D/FY-3F写</w:t>
      </w:r>
      <w:bookmarkStart w:id="0" w:name="_GoBack"/>
      <w:bookmarkEnd w:id="0"/>
      <w:r>
        <w:rPr>
          <w:rFonts w:ascii="微软雅黑" w:hAnsi="微软雅黑" w:eastAsia="微软雅黑"/>
          <w:sz w:val="21"/>
        </w:rPr>
        <w:t>法统一，并核实FY-3F升/降轨表述。</w:t>
      </w:r>
    </w:p>
    <w:p w14:paraId="6441C3B8">
      <w:pPr>
        <w:spacing w:after="80" w:line="276" w:lineRule="auto"/>
        <w:ind w:left="283"/>
      </w:pPr>
      <w:r>
        <w:rPr>
          <w:rFonts w:ascii="微软雅黑" w:hAnsi="微软雅黑" w:eastAsia="微软雅黑"/>
          <w:sz w:val="21"/>
        </w:rPr>
        <w:t>□ 1.5和1.6所有图号已重新编号，未重复。</w:t>
      </w:r>
    </w:p>
    <w:p w14:paraId="40FFC353">
      <w:pPr>
        <w:spacing w:after="80" w:line="276" w:lineRule="auto"/>
        <w:ind w:left="283"/>
      </w:pPr>
      <w:r>
        <w:rPr>
          <w:rFonts w:ascii="微软雅黑" w:hAnsi="微软雅黑" w:eastAsia="微软雅黑"/>
          <w:sz w:val="21"/>
        </w:rPr>
        <w:t>□ SMAP样例图最后一张已改为“ω参数全球样例图”。</w:t>
      </w:r>
    </w:p>
    <w:p w14:paraId="6ADB05B4">
      <w:pPr>
        <w:spacing w:after="80" w:line="276" w:lineRule="auto"/>
        <w:ind w:left="283"/>
      </w:pPr>
      <w:r>
        <w:rPr>
          <w:rFonts w:ascii="微软雅黑" w:hAnsi="微软雅黑" w:eastAsia="微软雅黑"/>
          <w:sz w:val="21"/>
        </w:rPr>
        <w:t>□ ISMN和CASMOS图注已分开，统计时段和站点数未串位。</w:t>
      </w:r>
    </w:p>
    <w:p w14:paraId="15C1CFEE">
      <w:pPr>
        <w:spacing w:after="80" w:line="276" w:lineRule="auto"/>
        <w:ind w:left="283"/>
      </w:pPr>
      <w:r>
        <w:rPr>
          <w:rFonts w:ascii="微软雅黑" w:hAnsi="微软雅黑" w:eastAsia="微软雅黑"/>
          <w:sz w:val="21"/>
        </w:rPr>
        <w:t>□ 表4-2中SMAP L3参考产品行已修正，不再写“ω土壤水分”或“动态ω算法生成”。</w:t>
      </w:r>
    </w:p>
    <w:p w14:paraId="1D76800C">
      <w:pPr>
        <w:spacing w:after="80" w:line="276" w:lineRule="auto"/>
        <w:ind w:left="283"/>
      </w:pPr>
      <w:r>
        <w:rPr>
          <w:rFonts w:ascii="微软雅黑" w:hAnsi="微软雅黑" w:eastAsia="微软雅黑"/>
          <w:sz w:val="21"/>
        </w:rPr>
        <w:t>□ ω和VOD角色已明确为方法展示/质量诊断变量或辅助变量，未过度写成正式验收产品。</w:t>
      </w:r>
    </w:p>
    <w:p w14:paraId="3ABA6F50">
      <w:pPr>
        <w:spacing w:after="80" w:line="276" w:lineRule="auto"/>
        <w:ind w:left="283"/>
      </w:pPr>
      <w:r>
        <w:rPr>
          <w:rFonts w:ascii="微软雅黑" w:hAnsi="微软雅黑" w:eastAsia="微软雅黑"/>
          <w:sz w:val="21"/>
        </w:rPr>
        <w:t>□ 数据库权限与公开访问表述一致。</w:t>
      </w:r>
    </w:p>
    <w:p w14:paraId="41E9973F">
      <w:pPr>
        <w:spacing w:after="80" w:line="276" w:lineRule="auto"/>
        <w:ind w:left="283"/>
      </w:pPr>
      <w:r>
        <w:rPr>
          <w:rFonts w:ascii="微软雅黑" w:hAnsi="微软雅黑" w:eastAsia="微软雅黑"/>
          <w:sz w:val="21"/>
        </w:rPr>
        <w:t>□ 产品导出接口开放/认证口径一致。</w:t>
      </w:r>
    </w:p>
    <w:p w14:paraId="60844A4B">
      <w:pPr>
        <w:spacing w:after="80" w:line="276" w:lineRule="auto"/>
        <w:ind w:left="283"/>
      </w:pPr>
      <w:r>
        <w:rPr>
          <w:rFonts w:ascii="微软雅黑" w:hAnsi="微软雅黑" w:eastAsia="微软雅黑"/>
          <w:sz w:val="21"/>
        </w:rPr>
        <w:t>□ 表5-1编号已修正。</w:t>
      </w:r>
    </w:p>
    <w:p w14:paraId="7EC8FA7D">
      <w:pPr>
        <w:spacing w:after="80" w:line="276" w:lineRule="auto"/>
        <w:ind w:left="283"/>
      </w:pPr>
      <w:r>
        <w:rPr>
          <w:rFonts w:ascii="微软雅黑" w:hAnsi="微软雅黑" w:eastAsia="微软雅黑"/>
          <w:sz w:val="21"/>
        </w:rPr>
        <w:t>□ 所有截图、图题、表题和正文引用一致。</w:t>
      </w:r>
    </w:p>
    <w:p w14:paraId="451A4A26">
      <w:pPr>
        <w:spacing w:after="80" w:line="276" w:lineRule="auto"/>
      </w:pP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Arial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57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D79A" w:themeFill="background1" w:themeFillShade="D8"/>
      </w:tcPr>
    </w:tblStylePr>
    <w:tblStylePr w:type="band1Horz">
      <w:tblPr/>
      <w:tcPr>
        <w:shd w:val="clear" w:color="auto" w:fill="A1D79A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D79A" w:themeFill="background1" w:themeFillShade="D8"/>
      </w:tcPr>
    </w:tblStylePr>
    <w:tblStylePr w:type="band1Horz">
      <w:tblPr/>
      <w:tcPr>
        <w:shd w:val="clear" w:color="auto" w:fill="A1D79A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D79A" w:themeFill="background1" w:themeFillShade="D8"/>
      </w:tcPr>
    </w:tblStylePr>
    <w:tblStylePr w:type="band1Horz">
      <w:tblPr/>
      <w:tcPr>
        <w:shd w:val="clear" w:color="auto" w:fill="A1D79A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D79A" w:themeFill="background1" w:themeFillShade="D8"/>
      </w:tcPr>
    </w:tblStylePr>
    <w:tblStylePr w:type="band1Horz">
      <w:tblPr/>
      <w:tcPr>
        <w:shd w:val="clear" w:color="auto" w:fill="A1D79A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D79A" w:themeFill="background1" w:themeFillShade="D8"/>
      </w:tcPr>
    </w:tblStylePr>
    <w:tblStylePr w:type="band1Horz">
      <w:tblPr/>
      <w:tcPr>
        <w:shd w:val="clear" w:color="auto" w:fill="A1D79A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D79A" w:themeFill="background1" w:themeFillShade="D8"/>
      </w:tcPr>
    </w:tblStylePr>
    <w:tblStylePr w:type="band1Horz">
      <w:tblPr/>
      <w:tcPr>
        <w:shd w:val="clear" w:color="auto" w:fill="A1D79A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D79A" w:themeFill="background1" w:themeFillShade="D8"/>
      </w:tcPr>
    </w:tblStylePr>
    <w:tblStylePr w:type="band1Horz">
      <w:tblPr/>
      <w:tcPr>
        <w:shd w:val="clear" w:color="auto" w:fill="A1D79A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CEEACA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CEEACA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CEEACA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CEEACA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CEEACA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CEEACA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CEEACA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CEEACA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CEEACA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CEEACA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CEEACA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CEEACA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CEEACA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CEEACA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CEEACA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CEEACA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CEEACA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CEEACA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CEEACA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CEEACA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CEEACA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CEEACA" w:themeColor="background1" w:sz="8" w:space="0"/>
        <w:left w:val="single" w:color="CEEACA" w:themeColor="background1" w:sz="8" w:space="0"/>
        <w:bottom w:val="single" w:color="CEEACA" w:themeColor="background1" w:sz="8" w:space="0"/>
        <w:right w:val="single" w:color="CEEACA" w:themeColor="background1" w:sz="8" w:space="0"/>
        <w:insideH w:val="single" w:color="CEEACA" w:themeColor="background1" w:sz="6" w:space="0"/>
        <w:insideV w:val="single" w:color="CEEACA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24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24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EEACA" w:themeColor="background1" w:sz="8" w:space="0"/>
          <w:right w:val="single" w:color="CEEACA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EEACA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CEEACA" w:themeColor="background1" w:sz="8" w:space="0"/>
        <w:left w:val="single" w:color="CEEACA" w:themeColor="background1" w:sz="8" w:space="0"/>
        <w:bottom w:val="single" w:color="CEEACA" w:themeColor="background1" w:sz="8" w:space="0"/>
        <w:right w:val="single" w:color="CEEACA" w:themeColor="background1" w:sz="8" w:space="0"/>
        <w:insideH w:val="single" w:color="CEEACA" w:themeColor="background1" w:sz="6" w:space="0"/>
        <w:insideV w:val="single" w:color="CEEACA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24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24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EEACA" w:themeColor="background1" w:sz="8" w:space="0"/>
          <w:right w:val="single" w:color="CEEACA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EEACA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CEEACA" w:themeColor="background1" w:sz="8" w:space="0"/>
        <w:left w:val="single" w:color="CEEACA" w:themeColor="background1" w:sz="8" w:space="0"/>
        <w:bottom w:val="single" w:color="CEEACA" w:themeColor="background1" w:sz="8" w:space="0"/>
        <w:right w:val="single" w:color="CEEACA" w:themeColor="background1" w:sz="8" w:space="0"/>
        <w:insideH w:val="single" w:color="CEEACA" w:themeColor="background1" w:sz="6" w:space="0"/>
        <w:insideV w:val="single" w:color="CEEACA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24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24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EEACA" w:themeColor="background1" w:sz="8" w:space="0"/>
          <w:right w:val="single" w:color="CEEACA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EEACA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CEEACA" w:themeColor="background1" w:sz="8" w:space="0"/>
        <w:left w:val="single" w:color="CEEACA" w:themeColor="background1" w:sz="8" w:space="0"/>
        <w:bottom w:val="single" w:color="CEEACA" w:themeColor="background1" w:sz="8" w:space="0"/>
        <w:right w:val="single" w:color="CEEACA" w:themeColor="background1" w:sz="8" w:space="0"/>
        <w:insideH w:val="single" w:color="CEEACA" w:themeColor="background1" w:sz="6" w:space="0"/>
        <w:insideV w:val="single" w:color="CEEACA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24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24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EEACA" w:themeColor="background1" w:sz="8" w:space="0"/>
          <w:right w:val="single" w:color="CEEACA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EEACA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CEEACA" w:themeColor="background1" w:sz="8" w:space="0"/>
        <w:left w:val="single" w:color="CEEACA" w:themeColor="background1" w:sz="8" w:space="0"/>
        <w:bottom w:val="single" w:color="CEEACA" w:themeColor="background1" w:sz="8" w:space="0"/>
        <w:right w:val="single" w:color="CEEACA" w:themeColor="background1" w:sz="8" w:space="0"/>
        <w:insideH w:val="single" w:color="CEEACA" w:themeColor="background1" w:sz="6" w:space="0"/>
        <w:insideV w:val="single" w:color="CEEACA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24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24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EEACA" w:themeColor="background1" w:sz="8" w:space="0"/>
          <w:right w:val="single" w:color="CEEACA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EEACA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CEEACA" w:themeColor="background1" w:sz="8" w:space="0"/>
        <w:left w:val="single" w:color="CEEACA" w:themeColor="background1" w:sz="8" w:space="0"/>
        <w:bottom w:val="single" w:color="CEEACA" w:themeColor="background1" w:sz="8" w:space="0"/>
        <w:right w:val="single" w:color="CEEACA" w:themeColor="background1" w:sz="8" w:space="0"/>
        <w:insideH w:val="single" w:color="CEEACA" w:themeColor="background1" w:sz="6" w:space="0"/>
        <w:insideV w:val="single" w:color="CEEACA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24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24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EEACA" w:themeColor="background1" w:sz="8" w:space="0"/>
          <w:right w:val="single" w:color="CEEACA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EEACA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CEEACA" w:themeColor="background1" w:sz="8" w:space="0"/>
        <w:left w:val="single" w:color="CEEACA" w:themeColor="background1" w:sz="8" w:space="0"/>
        <w:bottom w:val="single" w:color="CEEACA" w:themeColor="background1" w:sz="8" w:space="0"/>
        <w:right w:val="single" w:color="CEEACA" w:themeColor="background1" w:sz="8" w:space="0"/>
        <w:insideH w:val="single" w:color="CEEACA" w:themeColor="background1" w:sz="6" w:space="0"/>
        <w:insideV w:val="single" w:color="CEEACA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24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24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EEACA" w:themeColor="background1" w:sz="8" w:space="0"/>
          <w:right w:val="single" w:color="CEEACA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EEACA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CEEACA" w:themeColor="background1" w:sz="8" w:space="0"/>
          <w:left w:val="single" w:color="CEEACA" w:themeColor="background1" w:sz="8" w:space="0"/>
          <w:bottom w:val="single" w:color="CEEACA" w:themeColor="background1" w:sz="8" w:space="0"/>
          <w:right w:val="single" w:color="CEEACA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CEEACA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CEEACA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EEACA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EEACA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CEEACA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CEEACA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CEEACA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EEACA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EEACA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CEEACA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CEEACA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CEEACA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EEACA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EEACA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CEEACA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CEEACA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CEEACA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EEACA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EEACA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CEEACA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CEEACA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CEEACA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EEACA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EEACA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CEEACA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CEEACA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CEEACA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EEACA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EEACA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CEEACA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CEEACA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CEEACA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EEACA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EEACA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CEEACA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CEEACA" w:themeColor="background1" w:sz="4" w:space="0"/>
        <w:insideV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CEEACA" w:themeColor="background1" w:sz="4" w:space="0"/>
        <w:insideV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CEEACA" w:themeColor="background1" w:sz="4" w:space="0"/>
        <w:insideV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CEEACA" w:themeColor="background1" w:sz="4" w:space="0"/>
        <w:insideV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CEEACA" w:themeColor="background1" w:sz="4" w:space="0"/>
        <w:insideV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CEEACA" w:themeColor="background1" w:sz="4" w:space="0"/>
        <w:insideV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CEEACA" w:themeColor="background1" w:sz="4" w:space="0"/>
        <w:insideV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CEEACA" w:themeFill="background1"/>
      </w:tcPr>
    </w:tblStylePr>
    <w:tblStylePr w:type="la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EACA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EEACA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EEACA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EEACA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EEACA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EEACA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EEACA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EEACA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CEEACA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EEACA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CEEACA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EEACA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CEEACA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CEEACA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EEACA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CEEACA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EEACA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CEEACA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EEACA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1628</Words>
  <Characters>2034</Characters>
  <Lines>0</Lines>
  <Paragraphs>0</Paragraphs>
  <TotalTime>1</TotalTime>
  <ScaleCrop>false</ScaleCrop>
  <LinksUpToDate>false</LinksUpToDate>
  <CharactersWithSpaces>2079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Jianxiu</cp:lastModifiedBy>
  <dcterms:modified xsi:type="dcterms:W3CDTF">2026-08-14T14:51:51Z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eyJoZGlkIjoiNGE4ZjI1YjUwM2NkNDcwZDYyNmI3NzBmMjQwMTg5YTAiLCJ1c2VySWQiOiIxNjgwNzA5NTc4In0=</vt:lpwstr>
  </property>
  <property fmtid="{D5CDD505-2E9C-101B-9397-08002B2CF9AE}" pid="3" name="KSOProductBuildVer">
    <vt:lpwstr>2052-12.1.0.28043</vt:lpwstr>
  </property>
  <property fmtid="{D5CDD505-2E9C-101B-9397-08002B2CF9AE}" pid="4" name="ICV">
    <vt:lpwstr>10285850FA9F4CE089F08DEE63ADE62F_12</vt:lpwstr>
  </property>
</Properties>
</file>