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38FE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sz w:val="36"/>
        </w:rPr>
        <w:t>平台网页设计与命名优化建议</w:t>
      </w:r>
    </w:p>
    <w:p w14:paraId="4B43996E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i/>
          <w:sz w:val="21"/>
        </w:rPr>
        <w:t>适用于“星地数据融合土壤水分监测与干旱智能预警系统”验收演示页面优化</w:t>
      </w:r>
    </w:p>
    <w:p w14:paraId="5E4BB961">
      <w:pPr>
        <w:rPr>
          <w:rFonts w:hint="default" w:ascii="Times New Roman" w:hAnsi="Times New Roman" w:cs="Times New Roman"/>
        </w:rPr>
      </w:pPr>
    </w:p>
    <w:p w14:paraId="4012BA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总体判断：当前平台采用典型 WebGIS 布局，功能结构合理，具备中央地图、左侧图层栏、右侧分析面板、底部时间轴和顶部工具栏等必要元素。问题不在于功能缺失，而在于平台入口和命名偏通用，容易让验收人员第一眼看不出“土壤水分监测与干旱预警”的项目主题。</w:t>
      </w:r>
    </w:p>
    <w:p w14:paraId="677D5EA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一、网页设计是否简洁且合理</w:t>
      </w:r>
    </w:p>
    <w:p w14:paraId="4D8763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从验收角度看，平台“功能合理，但主题不够聚焦”。它更像一个通用综合WebGIS底座，而不是专门面向土壤水分监测与干旱预警的轻量化业务系统。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729C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43D92F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方面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023FB3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当前评价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5BED138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优化建议</w:t>
            </w:r>
          </w:p>
        </w:tc>
      </w:tr>
      <w:tr w14:paraId="1A3B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CD141D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页面结构</w:t>
            </w:r>
          </w:p>
        </w:tc>
        <w:tc>
          <w:tcPr>
            <w:tcW w:w="3324" w:type="dxa"/>
            <w:vAlign w:val="center"/>
          </w:tcPr>
          <w:p w14:paraId="5B7D283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中央地图、左侧图层、右侧分析、底部时间轴的布局合理。</w:t>
            </w:r>
          </w:p>
        </w:tc>
        <w:tc>
          <w:tcPr>
            <w:tcW w:w="3324" w:type="dxa"/>
            <w:vAlign w:val="center"/>
          </w:tcPr>
          <w:p w14:paraId="3D4CFD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保留现有结构，不建议大改架构。</w:t>
            </w:r>
          </w:p>
        </w:tc>
      </w:tr>
      <w:tr w14:paraId="3E0C2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C5EB8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功能入口</w:t>
            </w:r>
          </w:p>
        </w:tc>
        <w:tc>
          <w:tcPr>
            <w:tcW w:w="3324" w:type="dxa"/>
            <w:vAlign w:val="center"/>
          </w:tcPr>
          <w:p w14:paraId="0DF209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入口较多，容易显得泛化。</w:t>
            </w:r>
          </w:p>
        </w:tc>
        <w:tc>
          <w:tcPr>
            <w:tcW w:w="3324" w:type="dxa"/>
            <w:vAlign w:val="center"/>
          </w:tcPr>
          <w:p w14:paraId="3FAABF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增加“验收演示/土壤水分专题”默认入口。</w:t>
            </w:r>
          </w:p>
        </w:tc>
      </w:tr>
      <w:tr w14:paraId="787B0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21805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图层分类</w:t>
            </w:r>
          </w:p>
        </w:tc>
        <w:tc>
          <w:tcPr>
            <w:tcW w:w="3324" w:type="dxa"/>
            <w:vAlign w:val="center"/>
          </w:tcPr>
          <w:p w14:paraId="0FF9CB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科研数据、模型输出、算法模拟等口径偏内部。</w:t>
            </w:r>
          </w:p>
        </w:tc>
        <w:tc>
          <w:tcPr>
            <w:tcW w:w="3324" w:type="dxa"/>
            <w:vAlign w:val="center"/>
          </w:tcPr>
          <w:p w14:paraId="137794D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改成“土壤水分产品、参考数据、观测验证、气象辅助、辅助地理数据”。</w:t>
            </w:r>
          </w:p>
        </w:tc>
      </w:tr>
      <w:tr w14:paraId="66027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439B37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默认视图</w:t>
            </w:r>
          </w:p>
        </w:tc>
        <w:tc>
          <w:tcPr>
            <w:tcW w:w="3324" w:type="dxa"/>
            <w:vAlign w:val="center"/>
          </w:tcPr>
          <w:p w14:paraId="33FAE6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若默认打开空地图或通用图层，主题不突出。</w:t>
            </w:r>
          </w:p>
        </w:tc>
        <w:tc>
          <w:tcPr>
            <w:tcW w:w="3324" w:type="dxa"/>
            <w:vAlign w:val="center"/>
          </w:tcPr>
          <w:p w14:paraId="56D162B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默认加载一个土壤水分产品图层和有数据日期。</w:t>
            </w:r>
          </w:p>
        </w:tc>
      </w:tr>
      <w:tr w14:paraId="1C3EA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6C639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右侧面板</w:t>
            </w:r>
          </w:p>
        </w:tc>
        <w:tc>
          <w:tcPr>
            <w:tcW w:w="3324" w:type="dxa"/>
            <w:vAlign w:val="center"/>
          </w:tcPr>
          <w:p w14:paraId="17460EF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若只显示通用图层信息，不够验收友好。</w:t>
            </w:r>
          </w:p>
        </w:tc>
        <w:tc>
          <w:tcPr>
            <w:tcW w:w="3324" w:type="dxa"/>
            <w:vAlign w:val="center"/>
          </w:tcPr>
          <w:p w14:paraId="4C8378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显示当前产品名称、日期、单位、分辨率、数据来源和操作提示。</w:t>
            </w:r>
          </w:p>
        </w:tc>
      </w:tr>
    </w:tbl>
    <w:p w14:paraId="662ECFE9">
      <w:pPr>
        <w:rPr>
          <w:rFonts w:hint="default" w:ascii="Times New Roman" w:hAnsi="Times New Roman" w:cs="Times New Roman"/>
        </w:rPr>
      </w:pPr>
    </w:p>
    <w:p w14:paraId="28C0D1E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二、“综合地理态势”作为平台名称是否合适</w:t>
      </w:r>
    </w:p>
    <w:p w14:paraId="0EFBFD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“综合地理态势”作为底座平台名称可以保留，但不建议作为本项目验收页面的唯一标题。它范围过宽，偏态势感知/综合监控口径，看不出土壤水分、干旱预警、微波遥感或星地融合主题。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110D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29ECA4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名称方案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FB192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是否推荐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2D8838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说明</w:t>
            </w:r>
          </w:p>
        </w:tc>
      </w:tr>
      <w:tr w14:paraId="407BA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FE332A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综合地理态势</w:t>
            </w:r>
          </w:p>
        </w:tc>
        <w:tc>
          <w:tcPr>
            <w:tcW w:w="3324" w:type="dxa"/>
            <w:vAlign w:val="center"/>
          </w:tcPr>
          <w:p w14:paraId="61DB569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不建议单独使用</w:t>
            </w:r>
          </w:p>
        </w:tc>
        <w:tc>
          <w:tcPr>
            <w:tcW w:w="3324" w:type="dxa"/>
            <w:vAlign w:val="center"/>
          </w:tcPr>
          <w:p w14:paraId="5DE341C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过于泛化，与合同服务名称不够贴合。</w:t>
            </w:r>
          </w:p>
        </w:tc>
      </w:tr>
      <w:tr w14:paraId="6F814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27E1C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星地融合土壤水分监测与干旱预警系统</w:t>
            </w:r>
          </w:p>
        </w:tc>
        <w:tc>
          <w:tcPr>
            <w:tcW w:w="3324" w:type="dxa"/>
            <w:vAlign w:val="center"/>
          </w:tcPr>
          <w:p w14:paraId="56F204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最推荐</w:t>
            </w:r>
          </w:p>
        </w:tc>
        <w:tc>
          <w:tcPr>
            <w:tcW w:w="3324" w:type="dxa"/>
            <w:vAlign w:val="center"/>
          </w:tcPr>
          <w:p w14:paraId="12FA93D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与项目名称和验收目标一致，正式稳妥。</w:t>
            </w:r>
          </w:p>
        </w:tc>
      </w:tr>
      <w:tr w14:paraId="53D58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B146A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土壤水分监测与干旱预警平台</w:t>
            </w:r>
          </w:p>
        </w:tc>
        <w:tc>
          <w:tcPr>
            <w:tcW w:w="3324" w:type="dxa"/>
            <w:vAlign w:val="center"/>
          </w:tcPr>
          <w:p w14:paraId="6D543E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推荐</w:t>
            </w:r>
          </w:p>
        </w:tc>
        <w:tc>
          <w:tcPr>
            <w:tcW w:w="3324" w:type="dxa"/>
            <w:vAlign w:val="center"/>
          </w:tcPr>
          <w:p w14:paraId="7B9560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简洁清楚，适合网页标题。</w:t>
            </w:r>
          </w:p>
        </w:tc>
      </w:tr>
      <w:tr w14:paraId="10026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336B89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星地融合土壤水分产品平台</w:t>
            </w:r>
          </w:p>
        </w:tc>
        <w:tc>
          <w:tcPr>
            <w:tcW w:w="3324" w:type="dxa"/>
            <w:vAlign w:val="center"/>
          </w:tcPr>
          <w:p w14:paraId="1516D8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可用</w:t>
            </w:r>
          </w:p>
        </w:tc>
        <w:tc>
          <w:tcPr>
            <w:tcW w:w="3324" w:type="dxa"/>
            <w:vAlign w:val="center"/>
          </w:tcPr>
          <w:p w14:paraId="20BC88B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突出数据产品和展示下载能力，不夸大预警功能。</w:t>
            </w:r>
          </w:p>
        </w:tc>
      </w:tr>
      <w:tr w14:paraId="4FC91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FBF4F3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综合地理态势平台——土壤水分监测与干旱预警专题</w:t>
            </w:r>
          </w:p>
        </w:tc>
        <w:tc>
          <w:tcPr>
            <w:tcW w:w="3324" w:type="dxa"/>
            <w:vAlign w:val="center"/>
          </w:tcPr>
          <w:p w14:paraId="5FC4BA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折中推荐</w:t>
            </w:r>
          </w:p>
        </w:tc>
        <w:tc>
          <w:tcPr>
            <w:tcW w:w="3324" w:type="dxa"/>
            <w:vAlign w:val="center"/>
          </w:tcPr>
          <w:p w14:paraId="25E59A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保留原平台品牌，同时突出本项目专题。</w:t>
            </w:r>
          </w:p>
        </w:tc>
      </w:tr>
    </w:tbl>
    <w:p w14:paraId="18734965">
      <w:pPr>
        <w:rPr>
          <w:rFonts w:hint="default" w:ascii="Times New Roman" w:hAnsi="Times New Roman" w:cs="Times New Roman"/>
        </w:rPr>
      </w:pPr>
    </w:p>
    <w:p w14:paraId="7DC18368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推荐页面标题写法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62D5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FF2CC"/>
          </w:tcPr>
          <w:p w14:paraId="00F480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星地融合土壤水分监测与干旱预警系统</w:t>
            </w:r>
            <w:r>
              <w:rPr>
                <w:rFonts w:hint="default" w:ascii="Times New Roman" w:hAnsi="Times New Roman" w:eastAsia="Noto Sans CJK SC" w:cs="Times New Roman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</w:rPr>
              <w:t>综合地理态势平台 · 土壤水分专题</w:t>
            </w:r>
          </w:p>
        </w:tc>
      </w:tr>
    </w:tbl>
    <w:p w14:paraId="19282887">
      <w:pPr>
        <w:rPr>
          <w:rFonts w:hint="default" w:ascii="Times New Roman" w:hAnsi="Times New Roman" w:cs="Times New Roman"/>
        </w:rPr>
      </w:pPr>
    </w:p>
    <w:p w14:paraId="76E9ECF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三、网页最小成本优化方案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5EB8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23D713F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优化项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BB4BD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建议改法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97610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目的</w:t>
            </w:r>
          </w:p>
        </w:tc>
      </w:tr>
      <w:tr w14:paraId="7FF44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6E682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左上角标题</w:t>
            </w:r>
          </w:p>
        </w:tc>
        <w:tc>
          <w:tcPr>
            <w:tcW w:w="3324" w:type="dxa"/>
            <w:vAlign w:val="center"/>
          </w:tcPr>
          <w:p w14:paraId="725883A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由“CGDA/综合地理态势”调整为“星地土壤水分与干旱预警系统”，副标题保留“综合地理态势平台 · 土壤水分专题”。</w:t>
            </w:r>
          </w:p>
        </w:tc>
        <w:tc>
          <w:tcPr>
            <w:tcW w:w="3324" w:type="dxa"/>
            <w:vAlign w:val="center"/>
          </w:tcPr>
          <w:p w14:paraId="326307F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让验收人员第一眼识别项目主题。</w:t>
            </w:r>
          </w:p>
        </w:tc>
      </w:tr>
      <w:tr w14:paraId="47A09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F90BA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左侧图层类别</w:t>
            </w:r>
          </w:p>
        </w:tc>
        <w:tc>
          <w:tcPr>
            <w:tcW w:w="3324" w:type="dxa"/>
            <w:vAlign w:val="center"/>
          </w:tcPr>
          <w:p w14:paraId="4C2D540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将“科研数据、模型输入、模型输出、算法模拟结果”调整为“土壤水分产品、参考数据、反演产品、观测验证、气象辅助数据”。</w:t>
            </w:r>
          </w:p>
        </w:tc>
        <w:tc>
          <w:tcPr>
            <w:tcW w:w="3324" w:type="dxa"/>
            <w:vAlign w:val="center"/>
          </w:tcPr>
          <w:p w14:paraId="1F92219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降低内部研发口径，转成用户/验收口径。</w:t>
            </w:r>
          </w:p>
        </w:tc>
      </w:tr>
      <w:tr w14:paraId="6D322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39BE2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默认加载图层</w:t>
            </w:r>
          </w:p>
        </w:tc>
        <w:tc>
          <w:tcPr>
            <w:tcW w:w="3324" w:type="dxa"/>
            <w:vAlign w:val="center"/>
          </w:tcPr>
          <w:p w14:paraId="59D1850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默认打开一个土壤水分产品、行政边界/底图、可选站点观测。</w:t>
            </w:r>
          </w:p>
        </w:tc>
        <w:tc>
          <w:tcPr>
            <w:tcW w:w="3324" w:type="dxa"/>
            <w:vAlign w:val="center"/>
          </w:tcPr>
          <w:p w14:paraId="4EC639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让首页即进入土壤水分业务场景。</w:t>
            </w:r>
          </w:p>
        </w:tc>
      </w:tr>
      <w:tr w14:paraId="7609C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3FDB85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右侧分析面板</w:t>
            </w:r>
          </w:p>
        </w:tc>
        <w:tc>
          <w:tcPr>
            <w:tcW w:w="3324" w:type="dxa"/>
            <w:vAlign w:val="center"/>
          </w:tcPr>
          <w:p w14:paraId="4ABCD97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显示当前图层、日期、单位、分辨率、缺测值、数据来源和操作提示。</w:t>
            </w:r>
          </w:p>
        </w:tc>
        <w:tc>
          <w:tcPr>
            <w:tcW w:w="3324" w:type="dxa"/>
            <w:vAlign w:val="center"/>
          </w:tcPr>
          <w:p w14:paraId="694E8B1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减少用户理解成本。</w:t>
            </w:r>
          </w:p>
        </w:tc>
      </w:tr>
      <w:tr w14:paraId="53006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25AE6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验收演示按钮</w:t>
            </w:r>
          </w:p>
        </w:tc>
        <w:tc>
          <w:tcPr>
            <w:tcW w:w="3324" w:type="dxa"/>
            <w:vAlign w:val="center"/>
          </w:tcPr>
          <w:p w14:paraId="3D5FCC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增加“验收演示”或“土壤水分专题”入口，一键加载推荐图层和日期。</w:t>
            </w:r>
          </w:p>
        </w:tc>
        <w:tc>
          <w:tcPr>
            <w:tcW w:w="3324" w:type="dxa"/>
            <w:vAlign w:val="center"/>
          </w:tcPr>
          <w:p w14:paraId="05E4095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降低现场演示风险。</w:t>
            </w:r>
          </w:p>
        </w:tc>
      </w:tr>
    </w:tbl>
    <w:p w14:paraId="5DB4DD33">
      <w:pPr>
        <w:rPr>
          <w:rFonts w:hint="default" w:ascii="Times New Roman" w:hAnsi="Times New Roman" w:cs="Times New Roman"/>
        </w:rPr>
      </w:pPr>
    </w:p>
    <w:p w14:paraId="13F7477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四、左侧图层类别命名建议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5C5A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56E32B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当前可能显示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0EACB08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建议显示名称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65E1C7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说明</w:t>
            </w:r>
          </w:p>
        </w:tc>
      </w:tr>
      <w:tr w14:paraId="4E719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93615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科研数据</w:t>
            </w:r>
          </w:p>
        </w:tc>
        <w:tc>
          <w:tcPr>
            <w:tcW w:w="3324" w:type="dxa"/>
            <w:vAlign w:val="center"/>
          </w:tcPr>
          <w:p w14:paraId="51D106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土壤水分产品</w:t>
            </w:r>
          </w:p>
        </w:tc>
        <w:tc>
          <w:tcPr>
            <w:tcW w:w="3324" w:type="dxa"/>
            <w:vAlign w:val="center"/>
          </w:tcPr>
          <w:p w14:paraId="0769816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正式对外展示的产品入口。</w:t>
            </w:r>
          </w:p>
        </w:tc>
      </w:tr>
      <w:tr w14:paraId="4DC25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932A53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模型输入</w:t>
            </w:r>
          </w:p>
        </w:tc>
        <w:tc>
          <w:tcPr>
            <w:tcW w:w="3324" w:type="dxa"/>
            <w:vAlign w:val="center"/>
          </w:tcPr>
          <w:p w14:paraId="1F83AC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参考数据</w:t>
            </w:r>
          </w:p>
        </w:tc>
        <w:tc>
          <w:tcPr>
            <w:tcW w:w="3324" w:type="dxa"/>
            <w:vAlign w:val="center"/>
          </w:tcPr>
          <w:p w14:paraId="196090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如SMAP L3、亮温、NDVI等。</w:t>
            </w:r>
          </w:p>
        </w:tc>
      </w:tr>
      <w:tr w14:paraId="7927D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601ADE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模型输出</w:t>
            </w:r>
          </w:p>
        </w:tc>
        <w:tc>
          <w:tcPr>
            <w:tcW w:w="3324" w:type="dxa"/>
            <w:vAlign w:val="center"/>
          </w:tcPr>
          <w:p w14:paraId="5365072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反演产品</w:t>
            </w:r>
          </w:p>
        </w:tc>
        <w:tc>
          <w:tcPr>
            <w:tcW w:w="3324" w:type="dxa"/>
            <w:vAlign w:val="center"/>
          </w:tcPr>
          <w:p w14:paraId="03D320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项目生成的SM、ω、VOD等结果。</w:t>
            </w:r>
          </w:p>
        </w:tc>
      </w:tr>
      <w:tr w14:paraId="4D33F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43FE90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算法模拟结果</w:t>
            </w:r>
          </w:p>
        </w:tc>
        <w:tc>
          <w:tcPr>
            <w:tcW w:w="3324" w:type="dxa"/>
            <w:vAlign w:val="center"/>
          </w:tcPr>
          <w:p w14:paraId="5B5E12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产品生成结果</w:t>
            </w:r>
          </w:p>
        </w:tc>
        <w:tc>
          <w:tcPr>
            <w:tcW w:w="3324" w:type="dxa"/>
            <w:vAlign w:val="center"/>
          </w:tcPr>
          <w:p w14:paraId="6ABDC4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避免“模拟”弱化产品交付感。</w:t>
            </w:r>
          </w:p>
        </w:tc>
      </w:tr>
      <w:tr w14:paraId="06CB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AD4C43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在线天气</w:t>
            </w:r>
          </w:p>
        </w:tc>
        <w:tc>
          <w:tcPr>
            <w:tcW w:w="3324" w:type="dxa"/>
            <w:vAlign w:val="center"/>
          </w:tcPr>
          <w:p w14:paraId="64A692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气象辅助数据</w:t>
            </w:r>
          </w:p>
        </w:tc>
        <w:tc>
          <w:tcPr>
            <w:tcW w:w="3324" w:type="dxa"/>
            <w:vAlign w:val="center"/>
          </w:tcPr>
          <w:p w14:paraId="5689C9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作为土壤水分/干旱判断背景。</w:t>
            </w:r>
          </w:p>
        </w:tc>
      </w:tr>
      <w:tr w14:paraId="67773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E21573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遥感与地形</w:t>
            </w:r>
          </w:p>
        </w:tc>
        <w:tc>
          <w:tcPr>
            <w:tcW w:w="3324" w:type="dxa"/>
            <w:vAlign w:val="center"/>
          </w:tcPr>
          <w:p w14:paraId="59EA67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辅助地理数据</w:t>
            </w:r>
          </w:p>
        </w:tc>
        <w:tc>
          <w:tcPr>
            <w:tcW w:w="3324" w:type="dxa"/>
            <w:vAlign w:val="center"/>
          </w:tcPr>
          <w:p w14:paraId="1484203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底图、DEM、土地覆盖等辅助图层。</w:t>
            </w:r>
          </w:p>
        </w:tc>
      </w:tr>
    </w:tbl>
    <w:p w14:paraId="3AA7F8B4">
      <w:pPr>
        <w:rPr>
          <w:rFonts w:hint="default" w:ascii="Times New Roman" w:hAnsi="Times New Roman" w:cs="Times New Roman"/>
        </w:rPr>
      </w:pPr>
    </w:p>
    <w:p w14:paraId="4C8314E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五、图层显示名称规范</w:t>
      </w:r>
    </w:p>
    <w:p w14:paraId="3D7736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网页显示名称应面向验收人员和普通用户，避免把算法名放在最前面。推荐格式为：数据来源 + 变量中文名 + 时间范围 + 角色/方案说明。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8C76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EC9E63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不推荐显示名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122309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推荐显示名</w:t>
            </w:r>
          </w:p>
        </w:tc>
      </w:tr>
      <w:tr w14:paraId="4EB79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3ADE767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SMAP L3土壤水</w:t>
            </w:r>
          </w:p>
        </w:tc>
        <w:tc>
          <w:tcPr>
            <w:tcW w:w="4986" w:type="dxa"/>
            <w:vAlign w:val="center"/>
          </w:tcPr>
          <w:p w14:paraId="67EF57B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SMAP L3土壤水分（参考）</w:t>
            </w:r>
          </w:p>
        </w:tc>
      </w:tr>
      <w:tr w14:paraId="5FC74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B6AD8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soil-ddca</w:t>
            </w:r>
          </w:p>
        </w:tc>
        <w:tc>
          <w:tcPr>
            <w:tcW w:w="4986" w:type="dxa"/>
            <w:vAlign w:val="center"/>
          </w:tcPr>
          <w:p w14:paraId="66CF2BB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SMAP DDCA土壤水分（参考）</w:t>
            </w:r>
          </w:p>
        </w:tc>
      </w:tr>
      <w:tr w14:paraId="2A53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DAFE17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omega-output</w:t>
            </w:r>
          </w:p>
        </w:tc>
        <w:tc>
          <w:tcPr>
            <w:tcW w:w="4986" w:type="dxa"/>
            <w:vAlign w:val="center"/>
          </w:tcPr>
          <w:p w14:paraId="24C213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SMAP动态ω参数（方法展示）</w:t>
            </w:r>
          </w:p>
        </w:tc>
      </w:tr>
      <w:tr w14:paraId="07B07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10E71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omega-fy-output</w:t>
            </w:r>
          </w:p>
        </w:tc>
        <w:tc>
          <w:tcPr>
            <w:tcW w:w="4986" w:type="dxa"/>
            <w:vAlign w:val="center"/>
          </w:tcPr>
          <w:p w14:paraId="461892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FY动态ω参数（方法展示）</w:t>
            </w:r>
          </w:p>
        </w:tc>
      </w:tr>
      <w:tr w14:paraId="2A16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17041A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lab-output</w:t>
            </w:r>
          </w:p>
        </w:tc>
        <w:tc>
          <w:tcPr>
            <w:tcW w:w="4986" w:type="dxa"/>
            <w:vAlign w:val="center"/>
          </w:tcPr>
          <w:p w14:paraId="06A274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项目土壤水分反演结果（样例）</w:t>
            </w:r>
          </w:p>
        </w:tc>
      </w:tr>
      <w:tr w14:paraId="1825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E5D6F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SMAP土壤湿度融合</w:t>
            </w:r>
          </w:p>
        </w:tc>
        <w:tc>
          <w:tcPr>
            <w:tcW w:w="4986" w:type="dxa"/>
            <w:vAlign w:val="center"/>
          </w:tcPr>
          <w:p w14:paraId="111A2C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多源土壤水分样例图层</w:t>
            </w:r>
          </w:p>
        </w:tc>
      </w:tr>
    </w:tbl>
    <w:p w14:paraId="39ABFB92">
      <w:pPr>
        <w:rPr>
          <w:rFonts w:hint="default" w:ascii="Times New Roman" w:hAnsi="Times New Roman" w:cs="Times New Roman"/>
        </w:rPr>
      </w:pPr>
    </w:p>
    <w:p w14:paraId="051795C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六、为什么将“点位/框选查询”改为“点位查询和区域范围约束”</w:t>
      </w:r>
    </w:p>
    <w:p w14:paraId="29BB0F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“框选查询”通常会让用户理解为：在地图上画一个矩形或多边形后，系统立即返回该区域的均值、最大值、最小值、像元数量或统计图。这是一种明确的交互式区域统计功能。</w:t>
      </w:r>
    </w:p>
    <w:p w14:paraId="685C5E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但当前材料中的区域相关能力主要体现在工作流 bbox 节点、导出参数或数据处理范围限制，而操作手册中也说明当前主界面没有独立的“框选取样并返回区域统计”按钮。因此，若继续写“框选查询”，容易造成验收预期与系统实际功能不一致。</w:t>
      </w:r>
      <w:bookmarkStart w:id="0" w:name="_GoBack"/>
      <w:bookmarkEnd w:id="0"/>
    </w:p>
    <w:p w14:paraId="786526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“区域范围约束”更准确，因为它表达的是：系统可以用一个空间范围限制数据处理、导出、工作流运行或取数范围，但不承诺已经实现交互式框选统计。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2462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221798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说法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99D3F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用户可能理解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8BD211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</w:rPr>
              <w:t>是否符合当前系统口径</w:t>
            </w:r>
          </w:p>
        </w:tc>
      </w:tr>
      <w:tr w14:paraId="1D216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90838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框选查询</w:t>
            </w:r>
          </w:p>
        </w:tc>
        <w:tc>
          <w:tcPr>
            <w:tcW w:w="3324" w:type="dxa"/>
            <w:vAlign w:val="center"/>
          </w:tcPr>
          <w:p w14:paraId="4B8C5E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画框后立即返回区域统计结果。</w:t>
            </w:r>
          </w:p>
        </w:tc>
        <w:tc>
          <w:tcPr>
            <w:tcW w:w="3324" w:type="dxa"/>
            <w:vAlign w:val="center"/>
          </w:tcPr>
          <w:p w14:paraId="2DF4C8A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不够稳妥，除非系统已有区域统计按钮和返回结果。</w:t>
            </w:r>
          </w:p>
        </w:tc>
      </w:tr>
      <w:tr w14:paraId="68710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D0F1C2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区域范围约束</w:t>
            </w:r>
          </w:p>
        </w:tc>
        <w:tc>
          <w:tcPr>
            <w:tcW w:w="3324" w:type="dxa"/>
            <w:vAlign w:val="center"/>
          </w:tcPr>
          <w:p w14:paraId="0E3EFBE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通过bbox或范围参数限定处理/导出/取数区域。</w:t>
            </w:r>
          </w:p>
        </w:tc>
        <w:tc>
          <w:tcPr>
            <w:tcW w:w="3324" w:type="dxa"/>
            <w:vAlign w:val="center"/>
          </w:tcPr>
          <w:p w14:paraId="04AA5F6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更准确，符合当前工作流和导出能力。</w:t>
            </w:r>
          </w:p>
        </w:tc>
      </w:tr>
      <w:tr w14:paraId="33CF7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03CA2B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点位查询和区域范围约束</w:t>
            </w:r>
          </w:p>
        </w:tc>
        <w:tc>
          <w:tcPr>
            <w:tcW w:w="3324" w:type="dxa"/>
            <w:vAlign w:val="center"/>
          </w:tcPr>
          <w:p w14:paraId="458A7B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点查已实现；区域能力以范围限制和后续扩展为主。</w:t>
            </w:r>
          </w:p>
        </w:tc>
        <w:tc>
          <w:tcPr>
            <w:tcW w:w="3324" w:type="dxa"/>
            <w:vAlign w:val="center"/>
          </w:tcPr>
          <w:p w14:paraId="15ACC81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最稳妥，适合验收报告。</w:t>
            </w:r>
          </w:p>
        </w:tc>
      </w:tr>
    </w:tbl>
    <w:p w14:paraId="12F57487">
      <w:pPr>
        <w:rPr>
          <w:rFonts w:hint="default" w:ascii="Times New Roman" w:hAnsi="Times New Roman" w:cs="Times New Roman"/>
        </w:rPr>
      </w:pPr>
    </w:p>
    <w:p w14:paraId="2F70E5A5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网页/报告统一表述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6577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FF2CC"/>
          </w:tcPr>
          <w:p w14:paraId="791520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系统已实现点位查询、图层预览、时间切换和产品导出功能；区域范围主要通过工作流 bbox 或导出参数进行约束。独立的交互式框选统计功能作为后续扩展能力预留，不作为本阶段核心验收功能。</w:t>
            </w:r>
          </w:p>
        </w:tc>
      </w:tr>
    </w:tbl>
    <w:p w14:paraId="418E9777">
      <w:pPr>
        <w:rPr>
          <w:rFonts w:hint="default" w:ascii="Times New Roman" w:hAnsi="Times New Roman" w:cs="Times New Roman"/>
        </w:rPr>
      </w:pPr>
    </w:p>
    <w:p w14:paraId="080B31A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七、验收演示流程建议</w:t>
      </w:r>
    </w:p>
    <w:p w14:paraId="41339145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打开系统首页，显示“星地融合土壤水分监测与干旱预警系统”标题。</w:t>
      </w:r>
    </w:p>
    <w:p w14:paraId="278D7C9F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左侧默认展开“土壤水分产品”类别，加载一个土壤水分产品图层。</w:t>
      </w:r>
    </w:p>
    <w:p w14:paraId="6D0455D3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使用时间轴切换至有数据的日期，地图刷新显示土壤水分空间分布。</w:t>
      </w:r>
    </w:p>
    <w:p w14:paraId="1A6E03C9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切换到点查工具，在一个有效像元上点击，右侧返回SM值与单位m³/m³。</w:t>
      </w:r>
    </w:p>
    <w:p w14:paraId="3983DDD2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打开导出入口，展示GeoTIFF、NetCDF、MAT导出格式。</w:t>
      </w:r>
    </w:p>
    <w:p w14:paraId="1E21F577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打开接口文档或产品说明，展示后续ET、干旱指数、干旱等级等产品接入规范。</w:t>
      </w:r>
    </w:p>
    <w:p w14:paraId="216122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highlight w:val="yellow"/>
        </w:rPr>
        <w:t>【需补充】建议在网页正式截图前先统一页面标题、图层类别和图层显示名称，避免截图里保留“综合地理态势”“科研数据”“土壤湿度”等不统一表述。</w:t>
      </w:r>
    </w:p>
    <w:p w14:paraId="4F3FC23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八、报告中可直接使用的平台设计说明</w:t>
      </w:r>
    </w:p>
    <w:p w14:paraId="3A288EF5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建议文字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04AF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FF2CC"/>
          </w:tcPr>
          <w:p w14:paraId="57AE79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系统采用通用 WebGIS 平台作为底座，并围绕本项目验收目标设置土壤水分监测专题入口。平台默认展示土壤水分产品图层、时间轴和空间查询工具，支持用户按日期查看土壤水分空间分布、点击地图获取像元值，并按需导出 GeoTIFF、NetCDF 或 MAT 格式产品。同时，系统保留综合地理数据管理能力，可为后续蒸散发、干旱指数、干旱等级和智能网格预报数据接入提供扩展空间。</w:t>
            </w:r>
          </w:p>
        </w:tc>
      </w:tr>
    </w:tbl>
    <w:p w14:paraId="7F40B8F1">
      <w:pPr>
        <w:rPr>
          <w:rFonts w:hint="default" w:ascii="Times New Roman" w:hAnsi="Times New Roman" w:cs="Times New Roman"/>
        </w:rPr>
      </w:pPr>
    </w:p>
    <w:p w14:paraId="36E66969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如保留“综合地理态势”的说明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F61E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72" w:type="dxa"/>
            <w:shd w:val="clear" w:color="auto" w:fill="FFF2CC"/>
          </w:tcPr>
          <w:p w14:paraId="193CFB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</w:rPr>
              <w:t>“综合地理态势”为系统平台底座名称，本项目在该平台上建设“土壤水分监测与干旱预警专题模块”。验收展示页面以土壤水分产品接入、地图展示、时间切换、点位查询、产品下载和后续产品接口预留为核心功能。</w:t>
            </w:r>
          </w:p>
        </w:tc>
      </w:tr>
    </w:tbl>
    <w:p w14:paraId="53DADCE0">
      <w:pPr>
        <w:rPr>
          <w:rFonts w:hint="default" w:ascii="Times New Roman" w:hAnsi="Times New Roman" w:cs="Times New Roman"/>
        </w:rPr>
      </w:pP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Aria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F6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79A" w:themeFill="background1" w:themeFillShade="D8"/>
      </w:tcPr>
    </w:tblStylePr>
    <w:tblStylePr w:type="band1Horz">
      <w:tblPr/>
      <w:tcPr>
        <w:shd w:val="clear" w:color="auto" w:fill="A1D79A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79A" w:themeFill="background1" w:themeFillShade="D8"/>
      </w:tcPr>
    </w:tblStylePr>
    <w:tblStylePr w:type="band1Horz">
      <w:tblPr/>
      <w:tcPr>
        <w:shd w:val="clear" w:color="auto" w:fill="A1D79A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79A" w:themeFill="background1" w:themeFillShade="D8"/>
      </w:tcPr>
    </w:tblStylePr>
    <w:tblStylePr w:type="band1Horz">
      <w:tblPr/>
      <w:tcPr>
        <w:shd w:val="clear" w:color="auto" w:fill="A1D79A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79A" w:themeFill="background1" w:themeFillShade="D8"/>
      </w:tcPr>
    </w:tblStylePr>
    <w:tblStylePr w:type="band1Horz">
      <w:tblPr/>
      <w:tcPr>
        <w:shd w:val="clear" w:color="auto" w:fill="A1D79A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79A" w:themeFill="background1" w:themeFillShade="D8"/>
      </w:tcPr>
    </w:tblStylePr>
    <w:tblStylePr w:type="band1Horz">
      <w:tblPr/>
      <w:tcPr>
        <w:shd w:val="clear" w:color="auto" w:fill="A1D79A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79A" w:themeFill="background1" w:themeFillShade="D8"/>
      </w:tcPr>
    </w:tblStylePr>
    <w:tblStylePr w:type="band1Horz">
      <w:tblPr/>
      <w:tcPr>
        <w:shd w:val="clear" w:color="auto" w:fill="A1D79A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79A" w:themeFill="background1" w:themeFillShade="D8"/>
      </w:tcPr>
    </w:tblStylePr>
    <w:tblStylePr w:type="band1Horz">
      <w:tblPr/>
      <w:tcPr>
        <w:shd w:val="clear" w:color="auto" w:fill="A1D79A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CEEACA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CEEACA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CEEACA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EEACA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CEEACA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CEEACA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CEEACA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EEACA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CEEACA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EEACA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CEEACA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CEEACA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CEEACA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CEEACA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CEEACA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CEEACA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EEACA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EEACA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EEACA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EEACA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EEACA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CEEACA" w:themeColor="background1" w:sz="8" w:space="0"/>
        <w:left w:val="single" w:color="CEEACA" w:themeColor="background1" w:sz="8" w:space="0"/>
        <w:bottom w:val="single" w:color="CEEACA" w:themeColor="background1" w:sz="8" w:space="0"/>
        <w:right w:val="single" w:color="CEEACA" w:themeColor="background1" w:sz="8" w:space="0"/>
        <w:insideH w:val="single" w:color="CEEACA" w:themeColor="background1" w:sz="6" w:space="0"/>
        <w:insideV w:val="single" w:color="CEEACA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24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24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EEACA" w:themeColor="background1" w:sz="8" w:space="0"/>
          <w:right w:val="single" w:color="CEEACA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EEACA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CEEACA" w:themeColor="background1" w:sz="8" w:space="0"/>
        <w:left w:val="single" w:color="CEEACA" w:themeColor="background1" w:sz="8" w:space="0"/>
        <w:bottom w:val="single" w:color="CEEACA" w:themeColor="background1" w:sz="8" w:space="0"/>
        <w:right w:val="single" w:color="CEEACA" w:themeColor="background1" w:sz="8" w:space="0"/>
        <w:insideH w:val="single" w:color="CEEACA" w:themeColor="background1" w:sz="6" w:space="0"/>
        <w:insideV w:val="single" w:color="CEEACA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24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24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EEACA" w:themeColor="background1" w:sz="8" w:space="0"/>
          <w:right w:val="single" w:color="CEEACA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EEACA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CEEACA" w:themeColor="background1" w:sz="8" w:space="0"/>
        <w:left w:val="single" w:color="CEEACA" w:themeColor="background1" w:sz="8" w:space="0"/>
        <w:bottom w:val="single" w:color="CEEACA" w:themeColor="background1" w:sz="8" w:space="0"/>
        <w:right w:val="single" w:color="CEEACA" w:themeColor="background1" w:sz="8" w:space="0"/>
        <w:insideH w:val="single" w:color="CEEACA" w:themeColor="background1" w:sz="6" w:space="0"/>
        <w:insideV w:val="single" w:color="CEEACA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24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24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EEACA" w:themeColor="background1" w:sz="8" w:space="0"/>
          <w:right w:val="single" w:color="CEEACA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EEACA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CEEACA" w:themeColor="background1" w:sz="8" w:space="0"/>
        <w:left w:val="single" w:color="CEEACA" w:themeColor="background1" w:sz="8" w:space="0"/>
        <w:bottom w:val="single" w:color="CEEACA" w:themeColor="background1" w:sz="8" w:space="0"/>
        <w:right w:val="single" w:color="CEEACA" w:themeColor="background1" w:sz="8" w:space="0"/>
        <w:insideH w:val="single" w:color="CEEACA" w:themeColor="background1" w:sz="6" w:space="0"/>
        <w:insideV w:val="single" w:color="CEEACA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24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24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EEACA" w:themeColor="background1" w:sz="8" w:space="0"/>
          <w:right w:val="single" w:color="CEEACA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EEACA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CEEACA" w:themeColor="background1" w:sz="8" w:space="0"/>
        <w:left w:val="single" w:color="CEEACA" w:themeColor="background1" w:sz="8" w:space="0"/>
        <w:bottom w:val="single" w:color="CEEACA" w:themeColor="background1" w:sz="8" w:space="0"/>
        <w:right w:val="single" w:color="CEEACA" w:themeColor="background1" w:sz="8" w:space="0"/>
        <w:insideH w:val="single" w:color="CEEACA" w:themeColor="background1" w:sz="6" w:space="0"/>
        <w:insideV w:val="single" w:color="CEEACA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24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24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EEACA" w:themeColor="background1" w:sz="8" w:space="0"/>
          <w:right w:val="single" w:color="CEEACA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EEACA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CEEACA" w:themeColor="background1" w:sz="8" w:space="0"/>
        <w:left w:val="single" w:color="CEEACA" w:themeColor="background1" w:sz="8" w:space="0"/>
        <w:bottom w:val="single" w:color="CEEACA" w:themeColor="background1" w:sz="8" w:space="0"/>
        <w:right w:val="single" w:color="CEEACA" w:themeColor="background1" w:sz="8" w:space="0"/>
        <w:insideH w:val="single" w:color="CEEACA" w:themeColor="background1" w:sz="6" w:space="0"/>
        <w:insideV w:val="single" w:color="CEEACA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24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24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EEACA" w:themeColor="background1" w:sz="8" w:space="0"/>
          <w:right w:val="single" w:color="CEEACA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EEACA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CEEACA" w:themeColor="background1" w:sz="8" w:space="0"/>
        <w:left w:val="single" w:color="CEEACA" w:themeColor="background1" w:sz="8" w:space="0"/>
        <w:bottom w:val="single" w:color="CEEACA" w:themeColor="background1" w:sz="8" w:space="0"/>
        <w:right w:val="single" w:color="CEEACA" w:themeColor="background1" w:sz="8" w:space="0"/>
        <w:insideH w:val="single" w:color="CEEACA" w:themeColor="background1" w:sz="6" w:space="0"/>
        <w:insideV w:val="single" w:color="CEEACA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24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24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EEACA" w:themeColor="background1" w:sz="8" w:space="0"/>
          <w:right w:val="single" w:color="CEEACA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EEACA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CEEACA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EEACA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EEACA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EEACA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CEEACA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CEEACA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EEACA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EEACA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EEACA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CEEACA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CEEACA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CEEACA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EEACA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EEACA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CEEACA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CEEACA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CEEACA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EEACA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EEACA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CEEACA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CEEACA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CEEACA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EEACA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EEACA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CEEACA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CEEACA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CEEACA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EEACA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EEACA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CEEACA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CEEACA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CEEACA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EEACA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EEACA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CEEACA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CEEACA" w:themeColor="background1" w:sz="4" w:space="0"/>
        <w:insideV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CEEACA" w:themeColor="background1" w:sz="4" w:space="0"/>
        <w:insideV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EEACA" w:themeColor="background1" w:sz="4" w:space="0"/>
        <w:insideV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CEEACA" w:themeColor="background1" w:sz="4" w:space="0"/>
        <w:insideV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CEEACA" w:themeColor="background1" w:sz="4" w:space="0"/>
        <w:insideV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CEEACA" w:themeColor="background1" w:sz="4" w:space="0"/>
        <w:insideV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CEEACA" w:themeColor="background1" w:sz="4" w:space="0"/>
        <w:insideV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EEACA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EEACA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EEACA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EEACA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EEACA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EEACA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EEACA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CEEACA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EEACA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CEEACA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EEACA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CEEACA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EEACA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CEEACA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EEACA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1039</Words>
  <Characters>1055</Characters>
  <Lines>0</Lines>
  <Paragraphs>0</Paragraphs>
  <TotalTime>0</TotalTime>
  <ScaleCrop>false</ScaleCrop>
  <LinksUpToDate>false</LinksUpToDate>
  <CharactersWithSpaces>1061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Jianxiu</cp:lastModifiedBy>
  <dcterms:modified xsi:type="dcterms:W3CDTF">2026-08-14T08:29:50Z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eyJoZGlkIjoiNGE4ZjI1YjUwM2NkNDcwZDYyNmI3NzBmMjQwMTg5YTAiLCJ1c2VySWQiOiIxNjgwNzA5NTc4In0=</vt:lpwstr>
  </property>
  <property fmtid="{D5CDD505-2E9C-101B-9397-08002B2CF9AE}" pid="3" name="KSOProductBuildVer">
    <vt:lpwstr>2052-12.1.0.28043</vt:lpwstr>
  </property>
  <property fmtid="{D5CDD505-2E9C-101B-9397-08002B2CF9AE}" pid="4" name="ICV">
    <vt:lpwstr>B820DDB9AF224A3DBA7558BB65EAAF01_12</vt:lpwstr>
  </property>
</Properties>
</file>