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Microsoft YaHei"/>
          <w:b/>
          <w:color w:val="7A5A00"/>
          <w:sz w:val="20"/>
        </w:rPr>
        <w:t>调研与决策摘要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2"/>
        </w:rPr>
        <w:t>大模型中转算力池：平台、架构与合规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6"/>
        </w:rPr>
        <w:t>2026 年 9 月 2 日公开资料调研汇总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1F2937"/>
          <w:sz w:val="20"/>
        </w:rPr>
        <w:t xml:space="preserve">范围: </w:t>
      </w:r>
      <w:r>
        <w:rPr>
          <w:rFonts w:ascii="Calibri" w:hAnsi="Calibri" w:eastAsia="Microsoft YaHei"/>
          <w:color w:val="667085"/>
          <w:sz w:val="20"/>
        </w:rPr>
        <w:t>商业平台、开源网关、算力池化、趋势与商业合规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1F2937"/>
          <w:sz w:val="20"/>
        </w:rPr>
        <w:t xml:space="preserve">证据规则: </w:t>
      </w:r>
      <w:r>
        <w:rPr>
          <w:rFonts w:ascii="Calibri" w:hAnsi="Calibri" w:eastAsia="Microsoft YaHei"/>
          <w:color w:val="667085"/>
          <w:sz w:val="20"/>
        </w:rPr>
        <w:t>“已验证”来自实际读取页面；“推断”明确标注，不能当作事实引用</w:t>
      </w:r>
    </w:p>
    <w:p>
      <w:pPr>
        <w:spacing w:after="240"/>
        <w:pBdr>
          <w:bottom w:val="single" w:sz="10" w:space="1" w:color="2E74B5"/>
        </w:pBdr>
      </w:pPr>
    </w:p>
    <w:p>
      <w:pPr>
        <w:pStyle w:val="Heading1"/>
      </w:pPr>
      <w:r>
        <w:t>一、核心判断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 xml:space="preserve">一句话  </w:t>
            </w:r>
            <w:r>
              <w:rPr>
                <w:rFonts w:ascii="Calibri" w:hAnsi="Calibri" w:eastAsia="Microsoft YaHei"/>
                <w:color w:val="344054"/>
                <w:sz w:val="20"/>
              </w:rPr>
              <w:t>中转算力池正在形成“两层架构”：上层以 OpenAI 兼容网关统一鉴权、路由、限流、故障转移与计量；下层以自建或聚合的推理资源池承载模型。平台竞争点从“接入更多模型”转向可预测延迟、成本透明、故障恢复和合规能力。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OpenRouter 代表多供应商聚合与路由；SiliconFlow、Together AI、DeepInfra、Fireworks 代表自托管或自建 GPU 推理云；火山方舟等官方平台的部分细节仍需补证。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LiteLLM 已验证的参考链路是：虚拟密钥 → 多维 rpm/tpm 限流 → Router 负载均衡/fallback/retry → 协议翻译 → 异步计量；PostgreSQL + Redis 分别承担持久账本与热路径状态。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one-api/new-api 更贴近中转站运营，LiteLLM 更偏企业治理，Higress AI Gateway 则把 AI 代理能力下沉到云原生网关。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异构芯片、冷启动、多租户尾延迟和数据合规是落地的四个主要风险面。</w:t>
      </w:r>
    </w:p>
    <w:p>
      <w:pPr>
        <w:pStyle w:val="Heading1"/>
      </w:pPr>
      <w:r>
        <w:t>二、商业平台横向观察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3000"/>
        <w:gridCol w:w="1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平台/形态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算力与接入特征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计费/能力观察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证据状态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OpenRouter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第三方供应商聚合；Provider Routing、Fallback、BYOK、MCP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按 token；按量计划平台费 5.5%；企业版含 SSO/SLA/预算控制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官方首页、文档与定价页已读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SiliconFlow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国产多模态模型 API；模型来源多厂商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输入/输出/缓存命中分价；DeepSeek-V4-Flash 2–8 点为低谷价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定价页已读；自建推断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Together AI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Serverless + Provisioned/Dedicated + GPU Clusters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按 token、预留吞吐、专享推理和微调并存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定价页已读；部分列名截断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DeepInfra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推理云；语言按 token、图像按张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图像价格与分辨率/迭代次数相关；宣布 1.07 亿美元 B 轮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定价页已读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Fireworks AI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Serverless 与按 GPU 秒部署并存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H100/H200/B200 等按 GPU 小时；区域受限部署加价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定价页已读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火山方舟/百炼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官方聚合方向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TPM 保障包、具体价格与区域信息需补证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火山摘要级；百炼未完成</w:t>
            </w:r>
          </w:p>
        </w:tc>
      </w:tr>
    </w:tbl>
    <w:p>
      <w:pPr>
        <w:spacing w:after="0"/>
      </w:pPr>
    </w:p>
    <w:p>
      <w:pPr>
        <w:pStyle w:val="Heading1"/>
      </w:pPr>
      <w:r>
        <w:t>三、开源生态与参考架构</w:t>
      </w:r>
    </w:p>
    <w:p>
      <w:pPr>
        <w:pStyle w:val="Heading2"/>
      </w:pPr>
      <w:r>
        <w:t>3.1 两类开源流派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2900"/>
        <w:gridCol w:w="2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流派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代表项目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适用场景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关键能力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中转运营型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one-api、new-api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面向 key 二次分发和额度运营的中小团队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渠道-模型-能力抽象、令牌/分组/倍率、兑换码、多机部署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企业治理型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LiteLLM Gateway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统一接入、成本治理和多供应商可靠性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100+ 供应商、虚拟密钥、路由、fallback、预算、guardrails、MCP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云原生网关型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Higress AI Gateway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Kubernetes 大规模流量入口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Envoy/Istio、Wasm、协议转换、模型负载均衡、Fallback、MCP 托管</w:t>
            </w:r>
          </w:p>
        </w:tc>
      </w:tr>
    </w:tbl>
    <w:p>
      <w:pPr>
        <w:spacing w:after="0"/>
      </w:pPr>
    </w:p>
    <w:p>
      <w:pPr>
        <w:pStyle w:val="Heading2"/>
      </w:pPr>
      <w:r>
        <w:t>3.2 已验证的请求生命周期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客户端通过 OpenAI SDK、LangChain 或 curl 以 Bearer 虚拟密钥进入网关。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网关先做密钥、预算和 key/user/team/server 四维 rpm/tpm 检查。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Router 根据部署状态执行负载均衡、冷却、fallback、超时和重试。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协议翻译层将统一格式转换为供应商原生格式，对外保持兼容。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响应返回后，spend、限流计数和日志回调异步落库，避免阻塞热路径。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架构启示  </w:t>
            </w:r>
            <w:r>
              <w:rPr>
                <w:rFonts w:ascii="Calibri" w:hAnsi="Calibri" w:eastAsia="Microsoft YaHei"/>
                <w:color w:val="344054"/>
                <w:sz w:val="20"/>
              </w:rPr>
              <w:t>中转网关的最小可行内核不是“模型列表”，而是统一鉴权、可配置路由、故障切换、计量账本和可观测性。</w:t>
            </w:r>
          </w:p>
        </w:tc>
      </w:tr>
    </w:tbl>
    <w:p>
      <w:pPr>
        <w:spacing w:after="0"/>
      </w:pPr>
    </w:p>
    <w:p>
      <w:pPr>
        <w:pStyle w:val="Heading1"/>
      </w:pPr>
      <w:r>
        <w:t>四、算力池化与调度趋势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异构调度：动态 MIG、PCIe/NUMA 感知放置、MPS 配额和 cgroup I/O 可降低噪声邻居造成的尾延迟；一项研究在 16 GPU 场景报告 SLO miss-rate 下降约 32%、p99 改善约 15%，吞吐代价不超过 5%。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冷启动：ServerlessLLM 通过近 GPU 存储与加载调度器降低激活延迟；工程上需要本地盘/分布式缓存/对象存储的分层预热。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多租户：性能隔离手段较成熟，模型权重、KV Cache、请求数据和日志的安全隔离公开实践仍少。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成本：碎片治理、配额借用/抢占、MIG/时间片和按 GPU/KV Cache/队列深度扩缩容是主流组合；spot 推理的权威证据不足。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国产化：寒武纪 vllm-mlu 已验证采用 vLLM 插件系统，支持 Chunk Prefill、Prefix Caching、Spec Decode、Graph/Sleep Mode；昇腾和摩尔线程的本次证据不足。</w:t>
      </w:r>
    </w:p>
    <w:p>
      <w:pPr>
        <w:pStyle w:val="Heading1"/>
      </w:pPr>
      <w:r>
        <w:t>五、商业模式与合规</w:t>
      </w:r>
    </w:p>
    <w:p>
      <w:pPr>
        <w:pStyle w:val="Heading2"/>
      </w:pPr>
      <w:r>
        <w:t>5.1 商业模式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已验证参照：OpenRouter 按量计划收取 5.5% 平台费；SiliconFlow 采用分时与缓存命中差异化价格；new-api 提供组织认证、用量分析、成本核算和私有部署基础。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行业推断：民间中转常见“上游批量/协议价 → 网关计量 → 折扣或会员转售”；开源网关本身免费，商业价值更多来自托管、运维、定制和企业版。</w:t>
      </w:r>
    </w:p>
    <w:p>
      <w:pPr>
        <w:pStyle w:val="Heading2"/>
      </w:pPr>
      <w:r>
        <w:t>5.2 合规底线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必须合法获取上游 API 密钥、账户和模型权限，并遵守上游 ToS；未授权转售和共享账号可能导致封号、资金损失与违约风险。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境内公众生成式 AI 服务涉及内容安全、数据安全、个人信息保护和备案/算法备案等责任；将用户请求转发至境外模型还需评估数据出境。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决策提醒  </w:t>
            </w:r>
            <w:r>
              <w:rPr>
                <w:rFonts w:ascii="Calibri" w:hAnsi="Calibri" w:eastAsia="Microsoft YaHei"/>
                <w:color w:val="344054"/>
                <w:sz w:val="20"/>
              </w:rPr>
              <w:t>低价并不等于低总成本。没有授权、数据处理、SLA、审计和内容安全边界的中转模式，不适合作为企业生产依赖。</w:t>
            </w:r>
          </w:p>
        </w:tc>
      </w:tr>
    </w:tbl>
    <w:p>
      <w:pPr>
        <w:spacing w:after="0"/>
      </w:pPr>
    </w:p>
    <w:p>
      <w:pPr>
        <w:pStyle w:val="Heading1"/>
      </w:pPr>
      <w:r>
        <w:t>六、对 Eva 的落地建议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优先建设“连接能力画像”：记录 provider/model 是否支持工具调用、reasoning、视觉、上下文窗口、流式和批处理。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将 Agent OS 的任务幂等、资源预留、状态审计与网关的 key/配额/路由打通，形成“任务级可追踪成本”。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为多供应商路由设定可解释优先级：可用性 &gt; 任务约束 &gt; 延迟目标 &gt; 成本；所有 fallback 都记录原因。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在自建推理场景采用分层缓存、模型预热和租户隔离；在仅聚合场景保持网关无状态并使用 Redis/PostgreSQL 共享热状态与账本。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把合规作为产品能力：上游授权记录、数据出境提示、敏感内容策略、审计日志和企业 SLA 入口。</w:t>
      </w:r>
    </w:p>
    <w:p>
      <w:pPr>
        <w:pStyle w:val="Heading1"/>
      </w:pPr>
      <w:r>
        <w:t>七、证据边界与后续补证</w:t>
      </w:r>
    </w:p>
    <w:p>
      <w:r>
        <w:rPr>
          <w:rFonts w:ascii="Calibri" w:hAnsi="Calibri" w:eastAsia="Microsoft YaHei"/>
          <w:color w:val="1F2937"/>
          <w:sz w:val="22"/>
        </w:rPr>
        <w:t>本次调研以 2026-09-02 成功读取的公开页面、官方文档、GitHub README 与论文为主。OpenRouter、火山方舟、阿里云百炼部分页面存在截断或读取失败；new-api 细节、SSE 流式转发、语义缓存、KV Cache 在网关层的实际落地、spot 推理和部分国产芯片适配仍应补充一手来源。</w:t>
      </w:r>
    </w:p>
    <w:p>
      <w:pPr>
        <w:pStyle w:val="Heading1"/>
      </w:pPr>
      <w:r>
        <w:t>附：主要来源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https://docs.litellm.ai/docs/proxy/architecture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https://docs.litellm.ai/docs/routing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https://openrouter.ai/pricing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https://openrouter.ai/docs/llms.txt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https://siliconflow.cn/pricing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https://www.together.ai/pricing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https://deepinfra.com/pricing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https://fireworks.ai/pricing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https://github.com/songquanpeng/one-api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https://github.com/QuantumNous/new-api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https://github.com/alibaba/higress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https://github.com/Cambricon/vllm-mlu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https://arxiv.org/html/2401.14351v2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>内部工作材料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8"/>
      </w:rPr>
      <w:t>Eva · 2026-09-02 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