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6EEF5">
      <w:pPr>
        <w:pStyle w:val="3"/>
      </w:pPr>
      <w:r>
        <w:rPr>
          <w:rFonts w:hint="eastAsia" w:eastAsia="宋体"/>
          <w:lang w:val="en-US" w:eastAsia="zh-CN"/>
        </w:rPr>
        <w:t>一</w:t>
      </w:r>
      <w:r>
        <w:t>、为什么要做这个项目</w:t>
      </w:r>
    </w:p>
    <w:p w14:paraId="6A1E18F6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内容生产链路长、协作角色多，如果没有统一系统，信息很容易分散在聊天记录、表格和口头沟通中。</w:t>
      </w:r>
    </w:p>
    <w:p w14:paraId="2A7BB8AE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选题、脚本、执行、发布、复盘由不同角色接力完成，一旦缺少统一状态和责任归属，就会出现遗漏、重复确认和推进不透明。</w:t>
      </w:r>
    </w:p>
    <w:p w14:paraId="0D2EB002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很多团队最缺的不是单点工具，而是一套能把“计划 - 执行 - 结果”连起来的管理底座。</w:t>
      </w:r>
    </w:p>
    <w:p w14:paraId="58022E2F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当前实际使用反馈已经说明，这套系统能明显减少反复沟通、整理思路、重复提交选题文档以及来回修改等低效率动作。</w:t>
      </w:r>
    </w:p>
    <w:p w14:paraId="506CDC62">
      <w:pPr>
        <w:pStyle w:val="3"/>
      </w:pPr>
      <w:r>
        <w:rPr>
          <w:rFonts w:hint="eastAsia" w:eastAsia="宋体"/>
          <w:lang w:val="en-US" w:eastAsia="zh-CN"/>
        </w:rPr>
        <w:t>二</w:t>
      </w:r>
      <w:r>
        <w:t>、这个项目整体是什么</w:t>
      </w:r>
    </w:p>
    <w:p w14:paraId="358A86BC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它不是单一页面，也不是单一表单，而是一套完整的前后端系统。</w:t>
      </w:r>
    </w:p>
    <w:p w14:paraId="27EE466C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前端负责日常操作入口和协同界面，后端负责业务规则、权限、消息、数据存储与接口能力。</w:t>
      </w:r>
    </w:p>
    <w:p w14:paraId="447A5851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系统当前已具备内容流程模块、效率工具模块、数据管理模块和平台支撑能力。</w:t>
      </w:r>
    </w:p>
    <w:p w14:paraId="30A03FC5">
      <w:pPr>
        <w:jc w:val="center"/>
      </w:pPr>
      <w:r>
        <w:drawing>
          <wp:inline distT="0" distB="0" distL="114300" distR="114300">
            <wp:extent cx="6254750" cy="2967355"/>
            <wp:effectExtent l="0" t="0" r="1270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C37D8">
      <w:pPr>
        <w:jc w:val="center"/>
      </w:pPr>
      <w:r>
        <w:drawing>
          <wp:inline distT="0" distB="0" distL="114300" distR="114300">
            <wp:extent cx="6254750" cy="2967355"/>
            <wp:effectExtent l="0" t="0" r="12700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F91D">
      <w:pPr>
        <w:jc w:val="center"/>
      </w:pPr>
      <w:r>
        <w:drawing>
          <wp:inline distT="0" distB="0" distL="114300" distR="114300">
            <wp:extent cx="6254750" cy="2967355"/>
            <wp:effectExtent l="0" t="0" r="12700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DBEB">
      <w:pPr>
        <w:jc w:val="center"/>
      </w:pPr>
      <w:r>
        <w:drawing>
          <wp:inline distT="0" distB="0" distL="114300" distR="114300">
            <wp:extent cx="6254750" cy="2967355"/>
            <wp:effectExtent l="0" t="0" r="12700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9DCB">
      <w:pPr>
        <w:jc w:val="center"/>
      </w:pPr>
      <w:r>
        <w:drawing>
          <wp:inline distT="0" distB="0" distL="114300" distR="114300">
            <wp:extent cx="6254750" cy="2967355"/>
            <wp:effectExtent l="0" t="0" r="12700" b="44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B148">
      <w:pPr>
        <w:jc w:val="center"/>
      </w:pPr>
      <w:r>
        <w:drawing>
          <wp:inline distT="0" distB="0" distL="114300" distR="114300">
            <wp:extent cx="6254750" cy="2967355"/>
            <wp:effectExtent l="0" t="0" r="12700" b="44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B474">
      <w:pPr>
        <w:jc w:val="center"/>
      </w:pPr>
    </w:p>
    <w:p w14:paraId="35719CDD">
      <w:pPr>
        <w:pStyle w:val="3"/>
      </w:pPr>
      <w:r>
        <w:rPr>
          <w:rFonts w:hint="eastAsia" w:eastAsia="宋体"/>
          <w:lang w:val="en-US" w:eastAsia="zh-CN"/>
        </w:rPr>
        <w:t>三</w:t>
      </w:r>
      <w:r>
        <w:t>、项目是怎么运作的</w:t>
      </w:r>
    </w:p>
    <w:p w14:paraId="09F1B798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系统主线以“选题”为起点，通过审核后进入后续创作、执行、发布和复盘环节。</w:t>
      </w:r>
    </w:p>
    <w:p w14:paraId="72EE82B0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各环节之间不是孤立跳转，而是通过统一状态、数据记录和权限机制实现接续。</w:t>
      </w:r>
    </w:p>
    <w:p w14:paraId="0F9BD3B7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团队不需要反复手工同步“进行到哪一步了”，系统本身就承担了流程连接器的角色。</w:t>
      </w:r>
    </w:p>
    <w:p w14:paraId="17258A06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“泰安的十大名人墓葬”这一选题已经验证了平台具</w:t>
      </w:r>
      <w:bookmarkStart w:id="0" w:name="_GoBack"/>
      <w:bookmarkEnd w:id="0"/>
      <w:r>
        <w:rPr>
          <w:rFonts w:ascii="微软雅黑" w:hAnsi="微软雅黑" w:eastAsia="微软雅黑"/>
          <w:b w:val="0"/>
        </w:rPr>
        <w:t>备支撑完整业务闭环的能力。</w:t>
      </w:r>
    </w:p>
    <w:p w14:paraId="25AE9764">
      <w:pPr>
        <w:jc w:val="center"/>
      </w:pPr>
      <w:r>
        <w:drawing>
          <wp:inline distT="0" distB="0" distL="114300" distR="114300">
            <wp:extent cx="6126480" cy="2909570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F2C2">
      <w:pPr>
        <w:pStyle w:val="3"/>
      </w:pPr>
      <w:r>
        <w:rPr>
          <w:rFonts w:hint="eastAsia" w:eastAsia="宋体"/>
          <w:lang w:val="en-US" w:eastAsia="zh-CN"/>
        </w:rPr>
        <w:t>四</w:t>
      </w:r>
      <w:r>
        <w:t>、这个项目的核心优点</w:t>
      </w:r>
    </w:p>
    <w:p w14:paraId="01FC0AA3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全链路闭环：把内容生产全过程放在同一套系统里，减少中间断层。</w:t>
      </w:r>
    </w:p>
    <w:p w14:paraId="450FB614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标准化管理：通过状态流转、审批设计、权限控制，把经验变成制度化动作。</w:t>
      </w:r>
    </w:p>
    <w:p w14:paraId="094EFC8C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实时协同：消息、通知、日志、实时同步机制增强团队协作效率。</w:t>
      </w:r>
    </w:p>
    <w:p w14:paraId="22EEEC28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数据沉淀：系统不只记录结果，还能把前置过程沉淀下来，为复盘和优化提供依据。</w:t>
      </w:r>
    </w:p>
    <w:p w14:paraId="1F13053F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可控部署：当前采用 Express + SQLite 的轻量部署方式，适合内部快速落地和持续迭代。</w:t>
      </w:r>
    </w:p>
    <w:p w14:paraId="644B5864">
      <w:pPr>
        <w:spacing w:after="120"/>
        <w:ind w:left="259"/>
      </w:pPr>
      <w:r>
        <w:rPr>
          <w:rFonts w:ascii="微软雅黑" w:hAnsi="微软雅黑" w:eastAsia="微软雅黑"/>
          <w:b/>
          <w:color w:val="1D4ED8"/>
        </w:rPr>
        <w:t xml:space="preserve">• </w:t>
      </w:r>
      <w:r>
        <w:rPr>
          <w:rFonts w:ascii="微软雅黑" w:hAnsi="微软雅黑" w:eastAsia="微软雅黑"/>
          <w:b w:val="0"/>
        </w:rPr>
        <w:t>实际价值已初步体现：目前反馈可减少约 80% 沟通成本，并减少整理思路、反复提报和重复修改等动作。</w:t>
      </w:r>
    </w:p>
    <w:p w14:paraId="0DA5834E">
      <w:pPr>
        <w:pStyle w:val="3"/>
      </w:pPr>
      <w:r>
        <w:rPr>
          <w:rFonts w:hint="eastAsia" w:eastAsia="宋体"/>
          <w:lang w:val="en-US" w:eastAsia="zh-CN"/>
        </w:rPr>
        <w:t>五</w:t>
      </w:r>
      <w:r>
        <w:t>、对团队和公司的不可替代优势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D14D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shd w:val="clear" w:color="auto" w:fill="DCEBFF"/>
          </w:tcPr>
          <w:p w14:paraId="6BFFBD43">
            <w:pPr>
              <w:spacing w:after="0" w:line="240" w:lineRule="auto"/>
            </w:pPr>
            <w:r>
              <w:t>维度</w:t>
            </w:r>
          </w:p>
        </w:tc>
        <w:tc>
          <w:tcPr>
            <w:tcW w:w="3293" w:type="dxa"/>
            <w:shd w:val="clear" w:color="auto" w:fill="DCEBFF"/>
          </w:tcPr>
          <w:p w14:paraId="2DFBBC01">
            <w:pPr>
              <w:spacing w:after="0" w:line="240" w:lineRule="auto"/>
            </w:pPr>
            <w:r>
              <w:t>当前优势</w:t>
            </w:r>
          </w:p>
        </w:tc>
        <w:tc>
          <w:tcPr>
            <w:tcW w:w="3293" w:type="dxa"/>
            <w:shd w:val="clear" w:color="auto" w:fill="DCEBFF"/>
          </w:tcPr>
          <w:p w14:paraId="409E8076">
            <w:pPr>
              <w:spacing w:after="0" w:line="240" w:lineRule="auto"/>
            </w:pPr>
            <w:r>
              <w:t>为什么难以替代</w:t>
            </w:r>
          </w:p>
        </w:tc>
      </w:tr>
      <w:tr w14:paraId="3D6AD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shd w:val="clear" w:color="auto" w:fill="F8FAFC"/>
            <w:vAlign w:val="center"/>
          </w:tcPr>
          <w:p w14:paraId="7F94D8DB">
            <w:pPr>
              <w:spacing w:after="0" w:line="240" w:lineRule="auto"/>
            </w:pPr>
            <w:r>
              <w:t>流程闭环</w:t>
            </w:r>
          </w:p>
        </w:tc>
        <w:tc>
          <w:tcPr>
            <w:tcW w:w="3293" w:type="dxa"/>
            <w:vAlign w:val="center"/>
          </w:tcPr>
          <w:p w14:paraId="03C09990">
            <w:pPr>
              <w:spacing w:after="0" w:line="240" w:lineRule="auto"/>
            </w:pPr>
            <w:r>
              <w:t>从选题到复盘贯穿在同一系统内</w:t>
            </w:r>
          </w:p>
        </w:tc>
        <w:tc>
          <w:tcPr>
            <w:tcW w:w="3293" w:type="dxa"/>
            <w:vAlign w:val="center"/>
          </w:tcPr>
          <w:p w14:paraId="0F11E61B">
            <w:pPr>
              <w:spacing w:after="0" w:line="240" w:lineRule="auto"/>
            </w:pPr>
            <w:r>
              <w:t>不是单点工具，而是把前后环节接起来，替代零散协作方式</w:t>
            </w:r>
          </w:p>
        </w:tc>
      </w:tr>
      <w:tr w14:paraId="792E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shd w:val="clear" w:color="auto" w:fill="F8FAFC"/>
            <w:vAlign w:val="center"/>
          </w:tcPr>
          <w:p w14:paraId="6FF849BE">
            <w:pPr>
              <w:spacing w:after="0" w:line="240" w:lineRule="auto"/>
            </w:pPr>
            <w:r>
              <w:t>管理可视化</w:t>
            </w:r>
          </w:p>
        </w:tc>
        <w:tc>
          <w:tcPr>
            <w:tcW w:w="3293" w:type="dxa"/>
            <w:vAlign w:val="center"/>
          </w:tcPr>
          <w:p w14:paraId="47F60C92">
            <w:pPr>
              <w:spacing w:after="0" w:line="240" w:lineRule="auto"/>
            </w:pPr>
            <w:r>
              <w:t>每个状态、责任和进度都有记录</w:t>
            </w:r>
          </w:p>
        </w:tc>
        <w:tc>
          <w:tcPr>
            <w:tcW w:w="3293" w:type="dxa"/>
            <w:vAlign w:val="center"/>
          </w:tcPr>
          <w:p w14:paraId="64B6010A">
            <w:pPr>
              <w:spacing w:after="0" w:line="240" w:lineRule="auto"/>
            </w:pPr>
            <w:r>
              <w:t>领导和负责人可以随时看到推进情况，减少口头追踪</w:t>
            </w:r>
          </w:p>
        </w:tc>
      </w:tr>
      <w:tr w14:paraId="43EB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shd w:val="clear" w:color="auto" w:fill="F8FAFC"/>
            <w:vAlign w:val="center"/>
          </w:tcPr>
          <w:p w14:paraId="39A48D52">
            <w:pPr>
              <w:spacing w:after="0" w:line="240" w:lineRule="auto"/>
            </w:pPr>
            <w:r>
              <w:t>经验沉淀</w:t>
            </w:r>
          </w:p>
        </w:tc>
        <w:tc>
          <w:tcPr>
            <w:tcW w:w="3293" w:type="dxa"/>
            <w:vAlign w:val="center"/>
          </w:tcPr>
          <w:p w14:paraId="34F62A7F">
            <w:pPr>
              <w:spacing w:after="0" w:line="240" w:lineRule="auto"/>
            </w:pPr>
            <w:r>
              <w:t>脚本、灵感、资源、审批方式都能留下来</w:t>
            </w:r>
          </w:p>
        </w:tc>
        <w:tc>
          <w:tcPr>
            <w:tcW w:w="3293" w:type="dxa"/>
            <w:vAlign w:val="center"/>
          </w:tcPr>
          <w:p w14:paraId="1F6D554F">
            <w:pPr>
              <w:spacing w:after="0" w:line="240" w:lineRule="auto"/>
            </w:pPr>
            <w:r>
              <w:t>团队能力不再只依赖个人记忆，便于复制和交接</w:t>
            </w:r>
          </w:p>
        </w:tc>
      </w:tr>
      <w:tr w14:paraId="3E5C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shd w:val="clear" w:color="auto" w:fill="F8FAFC"/>
            <w:vAlign w:val="center"/>
          </w:tcPr>
          <w:p w14:paraId="6E090DCE">
            <w:pPr>
              <w:spacing w:after="0" w:line="240" w:lineRule="auto"/>
            </w:pPr>
            <w:r>
              <w:t>协同效率</w:t>
            </w:r>
          </w:p>
        </w:tc>
        <w:tc>
          <w:tcPr>
            <w:tcW w:w="3293" w:type="dxa"/>
            <w:vAlign w:val="center"/>
          </w:tcPr>
          <w:p w14:paraId="333AF11A">
            <w:pPr>
              <w:spacing w:after="0" w:line="240" w:lineRule="auto"/>
            </w:pPr>
            <w:r>
              <w:t>消息、通知、权限、日历、看板形成联动</w:t>
            </w:r>
          </w:p>
        </w:tc>
        <w:tc>
          <w:tcPr>
            <w:tcW w:w="3293" w:type="dxa"/>
            <w:vAlign w:val="center"/>
          </w:tcPr>
          <w:p w14:paraId="3400DF4D">
            <w:pPr>
              <w:spacing w:after="0" w:line="240" w:lineRule="auto"/>
            </w:pPr>
            <w:r>
              <w:t>减少跨群确认、重复问进度、版本不一致等管理成本</w:t>
            </w:r>
          </w:p>
        </w:tc>
      </w:tr>
      <w:tr w14:paraId="2FD2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shd w:val="clear" w:color="auto" w:fill="F8FAFC"/>
            <w:vAlign w:val="center"/>
          </w:tcPr>
          <w:p w14:paraId="417E17AC">
            <w:pPr>
              <w:spacing w:after="0" w:line="240" w:lineRule="auto"/>
            </w:pPr>
            <w:r>
              <w:t>数据回连</w:t>
            </w:r>
          </w:p>
        </w:tc>
        <w:tc>
          <w:tcPr>
            <w:tcW w:w="3293" w:type="dxa"/>
            <w:vAlign w:val="center"/>
          </w:tcPr>
          <w:p w14:paraId="23FFAB10">
            <w:pPr>
              <w:spacing w:after="0" w:line="240" w:lineRule="auto"/>
            </w:pPr>
            <w:r>
              <w:t>复盘数据能回到前面的选题与执行过程</w:t>
            </w:r>
          </w:p>
        </w:tc>
        <w:tc>
          <w:tcPr>
            <w:tcW w:w="3293" w:type="dxa"/>
            <w:vAlign w:val="center"/>
          </w:tcPr>
          <w:p w14:paraId="79B37201">
            <w:pPr>
              <w:spacing w:after="0" w:line="240" w:lineRule="auto"/>
            </w:pPr>
            <w:r>
              <w:t>不仅看结果，也能分析为什么做成或没做成</w:t>
            </w:r>
          </w:p>
        </w:tc>
      </w:tr>
    </w:tbl>
    <w:p w14:paraId="2DD20878">
      <w:pPr>
        <w:pStyle w:val="3"/>
      </w:pPr>
      <w:r>
        <w:rPr>
          <w:rFonts w:hint="eastAsia" w:eastAsia="宋体"/>
          <w:lang w:val="en-US" w:eastAsia="zh-CN"/>
        </w:rPr>
        <w:t>六</w:t>
      </w:r>
      <w:r>
        <w:t>、未来愿景：从内部系统走向通用产品</w:t>
      </w:r>
    </w:p>
    <w:p w14:paraId="34405A1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28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33415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4155"/>
          <w:spacing w:val="0"/>
          <w:sz w:val="21"/>
          <w:szCs w:val="21"/>
          <w:bdr w:val="none" w:color="auto" w:sz="0" w:space="0"/>
        </w:rPr>
        <w:t>在内部验证成熟后，具备向通用产品演进的潜力。以下是我们规划的发展路径。</w:t>
      </w:r>
    </w:p>
    <w:p w14:paraId="7EBA4270">
      <w:pPr>
        <w:keepNext w:val="0"/>
        <w:keepLines w:val="0"/>
        <w:widowControl/>
        <w:suppressLineNumbers w:val="0"/>
        <w:pBdr>
          <w:top w:val="none" w:color="auto" w:sz="0" w:space="0"/>
          <w:left w:val="single" w:color="0F766E" w:sz="18" w:space="9"/>
          <w:bottom w:val="none" w:color="auto" w:sz="0" w:space="0"/>
          <w:right w:val="none" w:color="auto" w:sz="0" w:space="0"/>
        </w:pBdr>
        <w:spacing w:before="300" w:beforeAutospacing="0" w:after="180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72A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72A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产品化路径</w:t>
      </w:r>
    </w:p>
    <w:p w14:paraId="03C548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662" w:afterAutospacing="0"/>
        <w:ind w:left="300" w:right="0"/>
        <w:rPr>
          <w:b/>
          <w:bCs/>
          <w:color w:val="0F172A"/>
          <w:sz w:val="21"/>
          <w:szCs w:val="21"/>
        </w:rPr>
      </w:pPr>
      <w:r>
        <w:rPr>
          <w:b/>
          <w:bCs/>
          <w:i w:val="0"/>
          <w:iCs w:val="0"/>
          <w:caps w:val="0"/>
          <w:color w:val="0F172A"/>
          <w:spacing w:val="0"/>
          <w:sz w:val="21"/>
          <w:szCs w:val="21"/>
          <w:bdr w:val="none" w:color="auto" w:sz="0" w:space="0"/>
        </w:rPr>
        <w:t>第一阶段：内部深化（当前）</w:t>
      </w:r>
    </w:p>
    <w:p w14:paraId="3E7F7B05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602" w:afterAutospacing="0" w:line="26" w:lineRule="atLeast"/>
        <w:ind w:left="300" w:right="0"/>
        <w:rPr>
          <w:color w:val="47556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75569"/>
          <w:spacing w:val="0"/>
          <w:sz w:val="18"/>
          <w:szCs w:val="18"/>
          <w:bdr w:val="none" w:color="auto" w:sz="0" w:space="0"/>
        </w:rPr>
        <w:t>持续优化现有功能，深化在团队内部的使用，积累更多业务场景和用户反馈。</w:t>
      </w:r>
    </w:p>
    <w:p w14:paraId="033A73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662" w:afterAutospacing="0"/>
        <w:ind w:left="300" w:right="0"/>
        <w:rPr>
          <w:b/>
          <w:bCs/>
          <w:color w:val="0F172A"/>
          <w:sz w:val="21"/>
          <w:szCs w:val="21"/>
        </w:rPr>
      </w:pPr>
      <w:r>
        <w:rPr>
          <w:b/>
          <w:bCs/>
          <w:i w:val="0"/>
          <w:iCs w:val="0"/>
          <w:caps w:val="0"/>
          <w:color w:val="0F172A"/>
          <w:spacing w:val="0"/>
          <w:sz w:val="21"/>
          <w:szCs w:val="21"/>
          <w:bdr w:val="none" w:color="auto" w:sz="0" w:space="0"/>
        </w:rPr>
        <w:t>第二阶段：通用化改造</w:t>
      </w:r>
    </w:p>
    <w:p w14:paraId="4841789A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602" w:afterAutospacing="0" w:line="26" w:lineRule="atLeast"/>
        <w:ind w:left="300" w:right="0"/>
        <w:rPr>
          <w:color w:val="47556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75569"/>
          <w:spacing w:val="0"/>
          <w:sz w:val="18"/>
          <w:szCs w:val="18"/>
          <w:bdr w:val="none" w:color="auto" w:sz="0" w:space="0"/>
        </w:rPr>
        <w:t>将业务规则抽象为可配置模板，支持不同行业、不同规模团队的定制化需求。核心方向：审批流模板化、角色权限配置化、功能模块可插拔。</w:t>
      </w:r>
    </w:p>
    <w:p w14:paraId="5E517F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662" w:afterAutospacing="0"/>
        <w:ind w:left="300" w:right="0"/>
        <w:rPr>
          <w:b/>
          <w:bCs/>
          <w:color w:val="0F172A"/>
          <w:sz w:val="21"/>
          <w:szCs w:val="21"/>
        </w:rPr>
      </w:pPr>
      <w:r>
        <w:rPr>
          <w:b/>
          <w:bCs/>
          <w:i w:val="0"/>
          <w:iCs w:val="0"/>
          <w:caps w:val="0"/>
          <w:color w:val="0F172A"/>
          <w:spacing w:val="0"/>
          <w:sz w:val="21"/>
          <w:szCs w:val="21"/>
          <w:bdr w:val="none" w:color="auto" w:sz="0" w:space="0"/>
        </w:rPr>
        <w:t>第三阶段：商业化探索</w:t>
      </w:r>
    </w:p>
    <w:p w14:paraId="4D8B298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602" w:afterAutospacing="0" w:line="26" w:lineRule="atLeast"/>
        <w:ind w:left="300" w:right="0"/>
        <w:rPr>
          <w:color w:val="47556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75569"/>
          <w:spacing w:val="0"/>
          <w:sz w:val="18"/>
          <w:szCs w:val="18"/>
          <w:bdr w:val="none" w:color="auto" w:sz="0" w:space="0"/>
        </w:rPr>
        <w:t>探索私有化部署交付、行业版本授权、SaaS 服务等多种盈利模式，将内部系统转化为公司新的业务增长点。</w:t>
      </w:r>
    </w:p>
    <w:p w14:paraId="5EEC94C2">
      <w:pPr>
        <w:keepNext w:val="0"/>
        <w:keepLines w:val="0"/>
        <w:widowControl/>
        <w:suppressLineNumbers w:val="0"/>
        <w:pBdr>
          <w:top w:val="none" w:color="auto" w:sz="0" w:space="0"/>
          <w:left w:val="single" w:color="0F766E" w:sz="18" w:space="9"/>
          <w:bottom w:val="none" w:color="auto" w:sz="0" w:space="0"/>
          <w:right w:val="none" w:color="auto" w:sz="0" w:space="0"/>
        </w:pBdr>
        <w:spacing w:before="300" w:beforeAutospacing="0" w:after="180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72A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72A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商业化方向</w:t>
      </w:r>
    </w:p>
    <w:p w14:paraId="5D4E6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332" w:afterAutospacing="0"/>
        <w:ind w:left="0" w:right="0"/>
        <w:rPr>
          <w:b/>
          <w:bCs/>
          <w:color w:val="0F172A"/>
          <w:sz w:val="21"/>
          <w:szCs w:val="21"/>
        </w:rPr>
      </w:pPr>
      <w:r>
        <w:rPr>
          <w:b/>
          <w:bCs/>
          <w:i w:val="0"/>
          <w:iCs w:val="0"/>
          <w:caps w:val="0"/>
          <w:color w:val="0F172A"/>
          <w:spacing w:val="0"/>
          <w:sz w:val="21"/>
          <w:szCs w:val="21"/>
          <w:bdr w:val="none" w:color="auto" w:sz="0" w:space="0"/>
          <w:shd w:val="clear" w:fill="F8FAFC"/>
        </w:rPr>
        <w:t>私有化部署</w:t>
      </w:r>
    </w:p>
    <w:p w14:paraId="724CE0F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" w:lineRule="atLeast"/>
        <w:ind w:left="0" w:right="0"/>
        <w:rPr>
          <w:color w:val="47556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75569"/>
          <w:spacing w:val="0"/>
          <w:sz w:val="18"/>
          <w:szCs w:val="18"/>
          <w:bdr w:val="none" w:color="auto" w:sz="0" w:space="0"/>
          <w:shd w:val="clear" w:fill="F8FAFC"/>
        </w:rPr>
        <w:t>为有数据安全要求的客户提供本地部署方案，收取实施费和维护费。</w:t>
      </w:r>
    </w:p>
    <w:p w14:paraId="46A675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332" w:afterAutospacing="0"/>
        <w:ind w:left="0" w:right="0"/>
        <w:rPr>
          <w:b/>
          <w:bCs/>
          <w:color w:val="0F172A"/>
          <w:sz w:val="21"/>
          <w:szCs w:val="21"/>
        </w:rPr>
      </w:pPr>
      <w:r>
        <w:rPr>
          <w:b/>
          <w:bCs/>
          <w:i w:val="0"/>
          <w:iCs w:val="0"/>
          <w:caps w:val="0"/>
          <w:color w:val="0F172A"/>
          <w:spacing w:val="0"/>
          <w:sz w:val="21"/>
          <w:szCs w:val="21"/>
          <w:bdr w:val="none" w:color="auto" w:sz="0" w:space="0"/>
          <w:shd w:val="clear" w:fill="F8FAFC"/>
        </w:rPr>
        <w:t>行业版本</w:t>
      </w:r>
    </w:p>
    <w:p w14:paraId="5479F79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" w:lineRule="atLeast"/>
        <w:ind w:left="0" w:right="0"/>
        <w:rPr>
          <w:color w:val="47556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75569"/>
          <w:spacing w:val="0"/>
          <w:sz w:val="18"/>
          <w:szCs w:val="18"/>
          <w:bdr w:val="none" w:color="auto" w:sz="0" w:space="0"/>
          <w:shd w:val="clear" w:fill="F8FAFC"/>
        </w:rPr>
        <w:t>针对MCN、广告公司、媒体机构等不同行业推出定制版本。</w:t>
      </w:r>
    </w:p>
    <w:p w14:paraId="4FA6A5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332" w:afterAutospacing="0"/>
        <w:ind w:left="0" w:right="0"/>
        <w:rPr>
          <w:b/>
          <w:bCs/>
          <w:color w:val="0F172A"/>
          <w:sz w:val="21"/>
          <w:szCs w:val="21"/>
        </w:rPr>
      </w:pPr>
      <w:r>
        <w:rPr>
          <w:b/>
          <w:bCs/>
          <w:i w:val="0"/>
          <w:iCs w:val="0"/>
          <w:caps w:val="0"/>
          <w:color w:val="0F172A"/>
          <w:spacing w:val="0"/>
          <w:sz w:val="21"/>
          <w:szCs w:val="21"/>
          <w:bdr w:val="none" w:color="auto" w:sz="0" w:space="0"/>
          <w:shd w:val="clear" w:fill="F8FAFC"/>
        </w:rPr>
        <w:t>SaaS 服务</w:t>
      </w:r>
    </w:p>
    <w:p w14:paraId="1E137E6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6" w:lineRule="atLeast"/>
        <w:ind w:left="0" w:right="0"/>
        <w:rPr>
          <w:color w:val="475569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75569"/>
          <w:spacing w:val="0"/>
          <w:sz w:val="18"/>
          <w:szCs w:val="18"/>
          <w:bdr w:val="none" w:color="auto" w:sz="0" w:space="0"/>
          <w:shd w:val="clear" w:fill="F8FAFC"/>
        </w:rPr>
        <w:t>提供云端托管服务，按团队规模收取订阅费。</w:t>
      </w:r>
    </w:p>
    <w:p w14:paraId="5429649D"/>
    <w:sectPr>
      <w:footerReference r:id="rId5" w:type="default"/>
      <w:pgSz w:w="12240" w:h="15840"/>
      <w:pgMar w:top="1008" w:right="1181" w:bottom="1008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64B67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08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3A8A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D4ED8"/>
      <w:spacing w:val="5"/>
      <w:kern w:val="28"/>
      <w:sz w:val="48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665</Words>
  <Characters>677</Characters>
  <Lines>0</Lines>
  <Paragraphs>0</Paragraphs>
  <TotalTime>15</TotalTime>
  <ScaleCrop>false</ScaleCrop>
  <LinksUpToDate>false</LinksUpToDate>
  <CharactersWithSpaces>700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哄哄</cp:lastModifiedBy>
  <dcterms:modified xsi:type="dcterms:W3CDTF">2026-06-12T03:22:42Z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eyJoZGlkIjoiNjlmNWFmOGQ2OTQ2NWQwNWQ0NDkzYTJmYTdkZmNhMTciLCJ1c2VySWQiOiIxNTgxMTUyNDI3In0=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C9FB0D17CEC541478A7DECC160446D80_12</vt:lpwstr>
  </property>
</Properties>
</file>