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line="360" w:lineRule="auto"/>
        <w:rPr>
          <w:sz w:val="22"/>
          <w:szCs w:val="22"/>
        </w:rPr>
      </w:pPr>
      <w:r>
        <w:rPr>
          <w:rFonts w:hint="eastAsia"/>
          <w:sz w:val="22"/>
          <w:szCs w:val="22"/>
        </w:rPr>
        <w:t>1.</w:t>
      </w:r>
      <w:r>
        <w:rPr>
          <w:sz w:val="22"/>
          <w:szCs w:val="22"/>
        </w:rPr>
        <w:t xml:space="preserve"> </w:t>
      </w:r>
      <w:r>
        <w:rPr>
          <w:rFonts w:hint="eastAsia"/>
          <w:sz w:val="22"/>
          <w:szCs w:val="22"/>
        </w:rPr>
        <w:t>一种基于检索增强生成的工程造价</w:t>
      </w:r>
      <w:r>
        <w:rPr>
          <w:rFonts w:hint="eastAsia"/>
          <w:sz w:val="22"/>
          <w:szCs w:val="22"/>
          <w:lang w:val="en-US" w:eastAsia="zh-CN"/>
        </w:rPr>
        <w:t>人机交互</w:t>
      </w:r>
      <w:r>
        <w:rPr>
          <w:rFonts w:hint="eastAsia"/>
          <w:sz w:val="22"/>
          <w:szCs w:val="22"/>
        </w:rPr>
        <w:t>问答系统及其方法</w:t>
      </w:r>
    </w:p>
    <w:p>
      <w:pPr>
        <w:pStyle w:val="2"/>
        <w:spacing w:before="0" w:after="0" w:line="360" w:lineRule="auto"/>
        <w:rPr>
          <w:sz w:val="22"/>
          <w:szCs w:val="22"/>
        </w:rPr>
      </w:pPr>
      <w:r>
        <w:rPr>
          <w:rFonts w:hint="eastAsia"/>
          <w:sz w:val="22"/>
          <w:szCs w:val="22"/>
        </w:rPr>
        <w:t>2.</w:t>
      </w:r>
      <w:r>
        <w:rPr>
          <w:sz w:val="22"/>
          <w:szCs w:val="22"/>
        </w:rPr>
        <w:t xml:space="preserve"> 技术领域</w:t>
      </w:r>
    </w:p>
    <w:p>
      <w:pPr>
        <w:adjustRightInd w:val="0"/>
        <w:snapToGrid w:val="0"/>
        <w:spacing w:line="360" w:lineRule="auto"/>
        <w:ind w:firstLine="200"/>
        <w:rPr>
          <w:color w:val="FF0000"/>
          <w:sz w:val="22"/>
          <w:szCs w:val="22"/>
        </w:rPr>
      </w:pPr>
      <w:r>
        <w:rPr>
          <w:rFonts w:hint="eastAsia"/>
          <w:sz w:val="22"/>
          <w:szCs w:val="22"/>
        </w:rPr>
        <w:t>本发明属于</w:t>
      </w:r>
      <w:r>
        <w:rPr>
          <w:rFonts w:hint="eastAsia"/>
          <w:sz w:val="22"/>
          <w:szCs w:val="22"/>
          <w:lang w:val="en-US" w:eastAsia="zh-CN"/>
        </w:rPr>
        <w:t>工程造价问答</w:t>
      </w:r>
      <w:r>
        <w:rPr>
          <w:rFonts w:hint="eastAsia"/>
          <w:sz w:val="22"/>
          <w:szCs w:val="22"/>
        </w:rPr>
        <w:t>领域，</w:t>
      </w:r>
      <w:r>
        <w:rPr>
          <w:sz w:val="22"/>
          <w:szCs w:val="22"/>
        </w:rPr>
        <w:t>特别</w:t>
      </w:r>
      <w:r>
        <w:rPr>
          <w:rFonts w:hint="eastAsia"/>
          <w:sz w:val="22"/>
          <w:szCs w:val="22"/>
        </w:rPr>
        <w:t>涉及一种</w:t>
      </w:r>
      <w:r>
        <w:rPr>
          <w:rFonts w:hint="eastAsia"/>
          <w:sz w:val="22"/>
          <w:szCs w:val="22"/>
          <w:lang w:eastAsia="zh-CN"/>
        </w:rPr>
        <w:t>基于检索增强生成的工程造价人机交互问答系统</w:t>
      </w:r>
      <w:r>
        <w:rPr>
          <w:rFonts w:hint="eastAsia"/>
          <w:sz w:val="22"/>
          <w:szCs w:val="22"/>
        </w:rPr>
        <w:t>。</w:t>
      </w:r>
    </w:p>
    <w:p>
      <w:pPr>
        <w:pStyle w:val="2"/>
        <w:spacing w:before="0" w:after="0" w:line="360" w:lineRule="auto"/>
        <w:rPr>
          <w:sz w:val="22"/>
          <w:szCs w:val="22"/>
        </w:rPr>
      </w:pPr>
      <w:r>
        <w:rPr>
          <w:rFonts w:hint="eastAsia"/>
          <w:sz w:val="22"/>
          <w:szCs w:val="22"/>
        </w:rPr>
        <w:t>3.</w:t>
      </w:r>
      <w:r>
        <w:rPr>
          <w:sz w:val="22"/>
          <w:szCs w:val="22"/>
        </w:rPr>
        <w:t xml:space="preserve"> 背景技术</w:t>
      </w:r>
    </w:p>
    <w:p>
      <w:pPr>
        <w:spacing w:line="360" w:lineRule="auto"/>
        <w:ind w:firstLine="440" w:firstLineChars="200"/>
        <w:rPr>
          <w:sz w:val="22"/>
          <w:szCs w:val="22"/>
        </w:rPr>
      </w:pPr>
      <w:r>
        <w:rPr>
          <w:rFonts w:hint="eastAsia"/>
          <w:sz w:val="22"/>
          <w:szCs w:val="22"/>
        </w:rPr>
        <w:t>当前工程造价领域的知识问答和材料信息问答正在加速向智能化方向演进。早期主要依靠人工查阅规范、定额和材料信息价期刊，效率低且维护成本高。随后逐渐出现了基于关键词检索和规则匹配的问答系统，能够在固定问答库或标准条款中快速定位答案，但在灵活性和复杂问题处理上仍有不足。随着自然语言处理技术的发展，行业开始引入意图识别与槽位填充方法，使系统可以理解用户的问题类型（如计价规则查询或材料价格查询），并抽取出关键参数如时间、地区和材料规格。同时，相似度匹配与FAQ技术得到广泛应用，通过语义向量检索提升了问答的召回率和准确性。进一步地，知识图谱在造价领域被用于构建“材料—价格—地区—时间”等多维关系，增强了系统对复杂逻辑和跨领域问题的处理能力。</w:t>
      </w:r>
    </w:p>
    <w:p>
      <w:pPr>
        <w:spacing w:line="360" w:lineRule="auto"/>
        <w:ind w:firstLine="440" w:firstLineChars="200"/>
        <w:rPr>
          <w:sz w:val="22"/>
          <w:szCs w:val="22"/>
        </w:rPr>
      </w:pPr>
      <w:r>
        <w:rPr>
          <w:rFonts w:hint="eastAsia"/>
          <w:sz w:val="22"/>
          <w:szCs w:val="22"/>
        </w:rPr>
        <w:t>这类基于规则、相似度匹配和知识图谱的智能化问答系统在实际应用中也存在明显不足。首先，规则和关键词匹配依赖预设模板，覆盖面有限，面对开放式或组合型问题时往往无法给出完整答案</w:t>
      </w:r>
      <w:r>
        <w:rPr>
          <w:rFonts w:hint="eastAsia"/>
          <w:sz w:val="22"/>
          <w:szCs w:val="22"/>
          <w:lang w:eastAsia="zh-CN"/>
        </w:rPr>
        <w:t>；其次，传统相似度匹配系统虽然能提升准确率，但容易受限于问答库的规模与更新频率，导致答案滞后或缺失</w:t>
      </w:r>
      <w:r>
        <w:rPr>
          <w:rFonts w:hint="eastAsia"/>
          <w:sz w:val="22"/>
          <w:szCs w:val="22"/>
          <w:lang w:val="en-US" w:eastAsia="zh-CN"/>
        </w:rPr>
        <w:t>;再次，知识图谱在处理复杂逻辑和关系时具备优势，但构建和维护成本高、难以跟上政策规范和市场价格的频繁变化；</w:t>
      </w:r>
      <w:r>
        <w:rPr>
          <w:rFonts w:hint="eastAsia"/>
          <w:sz w:val="22"/>
          <w:szCs w:val="22"/>
        </w:rPr>
        <w:t>因此，需要提供一种基于工程造价领域的检索增强生成的人机交互问答系统及方法。</w:t>
      </w:r>
    </w:p>
    <w:p>
      <w:pPr>
        <w:pStyle w:val="2"/>
        <w:spacing w:before="0" w:after="0" w:line="360" w:lineRule="auto"/>
        <w:rPr>
          <w:sz w:val="22"/>
          <w:szCs w:val="22"/>
        </w:rPr>
      </w:pPr>
      <w:r>
        <w:rPr>
          <w:rFonts w:hint="eastAsia"/>
          <w:sz w:val="22"/>
          <w:szCs w:val="22"/>
        </w:rPr>
        <w:t>4.</w:t>
      </w:r>
      <w:r>
        <w:rPr>
          <w:sz w:val="22"/>
          <w:szCs w:val="22"/>
        </w:rPr>
        <w:t xml:space="preserve"> </w:t>
      </w:r>
      <w:r>
        <w:rPr>
          <w:rFonts w:hint="eastAsia"/>
          <w:sz w:val="22"/>
          <w:szCs w:val="22"/>
        </w:rPr>
        <w:t>发明</w:t>
      </w:r>
      <w:r>
        <w:rPr>
          <w:sz w:val="22"/>
          <w:szCs w:val="22"/>
        </w:rPr>
        <w:t>内容</w:t>
      </w:r>
    </w:p>
    <w:p>
      <w:pPr>
        <w:spacing w:line="360" w:lineRule="auto"/>
        <w:ind w:firstLine="440" w:firstLineChars="200"/>
        <w:rPr>
          <w:sz w:val="22"/>
          <w:szCs w:val="22"/>
        </w:rPr>
      </w:pPr>
      <w:r>
        <w:rPr>
          <w:rFonts w:hint="eastAsia"/>
          <w:sz w:val="22"/>
          <w:szCs w:val="22"/>
        </w:rPr>
        <w:t>本发明的主要目的在于克服现有工程造价问答技术存在的知识检索效率低、回答缺乏专业可解释性以及材料价格查询不完整、不直观等问题，提供一种基于检索增强生成的工程造价问答系统与方法，系统能够同时支持知识库问答与数据库问答，兼顾准确性、时效性和可解释性。</w:t>
      </w:r>
    </w:p>
    <w:p>
      <w:pPr>
        <w:keepNext w:val="0"/>
        <w:keepLines w:val="0"/>
        <w:widowControl w:val="0"/>
        <w:suppressLineNumbers w:val="0"/>
        <w:spacing w:before="0" w:beforeAutospacing="0" w:after="0" w:afterAutospacing="0"/>
        <w:ind w:left="0" w:right="0"/>
        <w:jc w:val="both"/>
        <w:rPr>
          <w:rFonts w:hint="eastAsia"/>
          <w:sz w:val="22"/>
          <w:szCs w:val="22"/>
        </w:rPr>
      </w:pPr>
      <w:r>
        <w:rPr>
          <w:rFonts w:hint="eastAsia"/>
          <w:sz w:val="22"/>
          <w:szCs w:val="22"/>
        </w:rPr>
        <w:t>本发明的目的通过以下技术方案实现：一种</w:t>
      </w:r>
      <w:r>
        <w:rPr>
          <w:rFonts w:hint="eastAsia" w:ascii="宋体" w:hAnsi="宋体" w:eastAsia="宋体" w:cs="宋体"/>
          <w:kern w:val="2"/>
          <w:sz w:val="22"/>
          <w:szCs w:val="22"/>
          <w:lang w:val="en-US" w:eastAsia="zh-CN" w:bidi="ar"/>
        </w:rPr>
        <w:t>基于检索增强生成</w:t>
      </w:r>
      <w:r>
        <w:rPr>
          <w:rFonts w:hint="eastAsia" w:ascii="宋体" w:hAnsi="宋体" w:cs="宋体"/>
          <w:kern w:val="2"/>
          <w:sz w:val="22"/>
          <w:szCs w:val="22"/>
          <w:lang w:val="en-US" w:eastAsia="zh-CN" w:bidi="ar"/>
        </w:rPr>
        <w:t>(RAG)</w:t>
      </w:r>
      <w:r>
        <w:rPr>
          <w:rFonts w:hint="eastAsia" w:ascii="宋体" w:hAnsi="宋体" w:eastAsia="宋体" w:cs="宋体"/>
          <w:kern w:val="2"/>
          <w:sz w:val="22"/>
          <w:szCs w:val="22"/>
          <w:lang w:val="en-US" w:eastAsia="zh-CN" w:bidi="ar"/>
        </w:rPr>
        <w:t>的工程造价人机交互问答系统</w:t>
      </w:r>
      <w:r>
        <w:rPr>
          <w:rFonts w:hint="eastAsia"/>
          <w:sz w:val="22"/>
          <w:szCs w:val="22"/>
        </w:rPr>
        <w:t>，包括以下步骤：</w:t>
      </w:r>
    </w:p>
    <w:p>
      <w:pPr>
        <w:keepNext w:val="0"/>
        <w:keepLines w:val="0"/>
        <w:widowControl w:val="0"/>
        <w:numPr>
          <w:ilvl w:val="0"/>
          <w:numId w:val="1"/>
        </w:numPr>
        <w:suppressLineNumbers w:val="0"/>
        <w:spacing w:before="0" w:beforeAutospacing="0" w:after="0" w:afterAutospacing="0"/>
        <w:ind w:left="425" w:leftChars="0" w:right="0" w:hanging="425" w:firstLineChars="0"/>
        <w:jc w:val="both"/>
        <w:rPr>
          <w:rFonts w:hint="eastAsia"/>
          <w:sz w:val="22"/>
          <w:szCs w:val="22"/>
        </w:rPr>
      </w:pPr>
      <w:r>
        <w:rPr>
          <w:rFonts w:hint="eastAsia"/>
          <w:sz w:val="22"/>
          <w:szCs w:val="22"/>
        </w:rPr>
        <w:t>用户输入与意图识别：接收用户的自然语言问题，利用意图识别模块判断该问题属于专业知识类问题还是材料价格类问题。</w:t>
      </w:r>
    </w:p>
    <w:p>
      <w:pPr>
        <w:keepNext w:val="0"/>
        <w:keepLines w:val="0"/>
        <w:widowControl w:val="0"/>
        <w:numPr>
          <w:ilvl w:val="0"/>
          <w:numId w:val="1"/>
        </w:numPr>
        <w:suppressLineNumbers w:val="0"/>
        <w:spacing w:before="0" w:beforeAutospacing="0" w:after="0" w:afterAutospacing="0"/>
        <w:ind w:left="425" w:leftChars="0" w:right="0" w:hanging="425" w:firstLineChars="0"/>
        <w:jc w:val="both"/>
        <w:rPr>
          <w:rFonts w:hint="eastAsia"/>
          <w:sz w:val="22"/>
          <w:szCs w:val="22"/>
        </w:rPr>
      </w:pPr>
      <w:r>
        <w:rPr>
          <w:rFonts w:hint="eastAsia"/>
          <w:sz w:val="22"/>
          <w:szCs w:val="22"/>
        </w:rPr>
        <w:t>知识库问答流程：当判定为专业知识类问题时，系统通过混合检索模块从工程造价知识库中提取候选文档；再经过结果重排序模块筛选最相关的信息，最后由大模型生成模块结合检索结果输出自然语言化回答，从而保证回答既符合规范又具备专业可解释性。</w:t>
      </w:r>
    </w:p>
    <w:p>
      <w:pPr>
        <w:keepNext w:val="0"/>
        <w:keepLines w:val="0"/>
        <w:widowControl w:val="0"/>
        <w:numPr>
          <w:ilvl w:val="0"/>
          <w:numId w:val="1"/>
        </w:numPr>
        <w:suppressLineNumbers w:val="0"/>
        <w:spacing w:before="0" w:beforeAutospacing="0" w:after="0" w:afterAutospacing="0"/>
        <w:ind w:left="425" w:leftChars="0" w:right="0" w:hanging="425" w:firstLineChars="0"/>
        <w:jc w:val="both"/>
        <w:rPr>
          <w:rFonts w:hint="eastAsia"/>
          <w:sz w:val="22"/>
          <w:szCs w:val="22"/>
        </w:rPr>
      </w:pPr>
      <w:r>
        <w:rPr>
          <w:rFonts w:hint="eastAsia"/>
          <w:sz w:val="22"/>
          <w:szCs w:val="22"/>
        </w:rPr>
        <w:t>数据库问答流程：当判定为材料价格类问题时，系统利用大模型进行实体抽取，识别出材料名称、规格型号、品牌及时间等参数，并填充至查询接口，调用多源数据包括信息价数据库、厂商报价库和智慧信息价接口；若接口调用异常，则触发验证机制并调用大模型进行补偿生成，以保证结果完整性与鲁棒性。</w:t>
      </w:r>
    </w:p>
    <w:p>
      <w:pPr>
        <w:keepNext w:val="0"/>
        <w:keepLines w:val="0"/>
        <w:widowControl w:val="0"/>
        <w:numPr>
          <w:ilvl w:val="0"/>
          <w:numId w:val="1"/>
        </w:numPr>
        <w:suppressLineNumbers w:val="0"/>
        <w:spacing w:before="0" w:beforeAutospacing="0" w:after="0" w:afterAutospacing="0"/>
        <w:ind w:left="425" w:leftChars="0" w:right="0" w:hanging="425" w:firstLineChars="0"/>
        <w:jc w:val="both"/>
        <w:rPr>
          <w:color w:val="FF0000"/>
          <w:sz w:val="22"/>
          <w:szCs w:val="22"/>
        </w:rPr>
      </w:pPr>
      <w:r>
        <w:rPr>
          <w:rFonts w:hint="eastAsia"/>
          <w:sz w:val="22"/>
          <w:szCs w:val="22"/>
        </w:rPr>
        <w:t>结果处理与展示：在获取多源价格数据后，系统执行价格推荐函数，计算合理参考价格，并对数据进行可视化处理，输出价格分布图、时间散点图和表格化结果，以便用户直观理解价格走势与分布情况。</w:t>
      </w:r>
    </w:p>
    <w:p>
      <w:pPr>
        <w:keepNext w:val="0"/>
        <w:keepLines w:val="0"/>
        <w:widowControl w:val="0"/>
        <w:numPr>
          <w:ilvl w:val="0"/>
          <w:numId w:val="1"/>
        </w:numPr>
        <w:suppressLineNumbers w:val="0"/>
        <w:spacing w:before="0" w:beforeAutospacing="0" w:after="0" w:afterAutospacing="0"/>
        <w:ind w:left="425" w:leftChars="0" w:right="0" w:hanging="425" w:firstLineChars="0"/>
        <w:jc w:val="both"/>
        <w:rPr>
          <w:color w:val="FF0000"/>
          <w:sz w:val="22"/>
          <w:szCs w:val="22"/>
        </w:rPr>
      </w:pPr>
      <w:r>
        <w:rPr>
          <w:rFonts w:hint="eastAsia"/>
          <w:sz w:val="22"/>
          <w:szCs w:val="22"/>
        </w:rPr>
        <w:t>反馈输出：最终，系统既以自然语言回答提供直接反馈，又以图表化结果展示数据支撑，实现知识与数据相结合的工程造价问答能力。</w:t>
      </w:r>
    </w:p>
    <w:p>
      <w:pPr>
        <w:tabs>
          <w:tab w:val="left" w:pos="0"/>
        </w:tabs>
        <w:spacing w:line="360" w:lineRule="auto"/>
        <w:rPr>
          <w:color w:val="FF0000"/>
          <w:sz w:val="22"/>
          <w:szCs w:val="22"/>
        </w:rPr>
      </w:pPr>
      <w:r>
        <w:rPr>
          <w:rFonts w:hint="eastAsia" w:hAnsi="宋体"/>
          <w:sz w:val="22"/>
          <w:szCs w:val="22"/>
          <w:lang w:val="en-US" w:eastAsia="zh-CN"/>
        </w:rPr>
        <w:t>提供了</w:t>
      </w:r>
      <w:r>
        <w:rPr>
          <w:rFonts w:hint="eastAsia" w:hAnsi="宋体"/>
          <w:sz w:val="22"/>
          <w:szCs w:val="22"/>
        </w:rPr>
        <w:t>一种基于检索增强生成(RAG)的工程造价人机交互问答系统</w:t>
      </w:r>
      <w:r>
        <w:rPr>
          <w:rFonts w:hint="eastAsia" w:hAnsi="宋体"/>
          <w:sz w:val="22"/>
          <w:szCs w:val="22"/>
          <w:lang w:val="en-US" w:eastAsia="zh-CN"/>
        </w:rPr>
        <w:t>的装置</w:t>
      </w:r>
      <w:r>
        <w:rPr>
          <w:rFonts w:hint="eastAsia" w:hAnsi="宋体"/>
          <w:sz w:val="22"/>
          <w:szCs w:val="22"/>
        </w:rPr>
        <w:t>，包括：意图识别模块：用于接收用户自然语言问题并判断问题类型</w:t>
      </w:r>
      <w:r>
        <w:rPr>
          <w:rFonts w:hint="eastAsia" w:hAnsi="宋体"/>
          <w:sz w:val="22"/>
          <w:szCs w:val="22"/>
          <w:lang w:val="en-US" w:eastAsia="zh-CN"/>
        </w:rPr>
        <w:t>; 混合</w:t>
      </w:r>
      <w:r>
        <w:rPr>
          <w:rFonts w:hint="eastAsia" w:hAnsi="宋体"/>
          <w:sz w:val="22"/>
          <w:szCs w:val="22"/>
        </w:rPr>
        <w:t>检索模块：用于在判定为知识类问题时，执行混合检索</w:t>
      </w:r>
      <w:r>
        <w:rPr>
          <w:rFonts w:hint="eastAsia" w:hAnsi="宋体"/>
          <w:sz w:val="22"/>
          <w:szCs w:val="22"/>
          <w:lang w:val="en-US" w:eastAsia="zh-CN"/>
        </w:rPr>
        <w:t>得到与问题相关的文档知识；重排模块：将初步检索</w:t>
      </w:r>
      <w:r>
        <w:rPr>
          <w:rFonts w:hint="eastAsia" w:hAnsi="宋体"/>
          <w:sz w:val="22"/>
          <w:szCs w:val="22"/>
        </w:rPr>
        <w:t>结果重排序并将候选内容传递至生成模块</w:t>
      </w:r>
      <w:r>
        <w:rPr>
          <w:rFonts w:hint="eastAsia" w:hAnsi="宋体"/>
          <w:sz w:val="22"/>
          <w:szCs w:val="22"/>
          <w:lang w:eastAsia="zh-CN"/>
        </w:rPr>
        <w:t>；</w:t>
      </w:r>
      <w:r>
        <w:rPr>
          <w:rFonts w:hint="eastAsia" w:hAnsi="宋体"/>
          <w:sz w:val="22"/>
          <w:szCs w:val="22"/>
          <w:lang w:val="en-US" w:eastAsia="zh-CN"/>
        </w:rPr>
        <w:t>答案</w:t>
      </w:r>
      <w:r>
        <w:rPr>
          <w:rFonts w:hint="eastAsia" w:hAnsi="宋体"/>
          <w:sz w:val="22"/>
          <w:szCs w:val="22"/>
        </w:rPr>
        <w:t>生成模块：用于结合检索结果输出符合规范、具有可解释性的自然语言回答</w:t>
      </w:r>
      <w:r>
        <w:rPr>
          <w:rFonts w:hint="eastAsia" w:hAnsi="宋体"/>
          <w:sz w:val="22"/>
          <w:szCs w:val="22"/>
          <w:lang w:eastAsia="zh-CN"/>
        </w:rPr>
        <w:t>；</w:t>
      </w:r>
      <w:r>
        <w:rPr>
          <w:rFonts w:hint="eastAsia" w:hAnsi="宋体"/>
          <w:sz w:val="22"/>
          <w:szCs w:val="22"/>
        </w:rPr>
        <w:t>实体抽取模块：用于在判定为材料价格问题时，从问题中识别材料相关参数</w:t>
      </w:r>
      <w:r>
        <w:rPr>
          <w:rFonts w:hint="eastAsia" w:hAnsi="宋体"/>
          <w:sz w:val="22"/>
          <w:szCs w:val="22"/>
          <w:lang w:eastAsia="zh-CN"/>
        </w:rPr>
        <w:t>；</w:t>
      </w:r>
      <w:r>
        <w:rPr>
          <w:rFonts w:hint="eastAsia" w:hAnsi="宋体"/>
          <w:sz w:val="22"/>
          <w:szCs w:val="22"/>
        </w:rPr>
        <w:t>多源查询模块：用于基于参数调用信息价</w:t>
      </w:r>
      <w:r>
        <w:rPr>
          <w:rFonts w:hint="eastAsia" w:hAnsi="宋体"/>
          <w:sz w:val="22"/>
          <w:szCs w:val="22"/>
          <w:lang w:val="en-US" w:eastAsia="zh-CN"/>
        </w:rPr>
        <w:t>及</w:t>
      </w:r>
      <w:r>
        <w:rPr>
          <w:rFonts w:hint="eastAsia" w:hAnsi="宋体"/>
          <w:sz w:val="22"/>
          <w:szCs w:val="22"/>
        </w:rPr>
        <w:t>厂商报价接口，并具备异常检测与补偿生成机制</w:t>
      </w:r>
      <w:r>
        <w:rPr>
          <w:rFonts w:hint="eastAsia" w:hAnsi="宋体"/>
          <w:sz w:val="22"/>
          <w:szCs w:val="22"/>
          <w:lang w:eastAsia="zh-CN"/>
        </w:rPr>
        <w:t>；</w:t>
      </w:r>
      <w:r>
        <w:rPr>
          <w:rFonts w:hint="eastAsia" w:hAnsi="宋体"/>
          <w:sz w:val="22"/>
          <w:szCs w:val="22"/>
        </w:rPr>
        <w:t>推荐</w:t>
      </w:r>
      <w:r>
        <w:rPr>
          <w:rFonts w:hint="eastAsia" w:hAnsi="宋体"/>
          <w:sz w:val="22"/>
          <w:szCs w:val="22"/>
          <w:lang w:val="en-US" w:eastAsia="zh-CN"/>
        </w:rPr>
        <w:t>函数计算模块</w:t>
      </w:r>
      <w:r>
        <w:rPr>
          <w:rFonts w:hint="eastAsia" w:hAnsi="宋体"/>
          <w:sz w:val="22"/>
          <w:szCs w:val="22"/>
        </w:rPr>
        <w:t>：</w:t>
      </w:r>
      <w:r>
        <w:rPr>
          <w:rFonts w:hint="eastAsia" w:hAnsi="宋体"/>
          <w:sz w:val="22"/>
          <w:szCs w:val="22"/>
          <w:lang w:val="en-US" w:eastAsia="zh-CN"/>
        </w:rPr>
        <w:t>基于设计好的推荐价格算法</w:t>
      </w:r>
      <w:r>
        <w:rPr>
          <w:rFonts w:hint="eastAsia" w:hAnsi="宋体"/>
          <w:sz w:val="22"/>
          <w:szCs w:val="22"/>
        </w:rPr>
        <w:t>对价格数据进行计算推荐</w:t>
      </w:r>
      <w:r>
        <w:rPr>
          <w:rFonts w:hint="eastAsia" w:hAnsi="宋体"/>
          <w:sz w:val="22"/>
          <w:szCs w:val="22"/>
          <w:lang w:eastAsia="zh-CN"/>
        </w:rPr>
        <w:t>；</w:t>
      </w:r>
      <w:r>
        <w:rPr>
          <w:rFonts w:hint="eastAsia" w:hAnsi="宋体"/>
          <w:sz w:val="22"/>
          <w:szCs w:val="22"/>
          <w:lang w:val="en-US" w:eastAsia="zh-CN"/>
        </w:rPr>
        <w:t>数据</w:t>
      </w:r>
      <w:r>
        <w:rPr>
          <w:rFonts w:hint="eastAsia" w:hAnsi="宋体"/>
          <w:sz w:val="22"/>
          <w:szCs w:val="22"/>
        </w:rPr>
        <w:t>可视化模块</w:t>
      </w:r>
      <w:r>
        <w:rPr>
          <w:rFonts w:hint="eastAsia" w:hAnsi="宋体"/>
          <w:sz w:val="22"/>
          <w:szCs w:val="22"/>
          <w:lang w:eastAsia="zh-CN"/>
        </w:rPr>
        <w:t>：</w:t>
      </w:r>
      <w:r>
        <w:rPr>
          <w:rFonts w:hint="eastAsia" w:hAnsi="宋体"/>
          <w:sz w:val="22"/>
          <w:szCs w:val="22"/>
          <w:lang w:val="en-US" w:eastAsia="zh-CN"/>
        </w:rPr>
        <w:t>根据返回价格数据</w:t>
      </w:r>
      <w:r>
        <w:rPr>
          <w:rFonts w:hint="eastAsia" w:hAnsi="宋体"/>
          <w:sz w:val="22"/>
          <w:szCs w:val="22"/>
        </w:rPr>
        <w:t>输出分布图、散点图及表格化结果</w:t>
      </w:r>
      <w:r>
        <w:rPr>
          <w:rFonts w:hint="eastAsia" w:hAnsi="宋体"/>
          <w:sz w:val="22"/>
          <w:szCs w:val="22"/>
          <w:lang w:eastAsia="zh-CN"/>
        </w:rPr>
        <w:t>；</w:t>
      </w:r>
      <w:r>
        <w:rPr>
          <w:rFonts w:hint="eastAsia" w:hAnsi="宋体"/>
          <w:sz w:val="22"/>
          <w:szCs w:val="22"/>
        </w:rPr>
        <w:t>结果输出模块：</w:t>
      </w:r>
      <w:r>
        <w:rPr>
          <w:rFonts w:hint="eastAsia"/>
          <w:sz w:val="22"/>
          <w:szCs w:val="22"/>
        </w:rPr>
        <w:t>通过大语言模型生成自然语言化的答案反馈用户问题</w:t>
      </w:r>
      <w:r>
        <w:rPr>
          <w:rFonts w:hint="eastAsia"/>
          <w:sz w:val="22"/>
          <w:szCs w:val="22"/>
          <w:lang w:val="en-US" w:eastAsia="zh-CN"/>
        </w:rPr>
        <w:t>以及</w:t>
      </w:r>
      <w:r>
        <w:rPr>
          <w:rFonts w:hint="eastAsia" w:hAnsi="宋体"/>
          <w:sz w:val="22"/>
          <w:szCs w:val="22"/>
        </w:rPr>
        <w:t>可视化结果组合展示给用户。</w:t>
      </w:r>
    </w:p>
    <w:p>
      <w:pPr>
        <w:pStyle w:val="2"/>
        <w:spacing w:before="0" w:after="0" w:line="360" w:lineRule="auto"/>
        <w:rPr>
          <w:sz w:val="22"/>
          <w:szCs w:val="22"/>
        </w:rPr>
      </w:pPr>
      <w:bookmarkStart w:id="0" w:name="_Hlk14183616"/>
      <w:r>
        <w:rPr>
          <w:rFonts w:hint="eastAsia"/>
          <w:sz w:val="22"/>
          <w:szCs w:val="22"/>
        </w:rPr>
        <w:t>5.</w:t>
      </w:r>
      <w:r>
        <w:rPr>
          <w:sz w:val="22"/>
          <w:szCs w:val="22"/>
        </w:rPr>
        <w:t xml:space="preserve"> 优点和效果</w:t>
      </w:r>
    </w:p>
    <w:bookmarkEnd w:id="0"/>
    <w:p>
      <w:pPr>
        <w:tabs>
          <w:tab w:val="left" w:pos="0"/>
        </w:tabs>
        <w:spacing w:line="360" w:lineRule="auto"/>
        <w:ind w:firstLine="440" w:firstLineChars="200"/>
        <w:rPr>
          <w:rFonts w:hint="eastAsia" w:hAnsi="宋体"/>
          <w:sz w:val="22"/>
          <w:szCs w:val="22"/>
        </w:rPr>
      </w:pPr>
      <w:r>
        <w:rPr>
          <w:rFonts w:hint="eastAsia" w:hAnsi="宋体"/>
          <w:sz w:val="22"/>
          <w:szCs w:val="22"/>
        </w:rPr>
        <w:t>本发明与现有技术相比，具有如下优点和有益效果：</w:t>
      </w:r>
    </w:p>
    <w:p>
      <w:pPr>
        <w:numPr>
          <w:ilvl w:val="1"/>
          <w:numId w:val="1"/>
        </w:numPr>
        <w:tabs>
          <w:tab w:val="left" w:pos="0"/>
          <w:tab w:val="clear" w:pos="840"/>
        </w:tabs>
        <w:spacing w:line="360" w:lineRule="auto"/>
        <w:ind w:left="840" w:leftChars="0" w:hanging="420" w:firstLineChars="0"/>
        <w:rPr>
          <w:rFonts w:hint="eastAsia" w:hAnsi="宋体"/>
          <w:sz w:val="22"/>
          <w:szCs w:val="22"/>
        </w:rPr>
      </w:pPr>
      <w:r>
        <w:rPr>
          <w:rFonts w:hint="eastAsia" w:hAnsi="宋体"/>
          <w:sz w:val="22"/>
          <w:szCs w:val="22"/>
        </w:rPr>
        <w:t>提升问题覆盖范围与回答完整性</w:t>
      </w:r>
      <w:r>
        <w:rPr>
          <w:rFonts w:hint="eastAsia" w:hAnsi="宋体"/>
          <w:sz w:val="22"/>
          <w:szCs w:val="22"/>
          <w:lang w:eastAsia="zh-CN"/>
        </w:rPr>
        <w:t>：</w:t>
      </w:r>
      <w:r>
        <w:rPr>
          <w:rFonts w:hint="eastAsia" w:hAnsi="宋体"/>
          <w:sz w:val="22"/>
          <w:szCs w:val="22"/>
        </w:rPr>
        <w:t>本发明通过设置混合检索模块与大模型生成模块，实现了对非结构化文档的灵活检索与自然语言生成，能够有效覆盖开放式与组合型问题，从而克服了现有规则与关键词匹配依赖预设模板、覆盖面有限的缺陷。</w:t>
      </w:r>
    </w:p>
    <w:p>
      <w:pPr>
        <w:numPr>
          <w:ilvl w:val="1"/>
          <w:numId w:val="1"/>
        </w:numPr>
        <w:tabs>
          <w:tab w:val="left" w:pos="0"/>
          <w:tab w:val="clear" w:pos="840"/>
        </w:tabs>
        <w:spacing w:line="360" w:lineRule="auto"/>
        <w:ind w:left="840" w:leftChars="0" w:hanging="420" w:firstLineChars="0"/>
        <w:rPr>
          <w:rFonts w:hint="eastAsia" w:hAnsi="宋体"/>
          <w:sz w:val="22"/>
          <w:szCs w:val="22"/>
        </w:rPr>
      </w:pPr>
      <w:r>
        <w:rPr>
          <w:rFonts w:hint="eastAsia" w:hAnsi="宋体"/>
          <w:sz w:val="22"/>
          <w:szCs w:val="22"/>
        </w:rPr>
        <w:t>保证回答时效性与完整性</w:t>
      </w:r>
      <w:r>
        <w:rPr>
          <w:rFonts w:hint="eastAsia" w:hAnsi="宋体"/>
          <w:sz w:val="22"/>
          <w:szCs w:val="22"/>
          <w:lang w:eastAsia="zh-CN"/>
        </w:rPr>
        <w:t>：</w:t>
      </w:r>
      <w:r>
        <w:rPr>
          <w:rFonts w:hint="eastAsia" w:hAnsi="宋体"/>
          <w:sz w:val="22"/>
          <w:szCs w:val="22"/>
        </w:rPr>
        <w:t>本发明采用向量化表示与实时检索机制，能够从动态更新的造价知识库与材料数据库中直接获取答案，实现了对最新规范与数据的快速响应，从而解决了现有相似度匹配系统受限于问答库规模和更新频率、导致答案滞后或缺失的问题。</w:t>
      </w:r>
    </w:p>
    <w:p>
      <w:pPr>
        <w:numPr>
          <w:ilvl w:val="1"/>
          <w:numId w:val="1"/>
        </w:numPr>
        <w:tabs>
          <w:tab w:val="left" w:pos="0"/>
          <w:tab w:val="clear" w:pos="840"/>
        </w:tabs>
        <w:spacing w:line="360" w:lineRule="auto"/>
        <w:ind w:left="840" w:leftChars="0" w:hanging="420" w:firstLineChars="0"/>
        <w:rPr>
          <w:rFonts w:hint="eastAsia" w:hAnsi="宋体"/>
          <w:sz w:val="22"/>
          <w:szCs w:val="22"/>
        </w:rPr>
      </w:pPr>
      <w:r>
        <w:rPr>
          <w:rFonts w:hint="eastAsia" w:hAnsi="宋体"/>
          <w:sz w:val="22"/>
          <w:szCs w:val="22"/>
        </w:rPr>
        <w:t>降低知识维护成本并增强实时性</w:t>
      </w:r>
      <w:r>
        <w:rPr>
          <w:rFonts w:hint="eastAsia" w:hAnsi="宋体"/>
          <w:sz w:val="22"/>
          <w:szCs w:val="22"/>
          <w:lang w:eastAsia="zh-CN"/>
        </w:rPr>
        <w:t>：</w:t>
      </w:r>
      <w:r>
        <w:rPr>
          <w:rFonts w:hint="eastAsia" w:hAnsi="宋体"/>
          <w:sz w:val="22"/>
          <w:szCs w:val="22"/>
        </w:rPr>
        <w:t>本发明通过实体抽取与多源接口调用模块，在无需复杂知识图谱构建的情况下即可自动识别并调用最新的材料信息与价格数据，有效降低了知识维护成本，并能够及时适应规范和市场价格的频繁变化，从而克服了现有知识图谱构建与维护成本高、更新不及时的缺陷。</w:t>
      </w:r>
    </w:p>
    <w:p>
      <w:pPr>
        <w:pStyle w:val="2"/>
        <w:spacing w:before="0" w:after="0" w:line="360" w:lineRule="auto"/>
        <w:rPr>
          <w:sz w:val="22"/>
          <w:szCs w:val="22"/>
        </w:rPr>
      </w:pPr>
      <w:r>
        <w:rPr>
          <w:rFonts w:hint="eastAsia"/>
          <w:sz w:val="22"/>
          <w:szCs w:val="22"/>
        </w:rPr>
        <w:t>6.</w:t>
      </w:r>
      <w:r>
        <w:rPr>
          <w:sz w:val="22"/>
          <w:szCs w:val="22"/>
        </w:rPr>
        <w:t xml:space="preserve"> 附图说明</w:t>
      </w:r>
    </w:p>
    <w:p>
      <w:pPr>
        <w:adjustRightInd w:val="0"/>
        <w:snapToGrid w:val="0"/>
        <w:spacing w:line="360" w:lineRule="auto"/>
        <w:ind w:firstLine="440" w:firstLineChars="200"/>
        <w:rPr>
          <w:color w:val="FF0000"/>
          <w:sz w:val="22"/>
          <w:szCs w:val="22"/>
        </w:rPr>
      </w:pPr>
      <w:r>
        <w:rPr>
          <w:rFonts w:hint="eastAsia"/>
          <w:color w:val="FF0000"/>
          <w:sz w:val="22"/>
          <w:szCs w:val="22"/>
        </w:rPr>
        <w:t>（最好给出CAD线条图或Visio图，以便我司编辑）</w:t>
      </w:r>
    </w:p>
    <w:p>
      <w:pPr>
        <w:tabs>
          <w:tab w:val="left" w:pos="0"/>
        </w:tabs>
        <w:spacing w:line="360" w:lineRule="auto"/>
        <w:ind w:firstLine="440" w:firstLineChars="200"/>
        <w:rPr>
          <w:sz w:val="22"/>
          <w:szCs w:val="22"/>
        </w:rPr>
      </w:pPr>
      <w:r>
        <w:rPr>
          <w:rFonts w:hint="eastAsia" w:hAnsi="宋体"/>
          <w:color w:val="FF0000"/>
          <w:sz w:val="22"/>
          <w:szCs w:val="22"/>
        </w:rPr>
        <w:t>[附图说明：应写明各附图的图名和图号，除流程图外，不要出现文字]</w:t>
      </w:r>
    </w:p>
    <w:p>
      <w:pPr>
        <w:spacing w:line="360" w:lineRule="auto"/>
        <w:ind w:firstLine="440" w:firstLineChars="200"/>
        <w:rPr>
          <w:sz w:val="22"/>
          <w:szCs w:val="22"/>
        </w:rPr>
      </w:pPr>
      <w:r>
        <w:rPr>
          <w:rFonts w:hint="eastAsia"/>
          <w:sz w:val="22"/>
          <w:szCs w:val="22"/>
        </w:rPr>
        <w:t>图1是本发明系统结构框图；</w:t>
      </w:r>
    </w:p>
    <w:p>
      <w:pPr>
        <w:spacing w:line="360" w:lineRule="auto"/>
        <w:ind w:firstLine="440" w:firstLineChars="200"/>
        <w:rPr>
          <w:sz w:val="22"/>
          <w:szCs w:val="22"/>
        </w:rPr>
      </w:pPr>
      <w:r>
        <w:rPr>
          <w:rFonts w:hint="eastAsia"/>
          <w:sz w:val="22"/>
          <w:szCs w:val="22"/>
        </w:rPr>
        <w:t>图2是本发明方法的流程图。</w:t>
      </w:r>
    </w:p>
    <w:p>
      <w:pPr>
        <w:spacing w:line="360" w:lineRule="auto"/>
        <w:ind w:firstLine="440" w:firstLineChars="200"/>
        <w:rPr>
          <w:color w:val="FF0000"/>
          <w:sz w:val="22"/>
          <w:szCs w:val="22"/>
        </w:rPr>
      </w:pPr>
      <w:r>
        <w:rPr>
          <w:rFonts w:hint="eastAsia"/>
          <w:sz w:val="22"/>
          <w:szCs w:val="22"/>
        </w:rPr>
        <w:t>图1中：1-……；2-……；</w:t>
      </w:r>
      <w:r>
        <w:rPr>
          <w:rFonts w:hint="eastAsia"/>
          <w:color w:val="FF0000"/>
          <w:sz w:val="22"/>
          <w:szCs w:val="22"/>
        </w:rPr>
        <w:t>（装置中各标号代表的结构最好在这里集中进行标注）</w:t>
      </w:r>
    </w:p>
    <w:p>
      <w:pPr>
        <w:spacing w:line="360" w:lineRule="auto"/>
        <w:ind w:firstLine="440" w:firstLineChars="200"/>
        <w:rPr>
          <w:color w:val="FF0000"/>
          <w:sz w:val="22"/>
          <w:szCs w:val="22"/>
        </w:rPr>
      </w:pPr>
    </w:p>
    <w:p>
      <w:pPr>
        <w:pStyle w:val="2"/>
        <w:spacing w:before="0" w:after="0" w:line="360" w:lineRule="auto"/>
        <w:rPr>
          <w:sz w:val="22"/>
          <w:szCs w:val="22"/>
        </w:rPr>
      </w:pPr>
      <w:bookmarkStart w:id="1" w:name="_Hlk14183939"/>
      <w:r>
        <w:rPr>
          <w:rFonts w:hint="eastAsia"/>
          <w:sz w:val="22"/>
          <w:szCs w:val="22"/>
        </w:rPr>
        <w:t>7.</w:t>
      </w:r>
      <w:r>
        <w:rPr>
          <w:sz w:val="22"/>
          <w:szCs w:val="22"/>
        </w:rPr>
        <w:t xml:space="preserve"> 说明书附图</w:t>
      </w:r>
    </w:p>
    <w:p>
      <w:pPr>
        <w:spacing w:line="360" w:lineRule="auto"/>
        <w:ind w:firstLine="440" w:firstLineChars="200"/>
        <w:rPr>
          <w:rFonts w:hint="eastAsia" w:ascii="宋体" w:hAnsi="宋体"/>
          <w:color w:val="FF0000"/>
          <w:sz w:val="22"/>
          <w:szCs w:val="22"/>
        </w:rPr>
      </w:pPr>
      <w:r>
        <w:rPr>
          <w:rFonts w:hint="eastAsia" w:ascii="宋体" w:hAnsi="宋体"/>
          <w:color w:val="FF0000"/>
          <w:sz w:val="22"/>
          <w:szCs w:val="22"/>
        </w:rPr>
        <w:t>[说明书附图：有多幅附图时，各幅图中的同一零部件应使用相同的附图标记。附图中除流程图和必要的文字外，不应当含有中文注释，应使用制图工具按照制图规范绘制，图形线条为黑色，图上不得着色，即不能有灰度或彩色背景]</w:t>
      </w:r>
    </w:p>
    <w:p>
      <w:pPr>
        <w:spacing w:line="360" w:lineRule="auto"/>
        <w:ind w:firstLine="440" w:firstLineChars="200"/>
        <w:rPr>
          <w:rFonts w:hint="eastAsia" w:ascii="宋体" w:hAnsi="宋体"/>
          <w:color w:val="FF0000"/>
          <w:sz w:val="22"/>
          <w:szCs w:val="22"/>
        </w:rPr>
      </w:pPr>
    </w:p>
    <w:p>
      <w:pPr>
        <w:spacing w:line="360" w:lineRule="auto"/>
        <w:ind w:firstLine="440" w:firstLineChars="200"/>
        <w:rPr>
          <w:rFonts w:hint="eastAsia" w:ascii="宋体" w:hAnsi="宋体"/>
          <w:color w:val="auto"/>
          <w:sz w:val="22"/>
          <w:szCs w:val="22"/>
        </w:rPr>
      </w:pPr>
      <w:r>
        <w:rPr>
          <w:rFonts w:hint="eastAsia" w:ascii="宋体" w:hAnsi="宋体"/>
          <w:color w:val="auto"/>
          <w:sz w:val="22"/>
          <w:szCs w:val="22"/>
        </w:rPr>
        <w:t>图1是本发明提供的</w:t>
      </w:r>
      <w:r>
        <w:rPr>
          <w:rFonts w:hint="eastAsia"/>
          <w:sz w:val="22"/>
          <w:szCs w:val="22"/>
        </w:rPr>
        <w:t>基于检索增强生成的工程造价</w:t>
      </w:r>
      <w:r>
        <w:rPr>
          <w:rFonts w:hint="eastAsia"/>
          <w:sz w:val="22"/>
          <w:szCs w:val="22"/>
          <w:lang w:val="en-US" w:eastAsia="zh-CN"/>
        </w:rPr>
        <w:t>人机交互</w:t>
      </w:r>
      <w:r>
        <w:rPr>
          <w:rFonts w:hint="eastAsia"/>
          <w:sz w:val="22"/>
          <w:szCs w:val="22"/>
        </w:rPr>
        <w:t>问答系统</w:t>
      </w:r>
      <w:r>
        <w:rPr>
          <w:rFonts w:hint="eastAsia" w:ascii="宋体" w:hAnsi="宋体"/>
          <w:color w:val="auto"/>
          <w:sz w:val="22"/>
          <w:szCs w:val="22"/>
        </w:rPr>
        <w:t>的流程示意图</w:t>
      </w:r>
    </w:p>
    <w:p>
      <w:pPr>
        <w:spacing w:line="360" w:lineRule="auto"/>
        <w:ind w:firstLine="440" w:firstLineChars="200"/>
        <w:rPr>
          <w:rFonts w:hint="eastAsia" w:ascii="宋体" w:hAnsi="宋体"/>
          <w:color w:val="auto"/>
          <w:sz w:val="22"/>
          <w:szCs w:val="22"/>
        </w:rPr>
      </w:pPr>
      <w:r>
        <w:rPr>
          <w:rFonts w:hint="eastAsia" w:ascii="宋体" w:hAnsi="宋体"/>
          <w:color w:val="auto"/>
          <w:sz w:val="22"/>
          <w:szCs w:val="22"/>
        </w:rPr>
        <w:t>图2是本发明提供的</w:t>
      </w:r>
      <w:r>
        <w:rPr>
          <w:rFonts w:hint="eastAsia"/>
          <w:sz w:val="22"/>
          <w:szCs w:val="22"/>
        </w:rPr>
        <w:t>基于检索增强生成的工程造价</w:t>
      </w:r>
      <w:r>
        <w:rPr>
          <w:rFonts w:hint="eastAsia"/>
          <w:sz w:val="22"/>
          <w:szCs w:val="22"/>
          <w:lang w:val="en-US" w:eastAsia="zh-CN"/>
        </w:rPr>
        <w:t>人机交互</w:t>
      </w:r>
      <w:r>
        <w:rPr>
          <w:rFonts w:hint="eastAsia"/>
          <w:sz w:val="22"/>
          <w:szCs w:val="22"/>
        </w:rPr>
        <w:t>问答系统</w:t>
      </w:r>
      <w:r>
        <w:rPr>
          <w:rFonts w:hint="eastAsia" w:ascii="宋体" w:hAnsi="宋体"/>
          <w:color w:val="auto"/>
          <w:sz w:val="22"/>
          <w:szCs w:val="22"/>
        </w:rPr>
        <w:t>的步骤示意图</w:t>
      </w:r>
    </w:p>
    <w:p>
      <w:pPr>
        <w:spacing w:line="360" w:lineRule="auto"/>
        <w:ind w:firstLine="440" w:firstLineChars="200"/>
        <w:rPr>
          <w:rFonts w:hint="eastAsia" w:ascii="宋体" w:hAnsi="宋体"/>
          <w:color w:val="auto"/>
          <w:sz w:val="22"/>
          <w:szCs w:val="22"/>
        </w:rPr>
      </w:pPr>
      <w:bookmarkStart w:id="6" w:name="_GoBack"/>
      <w:bookmarkEnd w:id="6"/>
    </w:p>
    <w:p>
      <w:pPr>
        <w:spacing w:line="360" w:lineRule="auto"/>
        <w:ind w:firstLine="420" w:firstLineChars="200"/>
      </w:pPr>
      <w:r>
        <w:drawing>
          <wp:inline distT="0" distB="0" distL="114300" distR="114300">
            <wp:extent cx="5752465" cy="3300730"/>
            <wp:effectExtent l="0" t="0" r="127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752465" cy="3300730"/>
                    </a:xfrm>
                    <a:prstGeom prst="rect">
                      <a:avLst/>
                    </a:prstGeom>
                    <a:noFill/>
                    <a:ln>
                      <a:noFill/>
                    </a:ln>
                  </pic:spPr>
                </pic:pic>
              </a:graphicData>
            </a:graphic>
          </wp:inline>
        </w:drawing>
      </w:r>
    </w:p>
    <w:p>
      <w:pPr>
        <w:pStyle w:val="3"/>
        <w:spacing w:line="360" w:lineRule="auto"/>
        <w:ind w:firstLine="400" w:firstLineChars="200"/>
        <w:jc w:val="center"/>
        <w:rPr>
          <w:rFonts w:hint="eastAsia" w:eastAsia="宋体"/>
          <w:lang w:eastAsia="zh-CN"/>
        </w:rPr>
      </w:pPr>
      <w:r>
        <w:t xml:space="preserve">图 </w:t>
      </w:r>
      <w:r>
        <w:fldChar w:fldCharType="begin"/>
      </w:r>
      <w:r>
        <w:instrText xml:space="preserve"> SEQ 图 \* ARABIC </w:instrText>
      </w:r>
      <w:r>
        <w:fldChar w:fldCharType="separate"/>
      </w:r>
      <w:r>
        <w:t>1</w:t>
      </w:r>
      <w:r>
        <w:fldChar w:fldCharType="end"/>
      </w:r>
    </w:p>
    <w:p>
      <w:pPr>
        <w:spacing w:line="360" w:lineRule="auto"/>
        <w:ind w:firstLine="420" w:firstLineChars="200"/>
      </w:pPr>
    </w:p>
    <w:p>
      <w:pPr>
        <w:spacing w:line="360" w:lineRule="auto"/>
        <w:ind w:firstLine="420" w:firstLineChars="200"/>
        <w:rPr>
          <w:rFonts w:hint="eastAsia"/>
        </w:rPr>
      </w:pPr>
    </w:p>
    <w:bookmarkEnd w:id="1"/>
    <w:p>
      <w:pPr>
        <w:spacing w:line="360" w:lineRule="auto"/>
        <w:ind w:firstLine="420" w:firstLineChars="200"/>
      </w:pPr>
      <w:r>
        <w:drawing>
          <wp:inline distT="0" distB="0" distL="114300" distR="114300">
            <wp:extent cx="5755005" cy="2847340"/>
            <wp:effectExtent l="0" t="0" r="952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5755005" cy="2847340"/>
                    </a:xfrm>
                    <a:prstGeom prst="rect">
                      <a:avLst/>
                    </a:prstGeom>
                    <a:noFill/>
                    <a:ln>
                      <a:noFill/>
                    </a:ln>
                  </pic:spPr>
                </pic:pic>
              </a:graphicData>
            </a:graphic>
          </wp:inline>
        </w:drawing>
      </w:r>
    </w:p>
    <w:p>
      <w:pPr>
        <w:pStyle w:val="3"/>
        <w:spacing w:line="360" w:lineRule="auto"/>
        <w:ind w:firstLine="400" w:firstLineChars="200"/>
        <w:jc w:val="center"/>
      </w:pPr>
      <w:r>
        <w:t xml:space="preserve">图 </w:t>
      </w:r>
      <w:r>
        <w:fldChar w:fldCharType="begin"/>
      </w:r>
      <w:r>
        <w:instrText xml:space="preserve"> SEQ 图 \* ARABIC </w:instrText>
      </w:r>
      <w:r>
        <w:fldChar w:fldCharType="separate"/>
      </w:r>
      <w:r>
        <w:t>2</w:t>
      </w:r>
      <w:r>
        <w:fldChar w:fldCharType="end"/>
      </w:r>
    </w:p>
    <w:p>
      <w:pPr>
        <w:pStyle w:val="2"/>
        <w:spacing w:before="0" w:after="0" w:line="360" w:lineRule="auto"/>
        <w:rPr>
          <w:sz w:val="22"/>
          <w:szCs w:val="22"/>
        </w:rPr>
      </w:pPr>
      <w:bookmarkStart w:id="2" w:name="_Hlk14183794"/>
      <w:r>
        <w:rPr>
          <w:rFonts w:hint="eastAsia"/>
          <w:sz w:val="22"/>
          <w:szCs w:val="22"/>
        </w:rPr>
        <w:t>8.</w:t>
      </w:r>
      <w:r>
        <w:rPr>
          <w:sz w:val="22"/>
          <w:szCs w:val="22"/>
        </w:rPr>
        <w:t xml:space="preserve"> 摘要附图</w:t>
      </w:r>
      <w:r>
        <w:rPr>
          <w:rFonts w:hint="eastAsia"/>
          <w:sz w:val="22"/>
          <w:szCs w:val="22"/>
        </w:rPr>
        <w:t>（可选项）</w:t>
      </w:r>
    </w:p>
    <w:p>
      <w:pPr>
        <w:spacing w:line="360" w:lineRule="auto"/>
        <w:ind w:firstLine="440" w:firstLineChars="200"/>
        <w:rPr>
          <w:rFonts w:ascii="宋体" w:hAnsi="宋体"/>
          <w:color w:val="FF0000"/>
          <w:sz w:val="22"/>
          <w:szCs w:val="22"/>
        </w:rPr>
      </w:pPr>
      <w:r>
        <w:rPr>
          <w:rFonts w:hint="eastAsia" w:ascii="宋体" w:hAnsi="宋体"/>
          <w:color w:val="FF0000"/>
          <w:sz w:val="22"/>
          <w:szCs w:val="22"/>
        </w:rPr>
        <w:t>请从说明书附图中选出最能反映专利特征的附图作为摘要附图。</w:t>
      </w:r>
    </w:p>
    <w:p>
      <w:pPr>
        <w:spacing w:line="360" w:lineRule="auto"/>
        <w:ind w:firstLine="440" w:firstLineChars="200"/>
        <w:rPr>
          <w:rFonts w:ascii="宋体" w:hAnsi="宋体"/>
          <w:color w:val="FF0000"/>
          <w:sz w:val="22"/>
          <w:szCs w:val="22"/>
        </w:rPr>
      </w:pPr>
    </w:p>
    <w:bookmarkEnd w:id="2"/>
    <w:p>
      <w:pPr>
        <w:pStyle w:val="2"/>
        <w:numPr>
          <w:ilvl w:val="0"/>
          <w:numId w:val="2"/>
        </w:numPr>
        <w:spacing w:before="0" w:after="0" w:line="360" w:lineRule="auto"/>
        <w:rPr>
          <w:sz w:val="22"/>
          <w:szCs w:val="22"/>
        </w:rPr>
      </w:pPr>
      <w:r>
        <w:rPr>
          <w:sz w:val="22"/>
          <w:szCs w:val="22"/>
        </w:rPr>
        <w:t>具体实施方式</w:t>
      </w:r>
    </w:p>
    <w:p>
      <w:pPr>
        <w:spacing w:line="360" w:lineRule="auto"/>
        <w:ind w:firstLine="440" w:firstLineChars="200"/>
        <w:rPr>
          <w:rFonts w:hint="eastAsia"/>
          <w:sz w:val="22"/>
          <w:szCs w:val="22"/>
        </w:rPr>
      </w:pPr>
      <w:r>
        <w:rPr>
          <w:sz w:val="22"/>
          <w:szCs w:val="22"/>
        </w:rPr>
        <w:t>下面结合实施例及附图对本发明作进一步详细的描述，但本发明的实施方式不限于此。</w:t>
      </w:r>
      <w:r>
        <w:rPr>
          <w:rFonts w:hint="eastAsia"/>
          <w:sz w:val="22"/>
          <w:szCs w:val="22"/>
        </w:rPr>
        <w:t xml:space="preserve">如图 </w:t>
      </w:r>
      <w:r>
        <w:rPr>
          <w:rFonts w:hint="eastAsia"/>
          <w:sz w:val="22"/>
          <w:szCs w:val="22"/>
          <w:lang w:val="en-US" w:eastAsia="zh-CN"/>
        </w:rPr>
        <w:t>1</w:t>
      </w:r>
      <w:r>
        <w:rPr>
          <w:rFonts w:hint="eastAsia"/>
          <w:sz w:val="22"/>
          <w:szCs w:val="22"/>
        </w:rPr>
        <w:t>所示，该方法的整体流程包括以下步骤：在步骤 S202 中，系统接收用户输入的自然语言问题，问题可能涉及工程造价领域的知识性问答，也可能涉及材料价格的查询与推荐。用户输入可通过多种形式的终端完成，本公开对终端类型不作限定。在步骤 S204 中，系统对用户输入的问题进行意图识别。具体地，可以基于</w:t>
      </w:r>
      <w:r>
        <w:rPr>
          <w:rFonts w:hint="eastAsia"/>
          <w:sz w:val="22"/>
          <w:szCs w:val="22"/>
          <w:lang w:val="en-US" w:eastAsia="zh-CN"/>
        </w:rPr>
        <w:t>大模型</w:t>
      </w:r>
      <w:r>
        <w:rPr>
          <w:rFonts w:hint="eastAsia"/>
          <w:sz w:val="22"/>
          <w:szCs w:val="22"/>
        </w:rPr>
        <w:t>对问题语义进行分析，以判断该问题是属于工程造价知识类问答，还是属于材料价格类问答，从而进入不同的处理流程。在步骤 S206 中，当判定为知识类问题时，系统通过混合检索模块访问预先构建的工程造价知识库，检索与输入问题相关的候选信息，再通过</w:t>
      </w:r>
      <w:r>
        <w:rPr>
          <w:rFonts w:hint="eastAsia"/>
          <w:sz w:val="22"/>
          <w:szCs w:val="22"/>
          <w:lang w:val="en-US" w:eastAsia="zh-CN"/>
        </w:rPr>
        <w:t>重排模块使用</w:t>
      </w:r>
      <w:r>
        <w:rPr>
          <w:rFonts w:hint="eastAsia"/>
          <w:sz w:val="22"/>
          <w:szCs w:val="22"/>
        </w:rPr>
        <w:t>结果重排序模型对候选内容进行筛选，得到与问题最为相关的参考资料。随后，系统</w:t>
      </w:r>
      <w:r>
        <w:rPr>
          <w:rFonts w:hint="eastAsia"/>
          <w:sz w:val="22"/>
          <w:szCs w:val="22"/>
          <w:lang w:val="en-US" w:eastAsia="zh-CN"/>
        </w:rPr>
        <w:t>调用答案生成模块</w:t>
      </w:r>
      <w:r>
        <w:rPr>
          <w:rFonts w:hint="eastAsia"/>
          <w:sz w:val="22"/>
          <w:szCs w:val="22"/>
        </w:rPr>
        <w:t>将这些资料填充到预设的提示词模板中，输入至大语言模型，生成逻辑连贯且专业化的自然语言回答，从而保证输出结果的准确性与可解释性。在步骤 S208 中，当判定为材料价格类问题时，系统首先调用实体抽取模块，从问题中识别出材料名称、规格型号、品牌和时间等核心要素，并将其作为参数填充到价格查询接口。在步骤 S210 中，系统基于所抽取的参数</w:t>
      </w:r>
      <w:r>
        <w:rPr>
          <w:rFonts w:hint="eastAsia"/>
          <w:sz w:val="22"/>
          <w:szCs w:val="22"/>
          <w:lang w:val="en-US" w:eastAsia="zh-CN"/>
        </w:rPr>
        <w:t>调用多源查询模块获得</w:t>
      </w:r>
      <w:r>
        <w:rPr>
          <w:rFonts w:hint="eastAsia"/>
          <w:sz w:val="22"/>
          <w:szCs w:val="22"/>
        </w:rPr>
        <w:t>价格数据。如果接口返回异常或数据缺失，系统会触发验证机制，并通过大模型生成补偿结果，以确保结果的完整性和鲁棒性。在步骤 S212 中，系统对多源数据</w:t>
      </w:r>
      <w:r>
        <w:rPr>
          <w:rFonts w:hint="eastAsia"/>
          <w:sz w:val="22"/>
          <w:szCs w:val="22"/>
          <w:lang w:val="en-US" w:eastAsia="zh-CN"/>
        </w:rPr>
        <w:t>进行</w:t>
      </w:r>
      <w:r>
        <w:rPr>
          <w:rFonts w:hint="eastAsia"/>
          <w:sz w:val="22"/>
          <w:szCs w:val="22"/>
        </w:rPr>
        <w:t>推荐</w:t>
      </w:r>
      <w:r>
        <w:rPr>
          <w:rFonts w:hint="eastAsia"/>
          <w:sz w:val="22"/>
          <w:szCs w:val="22"/>
          <w:lang w:val="en-US" w:eastAsia="zh-CN"/>
        </w:rPr>
        <w:t>价格</w:t>
      </w:r>
      <w:r>
        <w:rPr>
          <w:rFonts w:hint="eastAsia"/>
          <w:sz w:val="22"/>
          <w:szCs w:val="22"/>
        </w:rPr>
        <w:t>计算</w:t>
      </w:r>
      <w:r>
        <w:rPr>
          <w:rFonts w:hint="eastAsia"/>
          <w:sz w:val="22"/>
          <w:szCs w:val="22"/>
          <w:lang w:val="en-US" w:eastAsia="zh-CN"/>
        </w:rPr>
        <w:t>和可视化分析</w:t>
      </w:r>
      <w:r>
        <w:rPr>
          <w:rFonts w:hint="eastAsia"/>
          <w:sz w:val="22"/>
          <w:szCs w:val="22"/>
        </w:rPr>
        <w:t>。一方面，通过推荐价格</w:t>
      </w:r>
      <w:r>
        <w:rPr>
          <w:rFonts w:hint="eastAsia"/>
          <w:sz w:val="22"/>
          <w:szCs w:val="22"/>
          <w:lang w:val="en-US" w:eastAsia="zh-CN"/>
        </w:rPr>
        <w:t>计算模块</w:t>
      </w:r>
      <w:r>
        <w:rPr>
          <w:rFonts w:hint="eastAsia"/>
          <w:sz w:val="22"/>
          <w:szCs w:val="22"/>
        </w:rPr>
        <w:t>对不同来源的价格进行加权处理，生成合理的参考价格；另一方面，将处理后的价格数据</w:t>
      </w:r>
      <w:r>
        <w:rPr>
          <w:rFonts w:hint="eastAsia"/>
          <w:sz w:val="22"/>
          <w:szCs w:val="22"/>
          <w:lang w:val="en-US" w:eastAsia="zh-CN"/>
        </w:rPr>
        <w:t>调用数据可视化模块</w:t>
      </w:r>
      <w:r>
        <w:rPr>
          <w:rFonts w:hint="eastAsia"/>
          <w:sz w:val="22"/>
          <w:szCs w:val="22"/>
        </w:rPr>
        <w:t>进行可视化加工，生成价格分布图、时间散点图和表格化结果，便于用户直观理解价格的区间和变化趋势。在步骤 S214 中，系统综合知识问答与价格问答的输出，最终既通过大语言模型生成自然语言化的答案反馈用户问题，又通过可视化结果直观展示数据支撑，从而实现基于工程造价领域的 RAG 人机交互问答。</w:t>
      </w:r>
    </w:p>
    <w:p>
      <w:pPr>
        <w:spacing w:line="360" w:lineRule="auto"/>
        <w:ind w:firstLine="440" w:firstLineChars="200"/>
        <w:rPr>
          <w:rFonts w:hint="eastAsia"/>
          <w:sz w:val="22"/>
          <w:szCs w:val="22"/>
        </w:rPr>
      </w:pPr>
    </w:p>
    <w:p>
      <w:pPr>
        <w:spacing w:line="360" w:lineRule="auto"/>
        <w:ind w:firstLine="440" w:firstLineChars="200"/>
        <w:rPr>
          <w:rFonts w:hint="default"/>
          <w:sz w:val="22"/>
          <w:szCs w:val="22"/>
          <w:lang w:val="en-US" w:eastAsia="zh-CN"/>
        </w:rPr>
      </w:pPr>
      <w:r>
        <w:rPr>
          <w:rFonts w:hint="default"/>
          <w:sz w:val="22"/>
          <w:szCs w:val="22"/>
          <w:lang w:val="en-US" w:eastAsia="zh-CN"/>
        </w:rPr>
        <w:t>如图2所示，本发明提供了一种基于检索增强生成的工程造价人机交互问答系统及其方法，其整体运行流程如下：当用户在终端输入与工程造价领域相关的自然语言问题时，系统首先接收并解析该问题。例如，用户可能输入“绿色建筑工程竣工后施工单位需要提交哪些材料？”。系统在接收到该问题后，首先调用意图识别模块对输入进行语义判别，以确定该问题是否属于工程造价垂直领域的知识问答场景。在识别为知识问答意图的情况下，系统通过混合检索机制访问事先构建的工程造价知识向量库。具体而言，系统同时采用 BM25 检索与语义向量相似度检索两种方式获取与输入问题高度相关的候选知识块：BM25 检索侧重于关键词匹配，以保证语义精确覆盖；向量语义检索则通过余弦相似度度量问题与知识块之间的语义相似性，以确保语义层面的一致性。随后，系统将两类检索结果合并，并输入至检索重排序模型中进行进一步筛选，从而仅保留与用户问题最为相关的前 k 条知识块，得到可直接支撑回答的核心参考资料。</w:t>
      </w:r>
    </w:p>
    <w:p>
      <w:pPr>
        <w:spacing w:line="360" w:lineRule="auto"/>
        <w:ind w:firstLine="440" w:firstLineChars="200"/>
        <w:rPr>
          <w:rFonts w:hint="default"/>
          <w:sz w:val="22"/>
          <w:szCs w:val="22"/>
          <w:lang w:val="en-US" w:eastAsia="zh-CN"/>
        </w:rPr>
      </w:pPr>
      <w:r>
        <w:rPr>
          <w:rFonts w:hint="default"/>
          <w:sz w:val="22"/>
          <w:szCs w:val="22"/>
          <w:lang w:val="en-US" w:eastAsia="zh-CN"/>
        </w:rPr>
        <w:t>在获取到高相关性的知识块后，系统将其填充至预设的提示词模板，并与用户的原始问题一并输入至大语言模型中。通过该方式，大语言模型能够在参考真实知识的前提下生成逻辑连贯、专业性强的自然语言回答，保证了输出结果的准确性、可解释性与可追溯性。</w:t>
      </w:r>
    </w:p>
    <w:p>
      <w:pPr>
        <w:spacing w:line="360" w:lineRule="auto"/>
        <w:ind w:firstLine="440" w:firstLineChars="200"/>
        <w:rPr>
          <w:rFonts w:hint="default"/>
          <w:sz w:val="22"/>
          <w:szCs w:val="22"/>
          <w:lang w:val="en-US" w:eastAsia="zh-CN"/>
        </w:rPr>
      </w:pPr>
    </w:p>
    <w:p>
      <w:pPr>
        <w:spacing w:line="360" w:lineRule="auto"/>
        <w:ind w:firstLine="440" w:firstLineChars="200"/>
        <w:rPr>
          <w:rFonts w:hint="default"/>
          <w:sz w:val="22"/>
          <w:szCs w:val="22"/>
          <w:lang w:val="en-US" w:eastAsia="zh-CN"/>
        </w:rPr>
      </w:pPr>
      <w:r>
        <w:rPr>
          <w:rFonts w:hint="default"/>
          <w:sz w:val="22"/>
          <w:szCs w:val="22"/>
          <w:lang w:val="en-US" w:eastAsia="zh-CN"/>
        </w:rPr>
        <w:t>当用户输入的问题属于材料价格查询场景时，例如“从信息价查流灯用普照自荧光明镇通_925的价格”，系统则自动识别出该问题的意图为“材料价格信息数据库问答”。在这一流程中，系统首先调用大语言模型进一步判别用户期望的价格渠道，例如信息价渠道或厂商报价渠道。在识别到用户意图为信息价渠道后，系统启动实体抽取模块，对用户输入进行结构化解析，提取出关键信息字段，包括材料名称、材料规格、品牌、查询时间段、地域信息等。随后，系统将上述抽取到的实体信息与识别出的渠道信息一并封装为标准化的 JSON 格式请求，并调用对应的信息价接口完成数据库查询。当查询结果返回后，系统首先将原始价格数据输入至推荐函数计算模块，对价格数据进行异常值剔除与统计分析，最终生成合理的推荐价格结果。在得到推荐价格后，系统还会调用可视化数据分析模块对结果进行图表化处理，例如生成价格频数分布直方图和时间-价格散点图，以便直观展示数据的分布情况和时间趋势。通过这一方式，用户不仅能够获得明确的推荐价格，还能够结合可视化结果快速理解价格变化规律，从而大幅提升交互体验和结果的可信度。</w:t>
      </w:r>
    </w:p>
    <w:p>
      <w:pPr>
        <w:spacing w:line="360" w:lineRule="auto"/>
        <w:ind w:firstLine="440" w:firstLineChars="200"/>
        <w:rPr>
          <w:rFonts w:hint="default"/>
          <w:sz w:val="22"/>
          <w:szCs w:val="22"/>
          <w:lang w:val="en-US" w:eastAsia="zh-CN"/>
        </w:rPr>
      </w:pPr>
    </w:p>
    <w:p>
      <w:pPr>
        <w:spacing w:line="360" w:lineRule="auto"/>
        <w:ind w:firstLine="440" w:firstLineChars="200"/>
        <w:rPr>
          <w:sz w:val="22"/>
          <w:szCs w:val="22"/>
        </w:rPr>
      </w:pPr>
      <w:r>
        <w:rPr>
          <w:rFonts w:hint="eastAsia"/>
          <w:sz w:val="22"/>
          <w:szCs w:val="22"/>
          <w:lang w:val="en-US" w:eastAsia="zh-CN"/>
        </w:rPr>
        <w:t>具体来说系统整体工作流程具体包括以下步骤，首先是用户问题输入与意图识别，户通过终端输入与工程造价领域相关的问题，例如“绿色建筑工程竣工后施工单位需要提交哪些材料？”。系统首先接收用户输入的自然语言问题，并调用大语言模型对用户意图进行识别。用户意图可分为以下几类：knowledge_qa：工程造价知识问答；price_recommendation：材料价格查询及推荐；other：与工程造价无关的问题；dangerous_sql：涉及删除、修改或插入数据库等高危操作的请求。</w:t>
      </w:r>
      <w:r>
        <w:rPr>
          <w:sz w:val="22"/>
          <w:szCs w:val="22"/>
        </w:rPr>
        <w:t>通过限定式提示词和少量示例，系统能够将用户问题准确分类，从而进入对应的处理流程。</w:t>
      </w:r>
    </w:p>
    <w:p>
      <w:pPr>
        <w:spacing w:line="360" w:lineRule="auto"/>
        <w:ind w:firstLine="440" w:firstLineChars="200"/>
        <w:rPr>
          <w:sz w:val="22"/>
          <w:szCs w:val="22"/>
        </w:rPr>
      </w:pPr>
    </w:p>
    <w:p>
      <w:pPr>
        <w:spacing w:line="360" w:lineRule="auto"/>
        <w:ind w:firstLine="440" w:firstLineChars="200"/>
        <w:rPr>
          <w:rFonts w:hint="eastAsia"/>
          <w:sz w:val="22"/>
          <w:szCs w:val="22"/>
          <w:lang w:eastAsia="zh-CN"/>
        </w:rPr>
      </w:pPr>
      <w:r>
        <w:rPr>
          <w:rFonts w:hint="eastAsia"/>
          <w:sz w:val="22"/>
          <w:szCs w:val="22"/>
          <w:lang w:val="en-US" w:eastAsia="zh-CN"/>
        </w:rPr>
        <w:t>然后是面向工程造价领域的</w:t>
      </w:r>
      <w:r>
        <w:rPr>
          <w:sz w:val="22"/>
          <w:szCs w:val="22"/>
        </w:rPr>
        <w:t>知识问答流程</w:t>
      </w:r>
      <w:r>
        <w:rPr>
          <w:rFonts w:hint="eastAsia"/>
          <w:sz w:val="22"/>
          <w:szCs w:val="22"/>
          <w:lang w:eastAsia="zh-CN"/>
        </w:rPr>
        <w:t>，对于知识问答部分的检索增强生成，本发明的核心在于构建并维护一个专门面向工程造价领域的知识库，并在此基础上建立对应的知识向量库。通过该方式，系统能够在回答过程中依托权威资料，避免大语言模型凭空捏造内容，同时保证回答结果的可扩展性与时效性。为了维持知识库的有效性，系统支持定期对知识库内容进行动态增删，以适应政策法规和市场环境的变化。在知识库的构建过程中，本发明首先以工程造价领域的国家标准文件、法律条款、行业规范等为主要数据来源。这些原始数据不仅包括纯文本内容，还包含了表格、图片等多模态信息。为确保不同类型数据中的有效信息能够完整保留，本发明针对各类数据设计了差异化的处理方法：表格数据处理：采用 markers 工具对表格内容进行提取。在提取文字信息的同时，尽可能保留原有表格的语义结构和上下文逻辑，从而保证表格数据在后续使用中的完整性。图片数据处理：对于包含大量文字的图片数据，调用 Qwen-VL 模型的 API 来识别并描述图片内容，将图像信息转化为可读的文本描述，从而实现图片向文本的有效转化。统一文本化：在完成多源数据的处理后，本发明将所有不同模态的数据统一转换为文本形式，以便进行后续的知识切分与存储。在知识块构建环节，为解决工程造价文件中表格与文本高度嵌套的问题，本发明设计了一种智能表格文本切分器。该切分器能够在切分过程中保证表格整体不被破坏，同时保留表头、表尾及注释信息，从而确保表格语义的完整性。考虑到知识块大小对语义完整性和检索效率的影响，本发明将单个知识块的大小设定为 1024 个字符，并在相邻知识块之间设置 128 个字符的重叠部分，以增强上下文的连续性。此外，每个知识块均绑定来源文件名等元数据信息，以支持后续的结果溯源和可追踪性。在具体实施过程中，本发明共收集了 364 份工程造价相关文档，并通过上述方法切分生成了约 50,000 个知识块，构建了结构化的工程造价知识库。随后，采用经过领域微调的 bge-large-zh-v1.5 向量模型，将所有知识块编码为 768 维向量表示，并存储至 Milvus 向量数据库中。该向量数据库可与关键词检索库相结合，用于后续的混合检索和语义匹配，从而实现对用户查询的高效、精准响应。系统接收用户自然语言查询，对文本进行规范化预处理（包括中文分词、标点清洗、同义词归一与停用词过滤等），随后将标准化后的查询输入经领域微调的 bge-large-zh-v1.5 模型，得到查询的稠密向量表示 q，用于后续语义检索。系统在倒排索引库中对查询执行 BM25 检索，获得关键词层面的候选知识块集合。BM25 相关性评分综合考虑词频（TF）、逆文档频率（IDF）与文档长度归一化，其典型打分形式为：</w:t>
      </w:r>
    </w:p>
    <w:p>
      <w:pPr>
        <w:spacing w:line="360" w:lineRule="auto"/>
        <w:ind w:firstLine="440" w:firstLineChars="200"/>
        <w:rPr>
          <w:rFonts w:hint="default"/>
          <w:sz w:val="22"/>
          <w:szCs w:val="22"/>
          <w:lang w:val="en-US" w:eastAsia="zh-CN"/>
        </w:rPr>
      </w:pPr>
      <m:oMathPara>
        <m:oMath>
          <m:r>
            <m:rPr>
              <m:sty m:val="p"/>
            </m:rPr>
            <w:rPr>
              <w:rFonts w:hint="eastAsia" w:ascii="Cambria Math" w:hAnsi="Cambria Math"/>
              <w:sz w:val="22"/>
              <w:szCs w:val="22"/>
              <w:lang w:val="en-US" w:eastAsia="zh-CN"/>
            </w:rPr>
            <m:t>Score</m:t>
          </m:r>
          <m:r>
            <m:rPr>
              <m:sty m:val="p"/>
            </m:rPr>
            <w:rPr>
              <w:rFonts w:hint="default" w:ascii="Cambria Math" w:hAnsi="Cambria Math"/>
              <w:sz w:val="22"/>
              <w:szCs w:val="22"/>
              <w:lang w:val="en-US" w:eastAsia="zh-CN"/>
            </w:rPr>
            <m:t>(q,d)=</m:t>
          </m:r>
          <m:nary>
            <m:naryPr>
              <m:chr m:val="∑"/>
              <m:limLoc m:val="undOvr"/>
              <m:supHide m:val="1"/>
              <m:ctrlPr>
                <w:rPr>
                  <w:rFonts w:hint="default" w:ascii="Cambria Math" w:hAnsi="Cambria Math"/>
                  <w:sz w:val="22"/>
                  <w:szCs w:val="22"/>
                  <w:lang w:val="en-US" w:eastAsia="zh-CN"/>
                </w:rPr>
              </m:ctrlPr>
            </m:naryPr>
            <m:sub>
              <m:r>
                <m:rPr>
                  <m:sty m:val="p"/>
                </m:rPr>
                <w:rPr>
                  <w:rFonts w:hint="default" w:ascii="Cambria Math" w:hAnsi="Cambria Math"/>
                  <w:sz w:val="22"/>
                  <w:szCs w:val="22"/>
                  <w:lang w:val="en-US" w:eastAsia="zh-CN"/>
                </w:rPr>
                <m:t>t</m:t>
              </m:r>
              <m:r>
                <m:rPr>
                  <m:sty m:val="p"/>
                </m:rPr>
                <w:rPr>
                  <w:rFonts w:ascii="Cambria Math" w:hAnsi="Cambria Math"/>
                  <w:sz w:val="22"/>
                  <w:szCs w:val="22"/>
                  <w:lang w:val="en-US"/>
                </w:rPr>
                <m:t>∈</m:t>
              </m:r>
              <m:r>
                <m:rPr>
                  <m:sty m:val="p"/>
                </m:rPr>
                <w:rPr>
                  <w:rFonts w:hint="default" w:ascii="Cambria Math" w:hAnsi="Cambria Math"/>
                  <w:sz w:val="22"/>
                  <w:szCs w:val="22"/>
                  <w:lang w:val="en-US" w:eastAsia="zh-CN"/>
                </w:rPr>
                <m:t>q</m:t>
              </m:r>
              <m:ctrlPr>
                <w:rPr>
                  <w:rFonts w:hint="default" w:ascii="Cambria Math" w:hAnsi="Cambria Math"/>
                  <w:sz w:val="22"/>
                  <w:szCs w:val="22"/>
                  <w:lang w:val="en-US" w:eastAsia="zh-CN"/>
                </w:rPr>
              </m:ctrlPr>
            </m:sub>
            <m:sup>
              <m:ctrlPr>
                <w:rPr>
                  <w:rFonts w:hint="default" w:ascii="Cambria Math" w:hAnsi="Cambria Math"/>
                  <w:sz w:val="22"/>
                  <w:szCs w:val="22"/>
                  <w:lang w:val="en-US" w:eastAsia="zh-CN"/>
                </w:rPr>
              </m:ctrlPr>
            </m:sup>
            <m:e>
              <m:r>
                <m:rPr>
                  <m:sty m:val="p"/>
                </m:rPr>
                <w:rPr>
                  <w:rFonts w:hint="eastAsia" w:ascii="Cambria Math" w:hAnsi="Cambria Math"/>
                  <w:sz w:val="22"/>
                  <w:szCs w:val="22"/>
                  <w:lang w:val="en-US" w:eastAsia="zh-CN"/>
                </w:rPr>
                <m:t>IDF</m:t>
              </m:r>
              <m:r>
                <m:rPr>
                  <m:sty m:val="p"/>
                </m:rPr>
                <w:rPr>
                  <w:rFonts w:hint="default" w:ascii="Cambria Math" w:hAnsi="Cambria Math"/>
                  <w:sz w:val="22"/>
                  <w:szCs w:val="22"/>
                  <w:lang w:val="en-US" w:eastAsia="zh-CN"/>
                </w:rPr>
                <m:t>(t)</m:t>
              </m:r>
              <m:ctrlPr>
                <w:rPr>
                  <w:rFonts w:hint="default" w:ascii="Cambria Math" w:hAnsi="Cambria Math"/>
                  <w:sz w:val="22"/>
                  <w:szCs w:val="22"/>
                  <w:lang w:val="en-US" w:eastAsia="zh-CN"/>
                </w:rPr>
              </m:ctrlPr>
            </m:e>
          </m:nary>
          <m:r>
            <m:rPr>
              <m:sty m:val="p"/>
            </m:rPr>
            <w:rPr>
              <w:rFonts w:ascii="Cambria Math" w:hAnsi="Cambria Math"/>
              <w:sz w:val="22"/>
              <w:szCs w:val="22"/>
              <w:lang w:val="en-US"/>
            </w:rPr>
            <m:t>⋅</m:t>
          </m:r>
          <m:f>
            <m:fPr>
              <m:ctrlPr>
                <w:rPr>
                  <w:rFonts w:ascii="Cambria Math" w:hAnsi="Cambria Math"/>
                  <w:sz w:val="22"/>
                  <w:szCs w:val="22"/>
                  <w:lang w:val="en-US"/>
                </w:rPr>
              </m:ctrlPr>
            </m:fPr>
            <m:num>
              <m:r>
                <m:rPr>
                  <m:sty m:val="p"/>
                </m:rPr>
                <w:rPr>
                  <w:rFonts w:hint="eastAsia" w:ascii="Cambria Math" w:hAnsi="Cambria Math"/>
                  <w:sz w:val="22"/>
                  <w:szCs w:val="22"/>
                  <w:lang w:val="en-US" w:eastAsia="zh-CN"/>
                </w:rPr>
                <m:t>TF</m:t>
              </m:r>
              <m:r>
                <m:rPr>
                  <m:sty m:val="p"/>
                </m:rPr>
                <w:rPr>
                  <w:rFonts w:hint="default" w:ascii="Cambria Math" w:hAnsi="Cambria Math"/>
                  <w:sz w:val="22"/>
                  <w:szCs w:val="22"/>
                  <w:lang w:val="en-US" w:eastAsia="zh-CN"/>
                </w:rPr>
                <m:t>(t,d)∗(</m:t>
              </m:r>
              <m:sSub>
                <m:sSubPr>
                  <m:ctrlPr>
                    <w:rPr>
                      <w:rFonts w:hint="default" w:ascii="Cambria Math" w:hAnsi="Cambria Math"/>
                      <w:sz w:val="22"/>
                      <w:szCs w:val="22"/>
                      <w:lang w:val="en-US" w:eastAsia="zh-CN"/>
                    </w:rPr>
                  </m:ctrlPr>
                </m:sSubPr>
                <m:e>
                  <m:r>
                    <m:rPr>
                      <m:sty m:val="p"/>
                    </m:rPr>
                    <w:rPr>
                      <w:rFonts w:hint="default" w:ascii="Cambria Math" w:hAnsi="Cambria Math"/>
                      <w:sz w:val="22"/>
                      <w:szCs w:val="22"/>
                      <w:lang w:val="en-US" w:eastAsia="zh-CN"/>
                    </w:rPr>
                    <m:t>k</m:t>
                  </m:r>
                  <m:ctrlPr>
                    <w:rPr>
                      <w:rFonts w:hint="default" w:ascii="Cambria Math" w:hAnsi="Cambria Math"/>
                      <w:sz w:val="22"/>
                      <w:szCs w:val="22"/>
                      <w:lang w:val="en-US" w:eastAsia="zh-CN"/>
                    </w:rPr>
                  </m:ctrlPr>
                </m:e>
                <m:sub>
                  <m:r>
                    <m:rPr>
                      <m:sty m:val="p"/>
                    </m:rPr>
                    <w:rPr>
                      <w:rFonts w:hint="default" w:ascii="Cambria Math" w:hAnsi="Cambria Math"/>
                      <w:sz w:val="22"/>
                      <w:szCs w:val="22"/>
                      <w:lang w:val="en-US" w:eastAsia="zh-CN"/>
                    </w:rPr>
                    <m:t>1</m:t>
                  </m:r>
                  <m:ctrlPr>
                    <w:rPr>
                      <w:rFonts w:hint="default" w:ascii="Cambria Math" w:hAnsi="Cambria Math"/>
                      <w:sz w:val="22"/>
                      <w:szCs w:val="22"/>
                      <w:lang w:val="en-US" w:eastAsia="zh-CN"/>
                    </w:rPr>
                  </m:ctrlPr>
                </m:sub>
              </m:sSub>
              <m:r>
                <m:rPr>
                  <m:sty m:val="p"/>
                </m:rPr>
                <w:rPr>
                  <w:rFonts w:hint="default" w:ascii="Cambria Math" w:hAnsi="Cambria Math"/>
                  <w:sz w:val="22"/>
                  <w:szCs w:val="22"/>
                  <w:lang w:val="en-US" w:eastAsia="zh-CN"/>
                </w:rPr>
                <m:t>+1)</m:t>
              </m:r>
              <m:ctrlPr>
                <w:rPr>
                  <w:rFonts w:ascii="Cambria Math" w:hAnsi="Cambria Math"/>
                  <w:sz w:val="22"/>
                  <w:szCs w:val="22"/>
                  <w:lang w:val="en-US"/>
                </w:rPr>
              </m:ctrlPr>
            </m:num>
            <m:den>
              <m:r>
                <m:rPr>
                  <m:sty m:val="p"/>
                </m:rPr>
                <w:rPr>
                  <w:rFonts w:hint="eastAsia" w:ascii="Cambria Math" w:hAnsi="Cambria Math"/>
                  <w:sz w:val="22"/>
                  <w:szCs w:val="22"/>
                  <w:lang w:val="en-US" w:eastAsia="zh-CN"/>
                </w:rPr>
                <m:t>TF</m:t>
              </m:r>
              <m:r>
                <m:rPr>
                  <m:sty m:val="p"/>
                </m:rPr>
                <w:rPr>
                  <w:rFonts w:hint="default" w:ascii="Cambria Math" w:hAnsi="Cambria Math"/>
                  <w:sz w:val="22"/>
                  <w:szCs w:val="22"/>
                  <w:lang w:val="en-US" w:eastAsia="zh-CN"/>
                </w:rPr>
                <m:t>(t,d)+</m:t>
              </m:r>
              <m:sSub>
                <m:sSubPr>
                  <m:ctrlPr>
                    <w:rPr>
                      <w:rFonts w:hint="default" w:ascii="Cambria Math" w:hAnsi="Cambria Math"/>
                      <w:sz w:val="22"/>
                      <w:szCs w:val="22"/>
                      <w:lang w:val="en-US" w:eastAsia="zh-CN"/>
                    </w:rPr>
                  </m:ctrlPr>
                </m:sSubPr>
                <m:e>
                  <m:r>
                    <m:rPr>
                      <m:sty m:val="p"/>
                    </m:rPr>
                    <w:rPr>
                      <w:rFonts w:hint="default" w:ascii="Cambria Math" w:hAnsi="Cambria Math"/>
                      <w:sz w:val="22"/>
                      <w:szCs w:val="22"/>
                      <w:lang w:val="en-US" w:eastAsia="zh-CN"/>
                    </w:rPr>
                    <m:t>k</m:t>
                  </m:r>
                  <m:ctrlPr>
                    <w:rPr>
                      <w:rFonts w:hint="default" w:ascii="Cambria Math" w:hAnsi="Cambria Math"/>
                      <w:sz w:val="22"/>
                      <w:szCs w:val="22"/>
                      <w:lang w:val="en-US" w:eastAsia="zh-CN"/>
                    </w:rPr>
                  </m:ctrlPr>
                </m:e>
                <m:sub>
                  <m:r>
                    <m:rPr>
                      <m:sty m:val="p"/>
                    </m:rPr>
                    <w:rPr>
                      <w:rFonts w:hint="default" w:ascii="Cambria Math" w:hAnsi="Cambria Math"/>
                      <w:sz w:val="22"/>
                      <w:szCs w:val="22"/>
                      <w:lang w:val="en-US" w:eastAsia="zh-CN"/>
                    </w:rPr>
                    <m:t>1</m:t>
                  </m:r>
                  <m:ctrlPr>
                    <w:rPr>
                      <w:rFonts w:hint="default" w:ascii="Cambria Math" w:hAnsi="Cambria Math"/>
                      <w:sz w:val="22"/>
                      <w:szCs w:val="22"/>
                      <w:lang w:val="en-US" w:eastAsia="zh-CN"/>
                    </w:rPr>
                  </m:ctrlPr>
                </m:sub>
              </m:sSub>
              <m:r>
                <m:rPr>
                  <m:sty m:val="p"/>
                </m:rPr>
                <w:rPr>
                  <w:rFonts w:ascii="Cambria Math" w:hAnsi="Cambria Math"/>
                  <w:sz w:val="22"/>
                  <w:szCs w:val="22"/>
                  <w:lang w:val="en-US"/>
                </w:rPr>
                <m:t>⋅</m:t>
              </m:r>
              <m:r>
                <m:rPr>
                  <m:sty m:val="p"/>
                </m:rPr>
                <w:rPr>
                  <w:rFonts w:hint="default" w:ascii="Cambria Math" w:hAnsi="Cambria Math"/>
                  <w:sz w:val="22"/>
                  <w:szCs w:val="22"/>
                  <w:lang w:val="en-US" w:eastAsia="zh-CN"/>
                </w:rPr>
                <m:t>(1−</m:t>
              </m:r>
              <m:r>
                <m:rPr>
                  <m:sty m:val="p"/>
                </m:rPr>
                <w:rPr>
                  <w:rFonts w:hint="eastAsia" w:ascii="Cambria Math" w:hAnsi="Cambria Math"/>
                  <w:sz w:val="22"/>
                  <w:szCs w:val="22"/>
                  <w:lang w:val="en-US" w:eastAsia="zh-CN"/>
                </w:rPr>
                <m:t>b</m:t>
              </m:r>
              <m:r>
                <m:rPr>
                  <m:sty m:val="p"/>
                </m:rPr>
                <w:rPr>
                  <w:rFonts w:hint="default" w:ascii="Cambria Math" w:hAnsi="Cambria Math"/>
                  <w:sz w:val="22"/>
                  <w:szCs w:val="22"/>
                  <w:lang w:val="en-US" w:eastAsia="zh-CN"/>
                </w:rPr>
                <m:t>+b</m:t>
              </m:r>
              <m:r>
                <m:rPr>
                  <m:sty m:val="p"/>
                </m:rPr>
                <w:rPr>
                  <w:rFonts w:ascii="Cambria Math" w:hAnsi="Cambria Math"/>
                  <w:sz w:val="22"/>
                  <w:szCs w:val="22"/>
                  <w:lang w:val="en-US"/>
                </w:rPr>
                <m:t>⋅</m:t>
              </m:r>
              <m:f>
                <m:fPr>
                  <m:ctrlPr>
                    <w:rPr>
                      <w:rFonts w:ascii="Cambria Math" w:hAnsi="Cambria Math"/>
                      <w:sz w:val="22"/>
                      <w:szCs w:val="22"/>
                      <w:lang w:val="en-US"/>
                    </w:rPr>
                  </m:ctrlPr>
                </m:fPr>
                <m:num>
                  <m:r>
                    <m:rPr>
                      <m:sty m:val="p"/>
                    </m:rPr>
                    <w:rPr>
                      <w:rFonts w:hint="default" w:ascii="Cambria Math" w:hAnsi="Cambria Math"/>
                      <w:sz w:val="22"/>
                      <w:szCs w:val="22"/>
                      <w:lang w:val="en-US" w:eastAsia="zh-CN"/>
                    </w:rPr>
                    <m:t>|d|</m:t>
                  </m:r>
                  <m:ctrlPr>
                    <w:rPr>
                      <w:rFonts w:ascii="Cambria Math" w:hAnsi="Cambria Math"/>
                      <w:sz w:val="22"/>
                      <w:szCs w:val="22"/>
                      <w:lang w:val="en-US"/>
                    </w:rPr>
                  </m:ctrlPr>
                </m:num>
                <m:den>
                  <m:r>
                    <m:rPr>
                      <m:sty m:val="p"/>
                    </m:rPr>
                    <w:rPr>
                      <w:rFonts w:hint="eastAsia" w:ascii="Cambria Math" w:hAnsi="Cambria Math"/>
                      <w:sz w:val="22"/>
                      <w:szCs w:val="22"/>
                      <w:lang w:val="en-US" w:eastAsia="zh-CN"/>
                    </w:rPr>
                    <m:t>av</m:t>
                  </m:r>
                  <m:r>
                    <m:rPr>
                      <m:sty m:val="p"/>
                    </m:rPr>
                    <w:rPr>
                      <w:rFonts w:hint="default" w:ascii="Cambria Math" w:hAnsi="Cambria Math"/>
                      <w:sz w:val="22"/>
                      <w:szCs w:val="22"/>
                      <w:lang w:val="en-US" w:eastAsia="zh-CN"/>
                    </w:rPr>
                    <m:t>g</m:t>
                  </m:r>
                  <m:r>
                    <m:rPr>
                      <m:sty m:val="p"/>
                    </m:rPr>
                    <w:rPr>
                      <w:rFonts w:hint="eastAsia" w:ascii="Cambria Math" w:hAnsi="Cambria Math"/>
                      <w:sz w:val="22"/>
                      <w:szCs w:val="22"/>
                      <w:lang w:val="en-US" w:eastAsia="zh-CN"/>
                    </w:rPr>
                    <m:t>dl</m:t>
                  </m:r>
                  <m:ctrlPr>
                    <w:rPr>
                      <w:rFonts w:ascii="Cambria Math" w:hAnsi="Cambria Math"/>
                      <w:sz w:val="22"/>
                      <w:szCs w:val="22"/>
                      <w:lang w:val="en-US"/>
                    </w:rPr>
                  </m:ctrlPr>
                </m:den>
              </m:f>
              <m:r>
                <m:rPr>
                  <m:sty m:val="p"/>
                </m:rPr>
                <w:rPr>
                  <w:rFonts w:hint="default" w:ascii="Cambria Math" w:hAnsi="Cambria Math"/>
                  <w:sz w:val="22"/>
                  <w:szCs w:val="22"/>
                  <w:lang w:val="en-US" w:eastAsia="zh-CN"/>
                </w:rPr>
                <m:t>)</m:t>
              </m:r>
              <m:ctrlPr>
                <w:rPr>
                  <w:rFonts w:ascii="Cambria Math" w:hAnsi="Cambria Math"/>
                  <w:sz w:val="22"/>
                  <w:szCs w:val="22"/>
                  <w:lang w:val="en-US"/>
                </w:rPr>
              </m:ctrlPr>
            </m:den>
          </m:f>
        </m:oMath>
      </m:oMathPara>
    </w:p>
    <w:p>
      <w:pPr>
        <w:spacing w:line="360" w:lineRule="auto"/>
        <w:ind w:firstLine="440" w:firstLineChars="200"/>
        <w:rPr>
          <w:rFonts w:hint="eastAsia"/>
          <w:sz w:val="22"/>
          <w:szCs w:val="22"/>
          <w:lang w:eastAsia="zh-CN"/>
        </w:rPr>
      </w:pPr>
      <w:r>
        <w:rPr>
          <w:rFonts w:hint="eastAsia"/>
          <w:sz w:val="22"/>
          <w:szCs w:val="22"/>
          <w:lang w:eastAsia="zh-CN"/>
        </w:rPr>
        <w:t>其中</w:t>
      </w:r>
      <w:r>
        <w:rPr>
          <w:rFonts w:hint="eastAsia"/>
          <w:sz w:val="22"/>
          <w:szCs w:val="22"/>
          <w:lang w:val="en-US" w:eastAsia="zh-CN"/>
        </w:rPr>
        <w:t>k1</w:t>
      </w:r>
      <w:r>
        <w:rPr>
          <w:rFonts w:hint="eastAsia"/>
          <w:sz w:val="22"/>
          <w:szCs w:val="22"/>
          <w:lang w:eastAsia="zh-CN"/>
        </w:rPr>
        <w:t>通常取 1.2～2.0，</w:t>
      </w:r>
      <w:r>
        <w:rPr>
          <w:rFonts w:hint="eastAsia"/>
          <w:sz w:val="22"/>
          <w:szCs w:val="22"/>
          <w:lang w:val="en-US" w:eastAsia="zh-CN"/>
        </w:rPr>
        <w:t>b</w:t>
      </w:r>
      <w:r>
        <w:rPr>
          <w:rFonts w:hint="eastAsia"/>
          <w:sz w:val="22"/>
          <w:szCs w:val="22"/>
          <w:lang w:eastAsia="zh-CN"/>
        </w:rPr>
        <w:t>通常取 0.6～0.8，</w:t>
      </w:r>
      <w:r>
        <w:rPr>
          <w:rFonts w:hint="eastAsia"/>
          <w:sz w:val="22"/>
          <w:szCs w:val="22"/>
          <w:lang w:val="en-US" w:eastAsia="zh-CN"/>
        </w:rPr>
        <w:t>|</w:t>
      </w:r>
      <w:r>
        <w:rPr>
          <w:rFonts w:hint="eastAsia"/>
          <w:sz w:val="22"/>
          <w:szCs w:val="22"/>
          <w:lang w:eastAsia="zh-CN"/>
        </w:rPr>
        <w:t>d</w:t>
      </w:r>
      <w:r>
        <w:rPr>
          <w:rFonts w:hint="eastAsia"/>
          <w:sz w:val="22"/>
          <w:szCs w:val="22"/>
          <w:lang w:val="en-US" w:eastAsia="zh-CN"/>
        </w:rPr>
        <w:t>|</w:t>
      </w:r>
      <w:r>
        <w:rPr>
          <w:rFonts w:hint="eastAsia"/>
          <w:sz w:val="22"/>
          <w:szCs w:val="22"/>
          <w:lang w:eastAsia="zh-CN"/>
        </w:rPr>
        <w:t>为文档长度、avgdl为库内平均文档长度。该通道按得分由高到低保留 Top-10 个候选知识块（若不足则按实际数量保留）。</w:t>
      </w:r>
    </w:p>
    <w:p>
      <w:pPr>
        <w:spacing w:line="360" w:lineRule="auto"/>
        <w:ind w:firstLine="440" w:firstLineChars="200"/>
        <w:rPr>
          <w:rFonts w:hint="eastAsia"/>
          <w:sz w:val="22"/>
          <w:szCs w:val="22"/>
          <w:lang w:eastAsia="zh-CN"/>
        </w:rPr>
      </w:pPr>
      <w:r>
        <w:rPr>
          <w:rFonts w:hint="eastAsia"/>
          <w:sz w:val="22"/>
          <w:szCs w:val="22"/>
          <w:lang w:eastAsia="zh-CN"/>
        </w:rPr>
        <w:t xml:space="preserve">系统在向量知识库中对 q 执行稠密语义检索，采用余弦相似度评价查询向量与知识块向量 </w:t>
      </w:r>
      <w:r>
        <w:rPr>
          <w:rFonts w:hint="eastAsia"/>
          <w:sz w:val="22"/>
          <w:szCs w:val="22"/>
          <w:lang w:val="en-US" w:eastAsia="zh-CN"/>
        </w:rPr>
        <w:t>d</w:t>
      </w:r>
      <w:r>
        <w:rPr>
          <w:rFonts w:hint="eastAsia"/>
          <w:sz w:val="22"/>
          <w:szCs w:val="22"/>
          <w:lang w:eastAsia="zh-CN"/>
        </w:rPr>
        <w:t>的语义接近度：</w:t>
      </w:r>
    </w:p>
    <w:p>
      <w:pPr>
        <w:spacing w:line="360" w:lineRule="auto"/>
        <w:ind w:firstLine="440" w:firstLineChars="200"/>
        <w:rPr>
          <w:rFonts w:hint="eastAsia"/>
          <w:sz w:val="22"/>
          <w:szCs w:val="22"/>
          <w:lang w:eastAsia="zh-CN"/>
        </w:rPr>
      </w:pPr>
      <m:oMathPara>
        <m:oMath>
          <m:func>
            <m:funcPr>
              <m:ctrlPr>
                <w:rPr>
                  <w:rFonts w:ascii="Cambria Math" w:hAnsi="Cambria Math"/>
                  <w:sz w:val="22"/>
                  <w:szCs w:val="22"/>
                </w:rPr>
              </m:ctrlPr>
            </m:funcPr>
            <m:fName>
              <m:r>
                <m:rPr>
                  <m:sty m:val="p"/>
                </m:rPr>
                <w:rPr>
                  <w:rFonts w:ascii="Cambria Math" w:hAnsi="Cambria Math"/>
                  <w:sz w:val="22"/>
                  <w:szCs w:val="22"/>
                </w:rPr>
                <m:t>cos</m:t>
              </m:r>
              <m:ctrlPr>
                <w:rPr>
                  <w:rFonts w:ascii="Cambria Math" w:hAnsi="Cambria Math"/>
                  <w:sz w:val="22"/>
                  <w:szCs w:val="22"/>
                </w:rPr>
              </m:ctrlPr>
            </m:fName>
            <m:e>
              <m:r>
                <m:rPr>
                  <m:sty m:val="p"/>
                </m:rPr>
                <w:rPr>
                  <w:rFonts w:hint="default" w:ascii="Cambria Math" w:hAnsi="Cambria Math"/>
                  <w:sz w:val="22"/>
                  <w:szCs w:val="22"/>
                  <w:lang w:val="en-US" w:eastAsia="zh-CN"/>
                </w:rPr>
                <m:t>(</m:t>
              </m:r>
              <m:r>
                <m:rPr>
                  <m:sty m:val="p"/>
                </m:rPr>
                <w:rPr>
                  <w:rFonts w:ascii="Cambria Math" w:hAnsi="Cambria Math"/>
                  <w:sz w:val="22"/>
                  <w:szCs w:val="22"/>
                  <w:lang w:val="en-US"/>
                </w:rPr>
                <m:t>θ</m:t>
              </m:r>
              <m:r>
                <m:rPr>
                  <m:sty m:val="p"/>
                </m:rPr>
                <w:rPr>
                  <w:rFonts w:hint="default" w:ascii="Cambria Math" w:hAnsi="Cambria Math"/>
                  <w:sz w:val="22"/>
                  <w:szCs w:val="22"/>
                  <w:lang w:val="en-US" w:eastAsia="zh-CN"/>
                </w:rPr>
                <m:t>)=</m:t>
              </m:r>
              <m:f>
                <m:fPr>
                  <m:ctrlPr>
                    <w:rPr>
                      <w:rFonts w:hint="default" w:ascii="Cambria Math" w:hAnsi="Cambria Math"/>
                      <w:sz w:val="22"/>
                      <w:szCs w:val="22"/>
                      <w:lang w:val="en-US" w:eastAsia="zh-CN"/>
                    </w:rPr>
                  </m:ctrlPr>
                </m:fPr>
                <m:num>
                  <m:r>
                    <m:rPr>
                      <m:sty m:val="p"/>
                    </m:rPr>
                    <w:rPr>
                      <w:rFonts w:hint="default" w:ascii="Cambria Math" w:hAnsi="Cambria Math"/>
                      <w:sz w:val="22"/>
                      <w:szCs w:val="22"/>
                      <w:lang w:val="en-US" w:eastAsia="zh-CN"/>
                    </w:rPr>
                    <m:t>q</m:t>
                  </m:r>
                  <m:r>
                    <m:rPr>
                      <m:sty m:val="p"/>
                    </m:rPr>
                    <w:rPr>
                      <w:rFonts w:ascii="Cambria Math" w:hAnsi="Cambria Math"/>
                      <w:sz w:val="22"/>
                      <w:szCs w:val="22"/>
                      <w:lang w:val="en-US"/>
                    </w:rPr>
                    <m:t>∙</m:t>
                  </m:r>
                  <m:r>
                    <m:rPr>
                      <m:sty m:val="p"/>
                    </m:rPr>
                    <w:rPr>
                      <w:rFonts w:hint="default" w:ascii="Cambria Math" w:hAnsi="Cambria Math"/>
                      <w:sz w:val="22"/>
                      <w:szCs w:val="22"/>
                      <w:lang w:val="en-US" w:eastAsia="zh-CN"/>
                    </w:rPr>
                    <m:t>d</m:t>
                  </m:r>
                  <m:ctrlPr>
                    <w:rPr>
                      <w:rFonts w:hint="default" w:ascii="Cambria Math" w:hAnsi="Cambria Math"/>
                      <w:sz w:val="22"/>
                      <w:szCs w:val="22"/>
                      <w:lang w:val="en-US" w:eastAsia="zh-CN"/>
                    </w:rPr>
                  </m:ctrlPr>
                </m:num>
                <m:den>
                  <m:r>
                    <m:rPr>
                      <m:sty m:val="p"/>
                    </m:rPr>
                    <w:rPr>
                      <w:rFonts w:hint="default" w:ascii="Cambria Math" w:hAnsi="Cambria Math"/>
                      <w:sz w:val="22"/>
                      <w:szCs w:val="22"/>
                      <w:lang w:val="en-US" w:eastAsia="zh-CN"/>
                    </w:rPr>
                    <m:t>|q|</m:t>
                  </m:r>
                  <m:r>
                    <m:rPr>
                      <m:sty m:val="p"/>
                    </m:rPr>
                    <w:rPr>
                      <w:rFonts w:ascii="Cambria Math" w:hAnsi="Cambria Math"/>
                      <w:sz w:val="22"/>
                      <w:szCs w:val="22"/>
                      <w:lang w:val="en-US"/>
                    </w:rPr>
                    <m:t>∙</m:t>
                  </m:r>
                  <m:r>
                    <m:rPr>
                      <m:sty m:val="p"/>
                    </m:rPr>
                    <w:rPr>
                      <w:rFonts w:hint="default" w:ascii="Cambria Math" w:hAnsi="Cambria Math"/>
                      <w:sz w:val="22"/>
                      <w:szCs w:val="22"/>
                      <w:lang w:val="en-US" w:eastAsia="zh-CN"/>
                    </w:rPr>
                    <m:t>|d|</m:t>
                  </m:r>
                  <m:ctrlPr>
                    <w:rPr>
                      <w:rFonts w:hint="default" w:ascii="Cambria Math" w:hAnsi="Cambria Math"/>
                      <w:sz w:val="22"/>
                      <w:szCs w:val="22"/>
                      <w:lang w:val="en-US" w:eastAsia="zh-CN"/>
                    </w:rPr>
                  </m:ctrlPr>
                </m:den>
              </m:f>
              <m:ctrlPr>
                <w:rPr>
                  <w:rFonts w:ascii="Cambria Math" w:hAnsi="Cambria Math"/>
                  <w:sz w:val="22"/>
                  <w:szCs w:val="22"/>
                </w:rPr>
              </m:ctrlPr>
            </m:e>
          </m:func>
        </m:oMath>
      </m:oMathPara>
    </w:p>
    <w:p>
      <w:pPr>
        <w:spacing w:line="360" w:lineRule="auto"/>
        <w:ind w:firstLine="440" w:firstLineChars="200"/>
        <w:rPr>
          <w:rFonts w:hint="eastAsia"/>
          <w:sz w:val="22"/>
          <w:szCs w:val="22"/>
          <w:lang w:eastAsia="zh-CN"/>
        </w:rPr>
      </w:pPr>
      <w:r>
        <w:rPr>
          <w:rFonts w:hint="eastAsia"/>
          <w:sz w:val="22"/>
          <w:szCs w:val="22"/>
          <w:lang w:eastAsia="zh-CN"/>
        </w:rPr>
        <w:t xml:space="preserve">按相似度从高到低选取 Top-10 个候选知识块。为兼顾实时性与规模化检索，在一些实施例中可在向量数据库中构建 ANN（如 HNSW、IVF-PQ）索引以加速相似度搜索。系统将获得的两个候选集合进行合并，对重复知识块执行去重，并对两通道的分数进行区间归一化。在需要时，可采用线性加权或学习到的融合函数生成综合得分，以兼顾关键词匹配的精确覆盖与语义检索的泛化召回，形成初步候选集。系统将上述 Top-5 目标知识块按设定顺序拼接为“上下文片段”，并与原始用户问题一并填充至预设的提示词模板，以显式约束大语言模型必须基于已检索证据作答、不得编造。在一种实现方式中，模板示例如下：上下文信息：{知识块}。请严格依据上述上下文回答以下问题，不得使用未在上下文出现的信息。请先进行分析，再给出结论。问题：{用户查询}。在其他实施例中，可在模板中加入来源标注位（如“出处：{文件名/条款号}”）、置信度提示位或风险提示位，以增强可解释性与合规性。系统将已填充的提示词输入大语言模型，得到逻辑连贯、术语规范且可追溯的答案文本；同时返回支撑该答案的知识块引用信息，以便用户核验。在工程造价合规场景下，系统可对输出执行事实一致性校验与敏感内容过滤。上述 Top-10/Top-5 阈值、BM25 参数 </w:t>
      </w:r>
      <w:r>
        <w:rPr>
          <w:rFonts w:hint="eastAsia"/>
          <w:sz w:val="22"/>
          <w:szCs w:val="22"/>
          <w:lang w:val="en-US" w:eastAsia="zh-CN"/>
        </w:rPr>
        <w:t>k1</w:t>
      </w:r>
      <w:r>
        <w:rPr>
          <w:rFonts w:hint="eastAsia"/>
          <w:sz w:val="22"/>
          <w:szCs w:val="22"/>
          <w:lang w:eastAsia="zh-CN"/>
        </w:rPr>
        <w:t>、b、向量检索 ANN 索引类型与召回深度、以及融合与重排的加权策略均可根据业务规模、时延约束与准确性目标进行配置。</w:t>
      </w:r>
    </w:p>
    <w:p>
      <w:pPr>
        <w:spacing w:line="360" w:lineRule="auto"/>
        <w:ind w:firstLine="440" w:firstLineChars="200"/>
        <w:rPr>
          <w:rFonts w:hint="eastAsia"/>
          <w:sz w:val="22"/>
          <w:szCs w:val="22"/>
          <w:lang w:val="en-US" w:eastAsia="zh-CN"/>
        </w:rPr>
      </w:pPr>
      <w:r>
        <w:rPr>
          <w:rFonts w:hint="eastAsia"/>
          <w:sz w:val="22"/>
          <w:szCs w:val="22"/>
          <w:lang w:val="en-US" w:eastAsia="zh-CN"/>
        </w:rPr>
        <w:t>需要说明的是，用于构建知识库以及用于执行语义相似度检索的向量模型 bge-large-zh-v1.5，并非直接采用开源版本，而是基于其预训练模型进行过垂直领域微调后得到的优化版本。</w:t>
      </w:r>
    </w:p>
    <w:p>
      <w:pPr>
        <w:spacing w:line="360" w:lineRule="auto"/>
        <w:ind w:firstLine="440" w:firstLineChars="200"/>
        <w:rPr>
          <w:rFonts w:hint="eastAsia"/>
          <w:sz w:val="22"/>
          <w:szCs w:val="22"/>
          <w:lang w:val="en-US" w:eastAsia="zh-CN"/>
        </w:rPr>
      </w:pPr>
      <w:r>
        <w:rPr>
          <w:rFonts w:hint="eastAsia"/>
          <w:sz w:val="22"/>
          <w:szCs w:val="22"/>
          <w:lang w:val="en-US" w:eastAsia="zh-CN"/>
        </w:rPr>
        <w:t>这是因为工程造价领域具有显著的专业性，其语料中包含大量专有名词、行业术语及特定的表达方式，而这些特征往往并未充分覆盖在通用语料的预训练过程中。如果直接使用未经适配的通用模型，可能导致向量检索无法准确捕捉领域内问题与知识块之间的语义对应关系。因此，本发明通过引入垂直领域的语料进行有监督微调，使得向量模型能够更好地适配工程造价场景，从而在相似度检索过程中更加准确地定位与用户查询匹配的知识块。 在构建用于微调的领域数据集时，本发明以工程造价相关的问答为核心形式：输入为用户可能提出的问题，输出为该问题的正确答案。也就是说，每条样本数据由一个 question（问题） 与对应的 answer（答案） 构成。在这种场景下，如果完全依赖人工标注，不仅需要投入大量成本，而且标注质量也难以保持一致。为此，本发明采用自动化标注方法构造训练数据。具体做法是：首先将预处理后的知识块作为上下文输入，结合设计好的提示词，通过调用具备推理能力的大模型 API（如 Deepseek-R1 与 Qwen）生成与知识块相关的“问题—答案”对。由于生成的问题与答案均建立在真实知识块的上下文之上，因此能够保证其内容的真实性与依据性，有效降低大模型凭空编造的风险。在具体实施过程中，本发明共调用 Qwen API 自动生成了约 50,000 条问答样本。为进一步提升数据质量，系统又设计了一个“大模型裁判”环节，即使用大模型对每条问答样本进行质量打分，并结合人工设定的阈值进行筛选。经过该步骤，最终保留了约 30,000 条高质量训练样本。该数据集包含三个主要字段：question：基于知识块生成的用户提问；context：知识块本身的上下文内容；answer：大模型依据 context 生成的答案。在获得上述高质量数据集后，本发明选用 bge-large-zh-v1.5 作为基础嵌入模型，并基于 Sentence-Transformer 框架进行有监督微调。训练过程中，采用 MultipleNegativesRankingLoss 与 MatryoshkaLoss 结合的损失函数，以同时提升模型在相似度匹配与语义层次表达上的能力。优化的关键参数包括：学习率设定为 2e-5，批大小（batch size）为 32，训练轮数为 4 个 epoch。通过上述微调过程，本发明最终得到的领域适配向量模型能够更好地理解工程造价领域的专有语料，有效提升了检索增强生成流程中知识块与用户问题匹配的精度和稳定性，为后续问答系统的准确性与专业性提供了坚实支撑。</w:t>
      </w:r>
    </w:p>
    <w:p>
      <w:pPr>
        <w:spacing w:line="360" w:lineRule="auto"/>
        <w:ind w:firstLine="440" w:firstLineChars="200"/>
        <w:rPr>
          <w:rFonts w:hint="eastAsia"/>
          <w:sz w:val="22"/>
          <w:szCs w:val="22"/>
          <w:lang w:val="en-US" w:eastAsia="zh-CN"/>
        </w:rPr>
      </w:pPr>
      <w:r>
        <w:rPr>
          <w:rFonts w:hint="eastAsia"/>
          <w:sz w:val="22"/>
          <w:szCs w:val="22"/>
          <w:lang w:val="en-US" w:eastAsia="zh-CN"/>
        </w:rPr>
        <w:t>对于数据库问答部分的 Agent 设计，本发明的核心在于通过合理构建工具链，确保整个工作流能够严格按照预设步骤依次执行，避免流程紊乱或模型随意生成答案而导致的不可控风险。具体而言，当用户输入查询请求时，系统首先需要对用户的意图进行判别，即识别该问题是属于工程造价领域的一般知识问答，还是与材料价格相关的数据库问答。为此，本发明利用大语言模型进行意图识别，并在提示词中明确约束输出范围，将意图类别限定为四种情形：price_recommendation 表示用户在咨询或请求某种材料的价格信息；knowledge_qa 表示用户的问题为工程造价领域的知识性问答；other 表示用户的提问与材料价格或工程造价知识无关；dangerous_sql 表示用户的问题可能涉及对数据库内容的删除、修改或插入等高危操作，具有潜在风险，应予以禁止处理。提示词的设计形式如下：“你是一个工程造价领域的智能助手，负责判断用户的意图属于哪一类。意图包括以下四个选项：- price_recommendation：用户在咨询或请求某种材料的价格信息；- knowledge_qa：用户问的是工程造价领域相关的知识问题；- other：用户的问题与材料价格或工程造价知识无关；- dangerous_sql：用户的问题可能涉及删除、修改、插入或影响数据库内容的操作，具有潜在危险性，应禁止处理。请根据用户的输入，判断其属于哪一类，仅输出类别标签，不要多余解释。Q: {用户查询} A:”。通过这种限定式的设计，系统能够有效约束大模型的输出范围，使其只能在指定的选项内选择，避免了大模型生成不相关或不受控的回答。同时，考虑到用户的查询可能同时涉及知识问答、材价问答甚至潜在的危险数据库操作，本发明在提示词中还引入了少量示例样本，从而提升模型在意图识别任务中的稳定性与准确率。</w:t>
      </w:r>
    </w:p>
    <w:p>
      <w:pPr>
        <w:spacing w:line="360" w:lineRule="auto"/>
        <w:ind w:firstLine="440" w:firstLineChars="200"/>
        <w:rPr>
          <w:rFonts w:hint="eastAsia"/>
          <w:sz w:val="22"/>
          <w:szCs w:val="22"/>
          <w:lang w:val="en-US" w:eastAsia="zh-CN"/>
        </w:rPr>
      </w:pPr>
      <w:r>
        <w:rPr>
          <w:rFonts w:hint="eastAsia"/>
          <w:sz w:val="22"/>
          <w:szCs w:val="22"/>
          <w:lang w:val="en-US" w:eastAsia="zh-CN"/>
        </w:rPr>
        <w:t>在完成意图分类之后，如果用户的提问被识别为材料价格问答，系统需要进一步确定用户希望查询的价格渠道，是来源于信息价渠道还是厂商报价渠道。为此，本发明同样基于大语言模型设计了渠道识别的提示词，并将输出严格限定在三个选项中：information_price 表示信息价渠道；manufacturer_price 表示厂商报价渠道；unknown 表示用户的输入未包含渠道信息。提示词设计如下：“你是一个擅长判断用户意图识别的助手，请你分析用户输入，提取用户输入中关于信息的渠道名称；只返回渠道名称，不要额外解释。渠道名称包括三个选项：- information_price: 信息价 - manufacturer_price: 厂商报价 - unknown: 用户的输入不包含渠道信息 用户输入:{用户查询} 返回:”。通过该设计，系统能够准确提取出用户意图中涉及的渠道信息，若用户未明确提及渠道或输入存在歧义，则系统统一返回 unknown，从而保证所有情况均得到覆盖，避免遗漏或错误分类，确保整个问答流程的健壮性和可控性。</w:t>
      </w:r>
    </w:p>
    <w:p>
      <w:pPr>
        <w:spacing w:line="360" w:lineRule="auto"/>
        <w:ind w:firstLine="440" w:firstLineChars="200"/>
        <w:rPr>
          <w:rFonts w:hint="eastAsia"/>
          <w:sz w:val="22"/>
          <w:szCs w:val="22"/>
          <w:lang w:val="en-US" w:eastAsia="zh-CN"/>
        </w:rPr>
      </w:pPr>
      <w:r>
        <w:rPr>
          <w:rFonts w:hint="eastAsia"/>
          <w:sz w:val="22"/>
          <w:szCs w:val="22"/>
          <w:lang w:val="en-US" w:eastAsia="zh-CN"/>
        </w:rPr>
        <w:t>在完成用户意图和渠道识别之后，系统进一步调用实体抽取模块，对用户查询中涉及的材料相关参数进行精确提取，并将结果以 JSON 格式返回，以保证后续数据库查询接口能够被正确调用。具体而言，本发明利用大语言模型结合设计好的提示词来实现结构化信息抽取，所设计的提示词明确规定了角色定位、任务目标、参数字段及处理原则，从而保证输出的标准化与一致性。提示词示例如下：“# 角色 你是一个擅长结构化信息抽取的助手，需要从用户问题中精确提取数据库查询参数。# 任务 1. 根据用户输入提取对应参数 2. 只提取用户明确提及的参数，未提及的参数不要填充 3. 输出纯净的 JSON 格式，不要包含任何解释文本 # 参数字段：1. materialName: 材料名称（如：镀锌方钢(综合)、2002008镀锌方钢、角钢_213 等）2. materialModelSpec: 规格型号（如：304，1mm 厚，Φ25×2.0）3. brand: 材料品牌（如：宝钢、鞍钢）4. province: 省份 5. city: 城市名称（如 ‘北京市’）6. startReleaseDate: 开始时间（如：2025-01-01）7. endReleaseDate: 结束时间（如：2025-08-07）# 处理原则 1. 材料名称需提取完整名词（如 ‘角钢_213’ 而非 ‘角钢’）2. 规格型号保留原始表达（如 ‘20kg/桶’）3. 城市名称使用标准地名（如 ‘上海市’而非 ‘上海’）4. 时间格式为 ‘YYYY-MM-DD’，若用户未指定具体时间则不填充 # 当前任务 用户输入:{用户查询} 输出:”。通过这种严格约束的提示词设计，系统能够从用户输入中准确提取出数据库查询所需的参数集合，并以符合接口规范的 JSON 格式输出，避免了冗余信息或格式不一致的问题。在获得结构化参数和渠道信息后，系统将其一并传递至对应的数据库查询接口，完成价格数据的获取。针对返回的原始数据，系统首先调用推荐价格计算模块进行处理。在该模块中，系统会先对数据进行初步清洗，过滤掉缺失值、非法值等无效数据，并将剩余的数值统一转化为浮点数，以保证后续计算的一致性。随后，系统利用 IQR（四分位距）方法对价格集合中的异常值进行剔除，从而避免极端数据对统计结果造成干扰。在得到清洗后的有效价格集合后，系统进一步执行统计分析，计算包括样本数量、最大值、最小值、均值、中位数及标准差在内的多项指标，并最终选取中位数作为推荐价格结果。采用中位数作为代表值的设计能够有效减弱离群点对结果的影响，保证推荐价格的稳健性与合理性。</w:t>
      </w:r>
    </w:p>
    <w:p>
      <w:pPr>
        <w:spacing w:line="360" w:lineRule="auto"/>
        <w:ind w:firstLine="440" w:firstLineChars="200"/>
        <w:rPr>
          <w:rFonts w:hint="default"/>
          <w:sz w:val="22"/>
          <w:szCs w:val="22"/>
          <w:lang w:val="en-US" w:eastAsia="zh-CN"/>
        </w:rPr>
      </w:pPr>
      <w:r>
        <w:rPr>
          <w:rFonts w:hint="eastAsia"/>
          <w:sz w:val="22"/>
          <w:szCs w:val="22"/>
          <w:lang w:val="en-US" w:eastAsia="zh-CN"/>
        </w:rPr>
        <w:t>在完成推荐价格计算后，系统调用可视化分析模块对结果进行图表化呈现，进一步提升输出结果的直观性与可理解性。具体而言，系统利用 Echarts 绘制价格频数分布直方图和时间–价格散点图，其中频数分布图用于展示主流价格区间内的数量分布特征，散点图则用于揭示价格随时间变化的动态趋势。此外，为保证数据的可追溯性与透明度，系统还会以 Markdown 格式展示部分原始数据样本，便于用户直观验证结果的来源与可靠性。最终，系统将推荐价格、可视化图表、原始数据片段以及大语言模型生成的自然语言总结综合整合，生成逻辑清晰、专业可靠且可解释的最终回答，并反馈给用户。通过这一整套流程，数据库问答部分不仅实现了从用户输入到价格结果的全链路自动化处理，而且兼顾了准确性、可追溯性与用户体验。</w:t>
      </w:r>
    </w:p>
    <w:p>
      <w:pPr>
        <w:spacing w:line="360" w:lineRule="auto"/>
        <w:ind w:firstLine="440" w:firstLineChars="200"/>
        <w:rPr>
          <w:sz w:val="22"/>
          <w:szCs w:val="22"/>
        </w:rPr>
      </w:pPr>
      <w:r>
        <w:rPr>
          <w:sz w:val="22"/>
          <w:szCs w:val="22"/>
        </w:rPr>
        <w:t>上述实施例为本发明较佳的实施方式，但本发明的实施方式并不受上述实施例的限制，其他的任何未背离本发明的精神实质与原理下所作的改变、修饰、替代、组合、简化，均应为等效的置换方式，都包含在本发明的保护范围之内。</w:t>
      </w:r>
    </w:p>
    <w:p>
      <w:pPr>
        <w:spacing w:line="360" w:lineRule="auto"/>
        <w:ind w:firstLine="440" w:firstLineChars="200"/>
        <w:rPr>
          <w:rFonts w:ascii="宋体" w:hAnsi="宋体"/>
          <w:color w:val="FF0000"/>
          <w:sz w:val="22"/>
          <w:szCs w:val="22"/>
        </w:rPr>
      </w:pPr>
    </w:p>
    <w:p>
      <w:pPr>
        <w:pStyle w:val="2"/>
        <w:spacing w:before="0" w:after="0" w:line="360" w:lineRule="auto"/>
        <w:rPr>
          <w:sz w:val="22"/>
          <w:szCs w:val="22"/>
        </w:rPr>
      </w:pPr>
      <w:bookmarkStart w:id="3" w:name="_Hlk14184080"/>
      <w:bookmarkStart w:id="4" w:name="_Hlk14185206"/>
      <w:r>
        <w:rPr>
          <w:rFonts w:hint="eastAsia"/>
          <w:sz w:val="22"/>
          <w:szCs w:val="22"/>
        </w:rPr>
        <w:t>10.</w:t>
      </w:r>
      <w:r>
        <w:rPr>
          <w:sz w:val="22"/>
          <w:szCs w:val="22"/>
        </w:rPr>
        <w:t xml:space="preserve"> 权利要求书</w:t>
      </w:r>
      <w:r>
        <w:rPr>
          <w:rFonts w:hint="eastAsia"/>
          <w:sz w:val="22"/>
          <w:szCs w:val="22"/>
        </w:rPr>
        <w:t>（可选项）</w:t>
      </w:r>
    </w:p>
    <w:p>
      <w:pPr>
        <w:adjustRightInd w:val="0"/>
        <w:snapToGrid w:val="0"/>
        <w:spacing w:line="360" w:lineRule="auto"/>
        <w:ind w:firstLine="440" w:firstLineChars="200"/>
        <w:rPr>
          <w:color w:val="FF0000"/>
          <w:sz w:val="22"/>
          <w:szCs w:val="22"/>
        </w:rPr>
      </w:pPr>
      <w:r>
        <w:rPr>
          <w:rFonts w:hint="eastAsia"/>
          <w:color w:val="FF0000"/>
          <w:sz w:val="22"/>
          <w:szCs w:val="22"/>
        </w:rPr>
        <w:t>此处可空出由我们书写。</w:t>
      </w:r>
    </w:p>
    <w:p>
      <w:pPr>
        <w:adjustRightInd w:val="0"/>
        <w:snapToGrid w:val="0"/>
        <w:spacing w:line="360" w:lineRule="auto"/>
        <w:ind w:firstLine="440" w:firstLineChars="200"/>
        <w:rPr>
          <w:color w:val="FF0000"/>
          <w:sz w:val="22"/>
          <w:szCs w:val="22"/>
        </w:rPr>
      </w:pPr>
    </w:p>
    <w:p>
      <w:pPr>
        <w:adjustRightInd w:val="0"/>
        <w:snapToGrid w:val="0"/>
        <w:spacing w:line="360" w:lineRule="auto"/>
        <w:ind w:firstLine="440" w:firstLineChars="200"/>
        <w:rPr>
          <w:color w:val="FF0000"/>
          <w:sz w:val="22"/>
          <w:szCs w:val="22"/>
        </w:rPr>
      </w:pPr>
    </w:p>
    <w:bookmarkEnd w:id="3"/>
    <w:p>
      <w:pPr>
        <w:pStyle w:val="2"/>
        <w:spacing w:before="0" w:after="0" w:line="360" w:lineRule="auto"/>
        <w:rPr>
          <w:sz w:val="22"/>
          <w:szCs w:val="22"/>
        </w:rPr>
      </w:pPr>
      <w:bookmarkStart w:id="5" w:name="_Hlk14184097"/>
      <w:r>
        <w:rPr>
          <w:rFonts w:hint="eastAsia"/>
          <w:sz w:val="22"/>
          <w:szCs w:val="22"/>
        </w:rPr>
        <w:t>11.</w:t>
      </w:r>
      <w:r>
        <w:rPr>
          <w:sz w:val="22"/>
          <w:szCs w:val="22"/>
        </w:rPr>
        <w:t xml:space="preserve"> 说明书摘要</w:t>
      </w:r>
      <w:r>
        <w:rPr>
          <w:rFonts w:hint="eastAsia"/>
          <w:sz w:val="22"/>
          <w:szCs w:val="22"/>
        </w:rPr>
        <w:t>（可选项）</w:t>
      </w:r>
    </w:p>
    <w:p>
      <w:pPr>
        <w:adjustRightInd w:val="0"/>
        <w:snapToGrid w:val="0"/>
        <w:spacing w:line="360" w:lineRule="auto"/>
        <w:ind w:firstLine="440" w:firstLineChars="200"/>
        <w:rPr>
          <w:color w:val="FF0000"/>
          <w:sz w:val="22"/>
          <w:szCs w:val="22"/>
        </w:rPr>
      </w:pPr>
      <w:r>
        <w:rPr>
          <w:rFonts w:hint="eastAsia"/>
          <w:color w:val="FF0000"/>
          <w:sz w:val="22"/>
          <w:szCs w:val="22"/>
        </w:rPr>
        <w:t>此处可空出由我们书写。</w:t>
      </w:r>
    </w:p>
    <w:bookmarkEnd w:id="4"/>
    <w:bookmarkEnd w:id="5"/>
    <w:p>
      <w:pPr>
        <w:adjustRightInd w:val="0"/>
        <w:snapToGrid w:val="0"/>
        <w:spacing w:line="360" w:lineRule="auto"/>
        <w:ind w:firstLine="440" w:firstLineChars="200"/>
        <w:rPr>
          <w:sz w:val="22"/>
          <w:szCs w:val="22"/>
        </w:rPr>
      </w:pPr>
    </w:p>
    <w:p>
      <w:pPr>
        <w:adjustRightInd w:val="0"/>
        <w:snapToGrid w:val="0"/>
        <w:spacing w:line="360" w:lineRule="auto"/>
        <w:ind w:firstLine="440" w:firstLineChars="200"/>
        <w:rPr>
          <w:sz w:val="22"/>
          <w:szCs w:val="22"/>
        </w:rPr>
      </w:pPr>
    </w:p>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851" w:footer="851"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fldChar w:fldCharType="begin"/>
    </w:r>
    <w:r>
      <w:instrText xml:space="preserve">PAGE   \* MERGEFORMAT</w:instrText>
    </w:r>
    <w:r>
      <w:fldChar w:fldCharType="separate"/>
    </w:r>
    <w:r>
      <w:rPr>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pPr>
    <w:r>
      <w:rPr>
        <w:rFonts w:hint="eastAsia" w:ascii="Arial" w:hAnsi="Arial" w:cs="Arial"/>
      </w:rPr>
      <w:t>专利交底书：</w:t>
    </w:r>
    <w:r>
      <w:rPr>
        <w:rFonts w:ascii="Arial" w:hAnsi="Arial" w:cs="Arial"/>
      </w:rPr>
      <w:t xml:space="preserve">1. </w:t>
    </w:r>
    <w:r>
      <w:rPr>
        <w:rFonts w:hint="eastAsia" w:ascii="Arial" w:hAnsi="Arial" w:cs="Arial"/>
      </w:rPr>
      <w:t>红色字体为说明文字；</w:t>
    </w:r>
    <w:r>
      <w:rPr>
        <w:rFonts w:ascii="Arial" w:hAnsi="Arial" w:cs="Arial"/>
      </w:rPr>
      <w:t xml:space="preserve">2. </w:t>
    </w:r>
    <w:r>
      <w:rPr>
        <w:rFonts w:hint="eastAsia" w:ascii="Arial" w:hAnsi="Arial" w:cs="Arial"/>
      </w:rPr>
      <w:t>黑色字体为标准内容格式；</w:t>
    </w:r>
    <w:r>
      <w:rPr>
        <w:rFonts w:ascii="Arial" w:hAnsi="Arial" w:cs="Arial"/>
      </w:rPr>
      <w:t xml:space="preserve">3. </w:t>
    </w:r>
    <w:r>
      <w:rPr>
        <w:rFonts w:hint="eastAsia" w:ascii="Arial" w:hAnsi="Arial" w:cs="Arial"/>
      </w:rPr>
      <w:t>蓝色字体，为填写内容；</w:t>
    </w:r>
    <w:r>
      <w:rPr>
        <w:rFonts w:ascii="Arial" w:hAnsi="Arial" w:cs="Arial"/>
      </w:rPr>
      <w:t xml:space="preserve">4. </w:t>
    </w:r>
    <w:r>
      <w:rPr>
        <w:rFonts w:hint="eastAsia" w:ascii="Arial" w:hAnsi="Arial" w:cs="Arial"/>
      </w:rPr>
      <w:t>黄色底纹字体，为审查批注内容；</w:t>
    </w:r>
    <w:r>
      <w:rPr>
        <w:rFonts w:ascii="Arial" w:hAnsi="Arial" w:cs="Arial"/>
      </w:rPr>
      <w:t xml:space="preserve">5. </w:t>
    </w:r>
    <w:r>
      <w:rPr>
        <w:rFonts w:hint="eastAsia" w:ascii="Arial" w:hAnsi="Arial" w:cs="Arial"/>
      </w:rPr>
      <w:t>图形：原图</w:t>
    </w:r>
    <w:r>
      <w:rPr>
        <w:rFonts w:ascii="Arial" w:hAnsi="Arial" w:cs="Arial"/>
      </w:rPr>
      <w:t>Visio 2003-2010</w:t>
    </w:r>
    <w:r>
      <w:rPr>
        <w:rFonts w:hint="eastAsia" w:ascii="Arial" w:hAnsi="Arial" w:cs="Arial"/>
      </w:rPr>
      <w:t>版本，黑白色，无填充；</w:t>
    </w:r>
    <w:r>
      <w:rPr>
        <w:rFonts w:ascii="Arial" w:hAnsi="Arial" w:cs="Arial"/>
      </w:rPr>
      <w:t xml:space="preserve">6. </w:t>
    </w:r>
    <w:r>
      <w:rPr>
        <w:rFonts w:hint="eastAsia" w:ascii="Arial" w:hAnsi="Arial" w:cs="Arial"/>
      </w:rPr>
      <w:t>电路图：</w:t>
    </w:r>
    <w:r>
      <w:rPr>
        <w:rFonts w:ascii="Arial" w:hAnsi="Arial" w:cs="Arial"/>
      </w:rPr>
      <w:t>PDF</w:t>
    </w:r>
    <w:r>
      <w:rPr>
        <w:rFonts w:hint="eastAsia" w:ascii="Arial" w:hAnsi="Arial" w:cs="Arial"/>
      </w:rPr>
      <w:t>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5ABB47"/>
    <w:multiLevelType w:val="multilevel"/>
    <w:tmpl w:val="BD5ABB47"/>
    <w:lvl w:ilvl="0" w:tentative="0">
      <w:start w:val="1"/>
      <w:numFmt w:val="decimal"/>
      <w:lvlText w:val="%1."/>
      <w:lvlJc w:val="left"/>
      <w:pPr>
        <w:ind w:left="425" w:hanging="425"/>
      </w:pPr>
      <w:rPr>
        <w:rFonts w:hint="default"/>
        <w:color w:val="auto"/>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C506187E"/>
    <w:multiLevelType w:val="singleLevel"/>
    <w:tmpl w:val="C506187E"/>
    <w:lvl w:ilvl="0" w:tentative="0">
      <w:start w:val="9"/>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5"/>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xN2UzNWE0N2NkYmViOTMzZWVlZmVmZDBiMzhlMzAifQ=="/>
  </w:docVars>
  <w:rsids>
    <w:rsidRoot w:val="001E0DD1"/>
    <w:rsid w:val="00001373"/>
    <w:rsid w:val="00001D85"/>
    <w:rsid w:val="000043FC"/>
    <w:rsid w:val="0000440E"/>
    <w:rsid w:val="0000453A"/>
    <w:rsid w:val="00004BAD"/>
    <w:rsid w:val="00004D0A"/>
    <w:rsid w:val="0000646C"/>
    <w:rsid w:val="00011AFD"/>
    <w:rsid w:val="00012348"/>
    <w:rsid w:val="00016D39"/>
    <w:rsid w:val="00020085"/>
    <w:rsid w:val="000208C1"/>
    <w:rsid w:val="00021760"/>
    <w:rsid w:val="00021867"/>
    <w:rsid w:val="00024AC9"/>
    <w:rsid w:val="00026978"/>
    <w:rsid w:val="00030B5E"/>
    <w:rsid w:val="000322E6"/>
    <w:rsid w:val="000325FF"/>
    <w:rsid w:val="00034E7F"/>
    <w:rsid w:val="00035E17"/>
    <w:rsid w:val="00036588"/>
    <w:rsid w:val="00042DB0"/>
    <w:rsid w:val="00043635"/>
    <w:rsid w:val="0004499D"/>
    <w:rsid w:val="000471C5"/>
    <w:rsid w:val="0005068A"/>
    <w:rsid w:val="0005087C"/>
    <w:rsid w:val="000515D1"/>
    <w:rsid w:val="00052837"/>
    <w:rsid w:val="00057FB9"/>
    <w:rsid w:val="00060A61"/>
    <w:rsid w:val="00061A64"/>
    <w:rsid w:val="00061B80"/>
    <w:rsid w:val="00066175"/>
    <w:rsid w:val="00067E62"/>
    <w:rsid w:val="00071A1D"/>
    <w:rsid w:val="0007459E"/>
    <w:rsid w:val="00074AE4"/>
    <w:rsid w:val="00076C0F"/>
    <w:rsid w:val="00077B33"/>
    <w:rsid w:val="00080AB1"/>
    <w:rsid w:val="00082681"/>
    <w:rsid w:val="000828E8"/>
    <w:rsid w:val="00087EBF"/>
    <w:rsid w:val="00090E9B"/>
    <w:rsid w:val="00096518"/>
    <w:rsid w:val="000A11C1"/>
    <w:rsid w:val="000A4E95"/>
    <w:rsid w:val="000A61FB"/>
    <w:rsid w:val="000A6AB1"/>
    <w:rsid w:val="000A7222"/>
    <w:rsid w:val="000A78F5"/>
    <w:rsid w:val="000B339C"/>
    <w:rsid w:val="000B3EAD"/>
    <w:rsid w:val="000B40EB"/>
    <w:rsid w:val="000B4BF8"/>
    <w:rsid w:val="000B521B"/>
    <w:rsid w:val="000B59CF"/>
    <w:rsid w:val="000C019F"/>
    <w:rsid w:val="000C0818"/>
    <w:rsid w:val="000C135F"/>
    <w:rsid w:val="000C3570"/>
    <w:rsid w:val="000C4421"/>
    <w:rsid w:val="000C634E"/>
    <w:rsid w:val="000C69BD"/>
    <w:rsid w:val="000D01AE"/>
    <w:rsid w:val="000D636C"/>
    <w:rsid w:val="000E167F"/>
    <w:rsid w:val="000E1E29"/>
    <w:rsid w:val="000E1F98"/>
    <w:rsid w:val="000E4551"/>
    <w:rsid w:val="000F06E1"/>
    <w:rsid w:val="000F08BB"/>
    <w:rsid w:val="000F4D4E"/>
    <w:rsid w:val="000F6AAA"/>
    <w:rsid w:val="000F6B0B"/>
    <w:rsid w:val="000F7503"/>
    <w:rsid w:val="000F7668"/>
    <w:rsid w:val="00101700"/>
    <w:rsid w:val="00105A69"/>
    <w:rsid w:val="00105BEF"/>
    <w:rsid w:val="001065F3"/>
    <w:rsid w:val="00107F2B"/>
    <w:rsid w:val="0011564B"/>
    <w:rsid w:val="00115CB3"/>
    <w:rsid w:val="00130376"/>
    <w:rsid w:val="00134251"/>
    <w:rsid w:val="00136527"/>
    <w:rsid w:val="0013746C"/>
    <w:rsid w:val="0014202F"/>
    <w:rsid w:val="00145573"/>
    <w:rsid w:val="0014602B"/>
    <w:rsid w:val="001461C9"/>
    <w:rsid w:val="00146398"/>
    <w:rsid w:val="001470A5"/>
    <w:rsid w:val="00151064"/>
    <w:rsid w:val="0015325D"/>
    <w:rsid w:val="00153C7F"/>
    <w:rsid w:val="00154088"/>
    <w:rsid w:val="001541E7"/>
    <w:rsid w:val="00155135"/>
    <w:rsid w:val="00161EC8"/>
    <w:rsid w:val="001632DC"/>
    <w:rsid w:val="001653E5"/>
    <w:rsid w:val="00165A3B"/>
    <w:rsid w:val="00167464"/>
    <w:rsid w:val="00167DD8"/>
    <w:rsid w:val="00167DEF"/>
    <w:rsid w:val="001727AD"/>
    <w:rsid w:val="00173B49"/>
    <w:rsid w:val="00173EAC"/>
    <w:rsid w:val="00175029"/>
    <w:rsid w:val="00175841"/>
    <w:rsid w:val="00180E3A"/>
    <w:rsid w:val="00181813"/>
    <w:rsid w:val="00182E8F"/>
    <w:rsid w:val="00183233"/>
    <w:rsid w:val="00183861"/>
    <w:rsid w:val="00183A95"/>
    <w:rsid w:val="00183FDB"/>
    <w:rsid w:val="001844D0"/>
    <w:rsid w:val="001860DE"/>
    <w:rsid w:val="001905B8"/>
    <w:rsid w:val="00192774"/>
    <w:rsid w:val="00192A95"/>
    <w:rsid w:val="00193835"/>
    <w:rsid w:val="001A13A2"/>
    <w:rsid w:val="001A48D5"/>
    <w:rsid w:val="001A69CF"/>
    <w:rsid w:val="001A6F7B"/>
    <w:rsid w:val="001A728B"/>
    <w:rsid w:val="001B0F7F"/>
    <w:rsid w:val="001B299A"/>
    <w:rsid w:val="001B29D7"/>
    <w:rsid w:val="001B5239"/>
    <w:rsid w:val="001B7428"/>
    <w:rsid w:val="001C2DB3"/>
    <w:rsid w:val="001C30D6"/>
    <w:rsid w:val="001C44D3"/>
    <w:rsid w:val="001C549B"/>
    <w:rsid w:val="001C73A5"/>
    <w:rsid w:val="001D0020"/>
    <w:rsid w:val="001E0DD1"/>
    <w:rsid w:val="001E1A5E"/>
    <w:rsid w:val="001E40E4"/>
    <w:rsid w:val="001E4D27"/>
    <w:rsid w:val="001F1C75"/>
    <w:rsid w:val="001F27F3"/>
    <w:rsid w:val="001F3813"/>
    <w:rsid w:val="001F62C1"/>
    <w:rsid w:val="00200568"/>
    <w:rsid w:val="00203A57"/>
    <w:rsid w:val="00207891"/>
    <w:rsid w:val="00207CCE"/>
    <w:rsid w:val="002110D3"/>
    <w:rsid w:val="00213287"/>
    <w:rsid w:val="002135B8"/>
    <w:rsid w:val="00215695"/>
    <w:rsid w:val="00216E42"/>
    <w:rsid w:val="002170EE"/>
    <w:rsid w:val="00222F9E"/>
    <w:rsid w:val="00224A28"/>
    <w:rsid w:val="00225DE4"/>
    <w:rsid w:val="002269E3"/>
    <w:rsid w:val="00231203"/>
    <w:rsid w:val="0023159E"/>
    <w:rsid w:val="00232E30"/>
    <w:rsid w:val="002429F6"/>
    <w:rsid w:val="00252612"/>
    <w:rsid w:val="00252AA4"/>
    <w:rsid w:val="00260639"/>
    <w:rsid w:val="002633C6"/>
    <w:rsid w:val="002743F8"/>
    <w:rsid w:val="00275638"/>
    <w:rsid w:val="00277145"/>
    <w:rsid w:val="00277C73"/>
    <w:rsid w:val="0028035A"/>
    <w:rsid w:val="00282C0D"/>
    <w:rsid w:val="00284180"/>
    <w:rsid w:val="00284AF5"/>
    <w:rsid w:val="002855C2"/>
    <w:rsid w:val="00286311"/>
    <w:rsid w:val="002872A1"/>
    <w:rsid w:val="00287C4D"/>
    <w:rsid w:val="00291047"/>
    <w:rsid w:val="00292F0C"/>
    <w:rsid w:val="00293DF8"/>
    <w:rsid w:val="002948C2"/>
    <w:rsid w:val="00294AFD"/>
    <w:rsid w:val="00295C58"/>
    <w:rsid w:val="002A11FF"/>
    <w:rsid w:val="002A2F95"/>
    <w:rsid w:val="002A7F4A"/>
    <w:rsid w:val="002B2253"/>
    <w:rsid w:val="002B66EC"/>
    <w:rsid w:val="002C079F"/>
    <w:rsid w:val="002C4DF1"/>
    <w:rsid w:val="002D1F5D"/>
    <w:rsid w:val="002D4CD6"/>
    <w:rsid w:val="002D6608"/>
    <w:rsid w:val="002E25FE"/>
    <w:rsid w:val="002E2956"/>
    <w:rsid w:val="002E3D04"/>
    <w:rsid w:val="002E5468"/>
    <w:rsid w:val="002E723A"/>
    <w:rsid w:val="002E7D8E"/>
    <w:rsid w:val="002F072F"/>
    <w:rsid w:val="002F0758"/>
    <w:rsid w:val="002F17ED"/>
    <w:rsid w:val="002F2110"/>
    <w:rsid w:val="002F34F2"/>
    <w:rsid w:val="002F3AE3"/>
    <w:rsid w:val="002F42A2"/>
    <w:rsid w:val="002F4DC6"/>
    <w:rsid w:val="002F516A"/>
    <w:rsid w:val="002F684D"/>
    <w:rsid w:val="002F710E"/>
    <w:rsid w:val="002F7DC7"/>
    <w:rsid w:val="003005C8"/>
    <w:rsid w:val="003017A9"/>
    <w:rsid w:val="003031AD"/>
    <w:rsid w:val="0030326B"/>
    <w:rsid w:val="00303F81"/>
    <w:rsid w:val="003078BB"/>
    <w:rsid w:val="00307C34"/>
    <w:rsid w:val="0031034E"/>
    <w:rsid w:val="00310412"/>
    <w:rsid w:val="00310888"/>
    <w:rsid w:val="00311AF2"/>
    <w:rsid w:val="003124F2"/>
    <w:rsid w:val="00312A67"/>
    <w:rsid w:val="003143CA"/>
    <w:rsid w:val="00316EC0"/>
    <w:rsid w:val="00317090"/>
    <w:rsid w:val="00317244"/>
    <w:rsid w:val="00320ED0"/>
    <w:rsid w:val="0032238F"/>
    <w:rsid w:val="00323AC1"/>
    <w:rsid w:val="00325A06"/>
    <w:rsid w:val="0033140E"/>
    <w:rsid w:val="00332300"/>
    <w:rsid w:val="003413E7"/>
    <w:rsid w:val="0034227F"/>
    <w:rsid w:val="00342EC2"/>
    <w:rsid w:val="00346B1B"/>
    <w:rsid w:val="00346C3B"/>
    <w:rsid w:val="00353942"/>
    <w:rsid w:val="003554CC"/>
    <w:rsid w:val="00355F1F"/>
    <w:rsid w:val="003565E2"/>
    <w:rsid w:val="003605C0"/>
    <w:rsid w:val="003615E6"/>
    <w:rsid w:val="00361919"/>
    <w:rsid w:val="00361D3C"/>
    <w:rsid w:val="00363CD0"/>
    <w:rsid w:val="00364F7D"/>
    <w:rsid w:val="00370235"/>
    <w:rsid w:val="00370C2B"/>
    <w:rsid w:val="00374B42"/>
    <w:rsid w:val="00377D29"/>
    <w:rsid w:val="00380906"/>
    <w:rsid w:val="00381882"/>
    <w:rsid w:val="003830D0"/>
    <w:rsid w:val="0038319E"/>
    <w:rsid w:val="0038458E"/>
    <w:rsid w:val="003860AA"/>
    <w:rsid w:val="00387089"/>
    <w:rsid w:val="00391622"/>
    <w:rsid w:val="0039200E"/>
    <w:rsid w:val="00393700"/>
    <w:rsid w:val="00397F7F"/>
    <w:rsid w:val="003A00DA"/>
    <w:rsid w:val="003A138C"/>
    <w:rsid w:val="003A1D86"/>
    <w:rsid w:val="003A4DAF"/>
    <w:rsid w:val="003B01ED"/>
    <w:rsid w:val="003B0D6D"/>
    <w:rsid w:val="003B0F5C"/>
    <w:rsid w:val="003B5A6C"/>
    <w:rsid w:val="003B6401"/>
    <w:rsid w:val="003C0CC4"/>
    <w:rsid w:val="003C114D"/>
    <w:rsid w:val="003C25E7"/>
    <w:rsid w:val="003C40C3"/>
    <w:rsid w:val="003D2198"/>
    <w:rsid w:val="003D536D"/>
    <w:rsid w:val="003E0D17"/>
    <w:rsid w:val="003E54F6"/>
    <w:rsid w:val="003E6B6B"/>
    <w:rsid w:val="003E6BAA"/>
    <w:rsid w:val="003E72DC"/>
    <w:rsid w:val="003F0153"/>
    <w:rsid w:val="003F357C"/>
    <w:rsid w:val="003F3C0E"/>
    <w:rsid w:val="003F512B"/>
    <w:rsid w:val="003F6898"/>
    <w:rsid w:val="0040037D"/>
    <w:rsid w:val="00400567"/>
    <w:rsid w:val="004040C0"/>
    <w:rsid w:val="00404659"/>
    <w:rsid w:val="0041228A"/>
    <w:rsid w:val="00413BE6"/>
    <w:rsid w:val="00416575"/>
    <w:rsid w:val="0041674D"/>
    <w:rsid w:val="004175FD"/>
    <w:rsid w:val="00422282"/>
    <w:rsid w:val="00423A4E"/>
    <w:rsid w:val="00423C5E"/>
    <w:rsid w:val="004243F5"/>
    <w:rsid w:val="004247AB"/>
    <w:rsid w:val="00427D6F"/>
    <w:rsid w:val="004320DC"/>
    <w:rsid w:val="00433703"/>
    <w:rsid w:val="004354F8"/>
    <w:rsid w:val="00437AE7"/>
    <w:rsid w:val="00440628"/>
    <w:rsid w:val="004421E8"/>
    <w:rsid w:val="00450BF2"/>
    <w:rsid w:val="00451011"/>
    <w:rsid w:val="004513C2"/>
    <w:rsid w:val="00452BF8"/>
    <w:rsid w:val="0045585E"/>
    <w:rsid w:val="004559E5"/>
    <w:rsid w:val="00463602"/>
    <w:rsid w:val="00464D5F"/>
    <w:rsid w:val="004652F5"/>
    <w:rsid w:val="0046665C"/>
    <w:rsid w:val="00467756"/>
    <w:rsid w:val="0047078A"/>
    <w:rsid w:val="00471E12"/>
    <w:rsid w:val="00471F80"/>
    <w:rsid w:val="0047437E"/>
    <w:rsid w:val="004751FA"/>
    <w:rsid w:val="00477558"/>
    <w:rsid w:val="00477C55"/>
    <w:rsid w:val="0048081E"/>
    <w:rsid w:val="0048112B"/>
    <w:rsid w:val="00483B0D"/>
    <w:rsid w:val="00484974"/>
    <w:rsid w:val="00484CCA"/>
    <w:rsid w:val="004850A5"/>
    <w:rsid w:val="0048699E"/>
    <w:rsid w:val="00487D44"/>
    <w:rsid w:val="00491244"/>
    <w:rsid w:val="0049153F"/>
    <w:rsid w:val="00491DCD"/>
    <w:rsid w:val="00492BE3"/>
    <w:rsid w:val="00492E71"/>
    <w:rsid w:val="00493128"/>
    <w:rsid w:val="00493A1C"/>
    <w:rsid w:val="00495400"/>
    <w:rsid w:val="00496992"/>
    <w:rsid w:val="00496E4D"/>
    <w:rsid w:val="004A6E47"/>
    <w:rsid w:val="004A6F90"/>
    <w:rsid w:val="004B1153"/>
    <w:rsid w:val="004B139D"/>
    <w:rsid w:val="004B1D96"/>
    <w:rsid w:val="004B3514"/>
    <w:rsid w:val="004B7636"/>
    <w:rsid w:val="004C227E"/>
    <w:rsid w:val="004C4440"/>
    <w:rsid w:val="004C50FE"/>
    <w:rsid w:val="004C6B3C"/>
    <w:rsid w:val="004C7FDE"/>
    <w:rsid w:val="004D0443"/>
    <w:rsid w:val="004D3D11"/>
    <w:rsid w:val="004D48B1"/>
    <w:rsid w:val="004D7AA1"/>
    <w:rsid w:val="004E3345"/>
    <w:rsid w:val="004E6BB1"/>
    <w:rsid w:val="004F1059"/>
    <w:rsid w:val="004F15FB"/>
    <w:rsid w:val="004F5176"/>
    <w:rsid w:val="004F61E6"/>
    <w:rsid w:val="004F6D9D"/>
    <w:rsid w:val="005013F6"/>
    <w:rsid w:val="005021DD"/>
    <w:rsid w:val="0050401C"/>
    <w:rsid w:val="00507788"/>
    <w:rsid w:val="00520005"/>
    <w:rsid w:val="00521B40"/>
    <w:rsid w:val="00521BC4"/>
    <w:rsid w:val="00525439"/>
    <w:rsid w:val="00525A2B"/>
    <w:rsid w:val="005300C7"/>
    <w:rsid w:val="00532FA5"/>
    <w:rsid w:val="00533922"/>
    <w:rsid w:val="00536713"/>
    <w:rsid w:val="005370B1"/>
    <w:rsid w:val="0054059C"/>
    <w:rsid w:val="00540997"/>
    <w:rsid w:val="00543439"/>
    <w:rsid w:val="00544DFB"/>
    <w:rsid w:val="005455F7"/>
    <w:rsid w:val="00545D35"/>
    <w:rsid w:val="00545EF8"/>
    <w:rsid w:val="00545FEA"/>
    <w:rsid w:val="005463B8"/>
    <w:rsid w:val="00546BA5"/>
    <w:rsid w:val="00547CD1"/>
    <w:rsid w:val="005519AD"/>
    <w:rsid w:val="00554718"/>
    <w:rsid w:val="00561207"/>
    <w:rsid w:val="00561F5E"/>
    <w:rsid w:val="00562FA7"/>
    <w:rsid w:val="00564545"/>
    <w:rsid w:val="005645FC"/>
    <w:rsid w:val="00564756"/>
    <w:rsid w:val="00573DB0"/>
    <w:rsid w:val="00573E7C"/>
    <w:rsid w:val="00575710"/>
    <w:rsid w:val="005766EE"/>
    <w:rsid w:val="00577453"/>
    <w:rsid w:val="005806D7"/>
    <w:rsid w:val="00584B5B"/>
    <w:rsid w:val="00584BC5"/>
    <w:rsid w:val="0058510C"/>
    <w:rsid w:val="00587BA6"/>
    <w:rsid w:val="00590DF7"/>
    <w:rsid w:val="00591B3A"/>
    <w:rsid w:val="00597836"/>
    <w:rsid w:val="00597C72"/>
    <w:rsid w:val="005A0EA8"/>
    <w:rsid w:val="005A2F9A"/>
    <w:rsid w:val="005A7405"/>
    <w:rsid w:val="005B0B21"/>
    <w:rsid w:val="005B35DB"/>
    <w:rsid w:val="005B3AEC"/>
    <w:rsid w:val="005B7035"/>
    <w:rsid w:val="005B7594"/>
    <w:rsid w:val="005B75B5"/>
    <w:rsid w:val="005C440A"/>
    <w:rsid w:val="005C7574"/>
    <w:rsid w:val="005D0B53"/>
    <w:rsid w:val="005D0B7B"/>
    <w:rsid w:val="005D11D2"/>
    <w:rsid w:val="005D1247"/>
    <w:rsid w:val="005D1407"/>
    <w:rsid w:val="005D6C72"/>
    <w:rsid w:val="005D6F0A"/>
    <w:rsid w:val="005E20B4"/>
    <w:rsid w:val="005E29AB"/>
    <w:rsid w:val="005E359A"/>
    <w:rsid w:val="005E46BE"/>
    <w:rsid w:val="005E71A4"/>
    <w:rsid w:val="005F0B40"/>
    <w:rsid w:val="005F1B61"/>
    <w:rsid w:val="005F2402"/>
    <w:rsid w:val="005F5499"/>
    <w:rsid w:val="005F6CEF"/>
    <w:rsid w:val="006036DA"/>
    <w:rsid w:val="00604DF5"/>
    <w:rsid w:val="00606B5E"/>
    <w:rsid w:val="00607698"/>
    <w:rsid w:val="00607AC7"/>
    <w:rsid w:val="0061144B"/>
    <w:rsid w:val="0061316C"/>
    <w:rsid w:val="00614241"/>
    <w:rsid w:val="0061506E"/>
    <w:rsid w:val="006368A4"/>
    <w:rsid w:val="00640F67"/>
    <w:rsid w:val="006420BF"/>
    <w:rsid w:val="00645225"/>
    <w:rsid w:val="00650A13"/>
    <w:rsid w:val="00652CF9"/>
    <w:rsid w:val="00652E0F"/>
    <w:rsid w:val="0065327B"/>
    <w:rsid w:val="00657918"/>
    <w:rsid w:val="006615BB"/>
    <w:rsid w:val="006674D4"/>
    <w:rsid w:val="00670727"/>
    <w:rsid w:val="006727AF"/>
    <w:rsid w:val="006732E1"/>
    <w:rsid w:val="00673CA6"/>
    <w:rsid w:val="006741AC"/>
    <w:rsid w:val="006779A2"/>
    <w:rsid w:val="0068025F"/>
    <w:rsid w:val="00681BD8"/>
    <w:rsid w:val="0068205A"/>
    <w:rsid w:val="006837A9"/>
    <w:rsid w:val="00683A52"/>
    <w:rsid w:val="006849E9"/>
    <w:rsid w:val="00685A52"/>
    <w:rsid w:val="00685C3E"/>
    <w:rsid w:val="006930B3"/>
    <w:rsid w:val="006933AB"/>
    <w:rsid w:val="006A384E"/>
    <w:rsid w:val="006A7C02"/>
    <w:rsid w:val="006B13E9"/>
    <w:rsid w:val="006B58F1"/>
    <w:rsid w:val="006B7C94"/>
    <w:rsid w:val="006C112E"/>
    <w:rsid w:val="006C285A"/>
    <w:rsid w:val="006C3A6C"/>
    <w:rsid w:val="006C5FB7"/>
    <w:rsid w:val="006D0B12"/>
    <w:rsid w:val="006D2749"/>
    <w:rsid w:val="006D425D"/>
    <w:rsid w:val="006D6B7A"/>
    <w:rsid w:val="006D791B"/>
    <w:rsid w:val="006E257A"/>
    <w:rsid w:val="006E33E0"/>
    <w:rsid w:val="006E35C3"/>
    <w:rsid w:val="006F140E"/>
    <w:rsid w:val="006F173E"/>
    <w:rsid w:val="006F1AFF"/>
    <w:rsid w:val="006F3484"/>
    <w:rsid w:val="006F5AD9"/>
    <w:rsid w:val="006F609D"/>
    <w:rsid w:val="006F7766"/>
    <w:rsid w:val="006F7BCE"/>
    <w:rsid w:val="006F7FAA"/>
    <w:rsid w:val="00700B8B"/>
    <w:rsid w:val="007032E3"/>
    <w:rsid w:val="00703889"/>
    <w:rsid w:val="00703974"/>
    <w:rsid w:val="00705E25"/>
    <w:rsid w:val="00710360"/>
    <w:rsid w:val="00711D29"/>
    <w:rsid w:val="00712187"/>
    <w:rsid w:val="0071342B"/>
    <w:rsid w:val="00716614"/>
    <w:rsid w:val="00717253"/>
    <w:rsid w:val="00717782"/>
    <w:rsid w:val="00720D14"/>
    <w:rsid w:val="00722BC4"/>
    <w:rsid w:val="00725C81"/>
    <w:rsid w:val="0072681F"/>
    <w:rsid w:val="00727143"/>
    <w:rsid w:val="00732037"/>
    <w:rsid w:val="0073560B"/>
    <w:rsid w:val="00740140"/>
    <w:rsid w:val="00740264"/>
    <w:rsid w:val="00741D3B"/>
    <w:rsid w:val="00743A22"/>
    <w:rsid w:val="00745117"/>
    <w:rsid w:val="007464A1"/>
    <w:rsid w:val="00751612"/>
    <w:rsid w:val="00751A7A"/>
    <w:rsid w:val="007527C8"/>
    <w:rsid w:val="0075525E"/>
    <w:rsid w:val="00755F7D"/>
    <w:rsid w:val="00757CE2"/>
    <w:rsid w:val="0076016C"/>
    <w:rsid w:val="00760446"/>
    <w:rsid w:val="00763313"/>
    <w:rsid w:val="007638DB"/>
    <w:rsid w:val="00766504"/>
    <w:rsid w:val="007709C0"/>
    <w:rsid w:val="00770D63"/>
    <w:rsid w:val="00773216"/>
    <w:rsid w:val="0077398B"/>
    <w:rsid w:val="00775EAC"/>
    <w:rsid w:val="007826A2"/>
    <w:rsid w:val="00784247"/>
    <w:rsid w:val="0078677C"/>
    <w:rsid w:val="00786AEC"/>
    <w:rsid w:val="00790B32"/>
    <w:rsid w:val="00791E76"/>
    <w:rsid w:val="007976E7"/>
    <w:rsid w:val="007A6775"/>
    <w:rsid w:val="007B5125"/>
    <w:rsid w:val="007B533E"/>
    <w:rsid w:val="007B58C7"/>
    <w:rsid w:val="007B6BA5"/>
    <w:rsid w:val="007C2EC3"/>
    <w:rsid w:val="007C7A84"/>
    <w:rsid w:val="007D1CDB"/>
    <w:rsid w:val="007D68F0"/>
    <w:rsid w:val="007E16BC"/>
    <w:rsid w:val="007E3413"/>
    <w:rsid w:val="007E4E6A"/>
    <w:rsid w:val="007E6AEE"/>
    <w:rsid w:val="007E7C41"/>
    <w:rsid w:val="007E7CEE"/>
    <w:rsid w:val="007F1C9E"/>
    <w:rsid w:val="007F28C2"/>
    <w:rsid w:val="007F7F38"/>
    <w:rsid w:val="00800466"/>
    <w:rsid w:val="00801387"/>
    <w:rsid w:val="008034F0"/>
    <w:rsid w:val="00803804"/>
    <w:rsid w:val="008073DD"/>
    <w:rsid w:val="00807547"/>
    <w:rsid w:val="00812F2C"/>
    <w:rsid w:val="00821CF6"/>
    <w:rsid w:val="008223ED"/>
    <w:rsid w:val="00822FEE"/>
    <w:rsid w:val="00823D24"/>
    <w:rsid w:val="00824A4A"/>
    <w:rsid w:val="00824C23"/>
    <w:rsid w:val="00826F75"/>
    <w:rsid w:val="00827B2F"/>
    <w:rsid w:val="00832BC5"/>
    <w:rsid w:val="008332B2"/>
    <w:rsid w:val="008351F5"/>
    <w:rsid w:val="00835721"/>
    <w:rsid w:val="0083617D"/>
    <w:rsid w:val="00836680"/>
    <w:rsid w:val="008420FE"/>
    <w:rsid w:val="00842DFF"/>
    <w:rsid w:val="00842F9D"/>
    <w:rsid w:val="00843F65"/>
    <w:rsid w:val="0084452E"/>
    <w:rsid w:val="00846201"/>
    <w:rsid w:val="008464C9"/>
    <w:rsid w:val="008464D4"/>
    <w:rsid w:val="00851EF3"/>
    <w:rsid w:val="008546C0"/>
    <w:rsid w:val="00855F2A"/>
    <w:rsid w:val="00856C98"/>
    <w:rsid w:val="00860D5E"/>
    <w:rsid w:val="008621CA"/>
    <w:rsid w:val="008624A7"/>
    <w:rsid w:val="00862613"/>
    <w:rsid w:val="00862EF0"/>
    <w:rsid w:val="0086331A"/>
    <w:rsid w:val="00870852"/>
    <w:rsid w:val="008712A0"/>
    <w:rsid w:val="00872A48"/>
    <w:rsid w:val="00872BAC"/>
    <w:rsid w:val="00872CFB"/>
    <w:rsid w:val="008762E2"/>
    <w:rsid w:val="008766F4"/>
    <w:rsid w:val="00876BDB"/>
    <w:rsid w:val="00881FB3"/>
    <w:rsid w:val="00893D68"/>
    <w:rsid w:val="008A3FEE"/>
    <w:rsid w:val="008A59CF"/>
    <w:rsid w:val="008B4B46"/>
    <w:rsid w:val="008B5330"/>
    <w:rsid w:val="008B5D2C"/>
    <w:rsid w:val="008C22C2"/>
    <w:rsid w:val="008C29F4"/>
    <w:rsid w:val="008C4286"/>
    <w:rsid w:val="008C4CD9"/>
    <w:rsid w:val="008C7000"/>
    <w:rsid w:val="008C7A7E"/>
    <w:rsid w:val="008D0688"/>
    <w:rsid w:val="008D1ED1"/>
    <w:rsid w:val="008D4C2A"/>
    <w:rsid w:val="008E0C60"/>
    <w:rsid w:val="008E1ED6"/>
    <w:rsid w:val="008E2006"/>
    <w:rsid w:val="008E248C"/>
    <w:rsid w:val="008E28F6"/>
    <w:rsid w:val="008E2F47"/>
    <w:rsid w:val="008E5371"/>
    <w:rsid w:val="008E682B"/>
    <w:rsid w:val="008F1A94"/>
    <w:rsid w:val="008F709E"/>
    <w:rsid w:val="008F7815"/>
    <w:rsid w:val="0090021D"/>
    <w:rsid w:val="0090052D"/>
    <w:rsid w:val="00903E16"/>
    <w:rsid w:val="009048FA"/>
    <w:rsid w:val="0090697E"/>
    <w:rsid w:val="009074CF"/>
    <w:rsid w:val="00910918"/>
    <w:rsid w:val="00912C59"/>
    <w:rsid w:val="009132DA"/>
    <w:rsid w:val="0091633F"/>
    <w:rsid w:val="00917AB3"/>
    <w:rsid w:val="00921CFC"/>
    <w:rsid w:val="00931060"/>
    <w:rsid w:val="0093192B"/>
    <w:rsid w:val="009338CE"/>
    <w:rsid w:val="00935C6D"/>
    <w:rsid w:val="00937167"/>
    <w:rsid w:val="00937D57"/>
    <w:rsid w:val="00937E5C"/>
    <w:rsid w:val="00940AB0"/>
    <w:rsid w:val="00940C6C"/>
    <w:rsid w:val="00943678"/>
    <w:rsid w:val="0094454F"/>
    <w:rsid w:val="00944CF2"/>
    <w:rsid w:val="00945CD8"/>
    <w:rsid w:val="00946CDB"/>
    <w:rsid w:val="00947355"/>
    <w:rsid w:val="009526D3"/>
    <w:rsid w:val="00952CB6"/>
    <w:rsid w:val="00954205"/>
    <w:rsid w:val="00955E7D"/>
    <w:rsid w:val="0096372D"/>
    <w:rsid w:val="00964F70"/>
    <w:rsid w:val="00971106"/>
    <w:rsid w:val="00972EF1"/>
    <w:rsid w:val="0097323F"/>
    <w:rsid w:val="009752DD"/>
    <w:rsid w:val="0097622C"/>
    <w:rsid w:val="00980D90"/>
    <w:rsid w:val="009820CB"/>
    <w:rsid w:val="0098586C"/>
    <w:rsid w:val="00985A07"/>
    <w:rsid w:val="00990641"/>
    <w:rsid w:val="00992F72"/>
    <w:rsid w:val="00993539"/>
    <w:rsid w:val="00997453"/>
    <w:rsid w:val="009A1AB9"/>
    <w:rsid w:val="009A23E9"/>
    <w:rsid w:val="009A3932"/>
    <w:rsid w:val="009A4F11"/>
    <w:rsid w:val="009B07CC"/>
    <w:rsid w:val="009B083E"/>
    <w:rsid w:val="009B1467"/>
    <w:rsid w:val="009B1719"/>
    <w:rsid w:val="009B3F41"/>
    <w:rsid w:val="009B4B87"/>
    <w:rsid w:val="009B56E6"/>
    <w:rsid w:val="009B6E12"/>
    <w:rsid w:val="009B714E"/>
    <w:rsid w:val="009C04A2"/>
    <w:rsid w:val="009C7029"/>
    <w:rsid w:val="009C79C7"/>
    <w:rsid w:val="009D3601"/>
    <w:rsid w:val="009D4CD3"/>
    <w:rsid w:val="009D565D"/>
    <w:rsid w:val="009D73D5"/>
    <w:rsid w:val="009D79B9"/>
    <w:rsid w:val="009E2E9A"/>
    <w:rsid w:val="009E493F"/>
    <w:rsid w:val="009E7532"/>
    <w:rsid w:val="009F0C9B"/>
    <w:rsid w:val="009F1742"/>
    <w:rsid w:val="009F2EE3"/>
    <w:rsid w:val="00A03B4E"/>
    <w:rsid w:val="00A0640D"/>
    <w:rsid w:val="00A10B7D"/>
    <w:rsid w:val="00A12BDD"/>
    <w:rsid w:val="00A12CEA"/>
    <w:rsid w:val="00A1307C"/>
    <w:rsid w:val="00A130BD"/>
    <w:rsid w:val="00A13827"/>
    <w:rsid w:val="00A13EF9"/>
    <w:rsid w:val="00A14394"/>
    <w:rsid w:val="00A16CD9"/>
    <w:rsid w:val="00A212A2"/>
    <w:rsid w:val="00A2269C"/>
    <w:rsid w:val="00A233C2"/>
    <w:rsid w:val="00A23533"/>
    <w:rsid w:val="00A23D1B"/>
    <w:rsid w:val="00A24759"/>
    <w:rsid w:val="00A27F76"/>
    <w:rsid w:val="00A3275F"/>
    <w:rsid w:val="00A32855"/>
    <w:rsid w:val="00A32BD7"/>
    <w:rsid w:val="00A351F4"/>
    <w:rsid w:val="00A3554C"/>
    <w:rsid w:val="00A36D94"/>
    <w:rsid w:val="00A37D65"/>
    <w:rsid w:val="00A42EF4"/>
    <w:rsid w:val="00A43533"/>
    <w:rsid w:val="00A465CB"/>
    <w:rsid w:val="00A47BA2"/>
    <w:rsid w:val="00A513D3"/>
    <w:rsid w:val="00A52E5A"/>
    <w:rsid w:val="00A55F30"/>
    <w:rsid w:val="00A577F2"/>
    <w:rsid w:val="00A60809"/>
    <w:rsid w:val="00A615DA"/>
    <w:rsid w:val="00A63DBB"/>
    <w:rsid w:val="00A64290"/>
    <w:rsid w:val="00A648F9"/>
    <w:rsid w:val="00A6527C"/>
    <w:rsid w:val="00A66F53"/>
    <w:rsid w:val="00A724D1"/>
    <w:rsid w:val="00A72845"/>
    <w:rsid w:val="00A72AF1"/>
    <w:rsid w:val="00A72B06"/>
    <w:rsid w:val="00A72C92"/>
    <w:rsid w:val="00A76B21"/>
    <w:rsid w:val="00A77511"/>
    <w:rsid w:val="00A8089D"/>
    <w:rsid w:val="00A8106D"/>
    <w:rsid w:val="00A81FC6"/>
    <w:rsid w:val="00A821B2"/>
    <w:rsid w:val="00A82E9A"/>
    <w:rsid w:val="00A836BF"/>
    <w:rsid w:val="00A87260"/>
    <w:rsid w:val="00A87958"/>
    <w:rsid w:val="00A95005"/>
    <w:rsid w:val="00AA50B2"/>
    <w:rsid w:val="00AA61A9"/>
    <w:rsid w:val="00AA67B0"/>
    <w:rsid w:val="00AA7208"/>
    <w:rsid w:val="00AB19B6"/>
    <w:rsid w:val="00AB5E13"/>
    <w:rsid w:val="00AB6260"/>
    <w:rsid w:val="00AC5564"/>
    <w:rsid w:val="00AC7AF5"/>
    <w:rsid w:val="00AD05C5"/>
    <w:rsid w:val="00AD0B1B"/>
    <w:rsid w:val="00AD40BE"/>
    <w:rsid w:val="00AD6C51"/>
    <w:rsid w:val="00AD79F2"/>
    <w:rsid w:val="00AE1529"/>
    <w:rsid w:val="00AE3C32"/>
    <w:rsid w:val="00AE5BFF"/>
    <w:rsid w:val="00AE7DBC"/>
    <w:rsid w:val="00AF5F34"/>
    <w:rsid w:val="00B01BA3"/>
    <w:rsid w:val="00B03AEE"/>
    <w:rsid w:val="00B055DB"/>
    <w:rsid w:val="00B0695E"/>
    <w:rsid w:val="00B10AC2"/>
    <w:rsid w:val="00B11A4C"/>
    <w:rsid w:val="00B17EF6"/>
    <w:rsid w:val="00B20407"/>
    <w:rsid w:val="00B20D11"/>
    <w:rsid w:val="00B20F9A"/>
    <w:rsid w:val="00B2236C"/>
    <w:rsid w:val="00B232C6"/>
    <w:rsid w:val="00B23A27"/>
    <w:rsid w:val="00B23B56"/>
    <w:rsid w:val="00B25E13"/>
    <w:rsid w:val="00B266D4"/>
    <w:rsid w:val="00B30360"/>
    <w:rsid w:val="00B30D28"/>
    <w:rsid w:val="00B3116F"/>
    <w:rsid w:val="00B31CA7"/>
    <w:rsid w:val="00B32938"/>
    <w:rsid w:val="00B34BA2"/>
    <w:rsid w:val="00B35312"/>
    <w:rsid w:val="00B35479"/>
    <w:rsid w:val="00B369F7"/>
    <w:rsid w:val="00B4339D"/>
    <w:rsid w:val="00B44F05"/>
    <w:rsid w:val="00B46355"/>
    <w:rsid w:val="00B4702E"/>
    <w:rsid w:val="00B51236"/>
    <w:rsid w:val="00B516FA"/>
    <w:rsid w:val="00B53EB2"/>
    <w:rsid w:val="00B56C80"/>
    <w:rsid w:val="00B56FF6"/>
    <w:rsid w:val="00B60014"/>
    <w:rsid w:val="00B6029A"/>
    <w:rsid w:val="00B60D51"/>
    <w:rsid w:val="00B62A6E"/>
    <w:rsid w:val="00B645F1"/>
    <w:rsid w:val="00B64F33"/>
    <w:rsid w:val="00B658A3"/>
    <w:rsid w:val="00B6779D"/>
    <w:rsid w:val="00B706AA"/>
    <w:rsid w:val="00B716E8"/>
    <w:rsid w:val="00B72C2B"/>
    <w:rsid w:val="00B73D28"/>
    <w:rsid w:val="00B75C35"/>
    <w:rsid w:val="00B76108"/>
    <w:rsid w:val="00B80360"/>
    <w:rsid w:val="00B80830"/>
    <w:rsid w:val="00B83D11"/>
    <w:rsid w:val="00B85CAE"/>
    <w:rsid w:val="00B8706A"/>
    <w:rsid w:val="00B8784E"/>
    <w:rsid w:val="00B92AC1"/>
    <w:rsid w:val="00B937EF"/>
    <w:rsid w:val="00B95CCB"/>
    <w:rsid w:val="00BA25D2"/>
    <w:rsid w:val="00BA37F5"/>
    <w:rsid w:val="00BA5DD4"/>
    <w:rsid w:val="00BA6474"/>
    <w:rsid w:val="00BB1995"/>
    <w:rsid w:val="00BB46A2"/>
    <w:rsid w:val="00BB5B41"/>
    <w:rsid w:val="00BB76F4"/>
    <w:rsid w:val="00BB7E76"/>
    <w:rsid w:val="00BC0312"/>
    <w:rsid w:val="00BC1514"/>
    <w:rsid w:val="00BC26DF"/>
    <w:rsid w:val="00BC39AF"/>
    <w:rsid w:val="00BC6CD0"/>
    <w:rsid w:val="00BC6ED5"/>
    <w:rsid w:val="00BC7B79"/>
    <w:rsid w:val="00BD280C"/>
    <w:rsid w:val="00BD493D"/>
    <w:rsid w:val="00BD778A"/>
    <w:rsid w:val="00BE1AB5"/>
    <w:rsid w:val="00BE274F"/>
    <w:rsid w:val="00BE3420"/>
    <w:rsid w:val="00BE39E7"/>
    <w:rsid w:val="00BE3E16"/>
    <w:rsid w:val="00BE5260"/>
    <w:rsid w:val="00BE6E35"/>
    <w:rsid w:val="00BF5616"/>
    <w:rsid w:val="00BF5707"/>
    <w:rsid w:val="00BF5C94"/>
    <w:rsid w:val="00BF77DF"/>
    <w:rsid w:val="00C01100"/>
    <w:rsid w:val="00C1198C"/>
    <w:rsid w:val="00C16416"/>
    <w:rsid w:val="00C2016A"/>
    <w:rsid w:val="00C20B72"/>
    <w:rsid w:val="00C2451A"/>
    <w:rsid w:val="00C260D8"/>
    <w:rsid w:val="00C27D7F"/>
    <w:rsid w:val="00C30CE7"/>
    <w:rsid w:val="00C311C7"/>
    <w:rsid w:val="00C31BD2"/>
    <w:rsid w:val="00C329E8"/>
    <w:rsid w:val="00C35A28"/>
    <w:rsid w:val="00C365B0"/>
    <w:rsid w:val="00C50BB6"/>
    <w:rsid w:val="00C55184"/>
    <w:rsid w:val="00C5633A"/>
    <w:rsid w:val="00C61491"/>
    <w:rsid w:val="00C614DF"/>
    <w:rsid w:val="00C62706"/>
    <w:rsid w:val="00C631CF"/>
    <w:rsid w:val="00C65105"/>
    <w:rsid w:val="00C65DAB"/>
    <w:rsid w:val="00C67680"/>
    <w:rsid w:val="00C70A5C"/>
    <w:rsid w:val="00C73B4D"/>
    <w:rsid w:val="00C74ADB"/>
    <w:rsid w:val="00C75B1C"/>
    <w:rsid w:val="00C83D82"/>
    <w:rsid w:val="00C8480A"/>
    <w:rsid w:val="00C872DC"/>
    <w:rsid w:val="00C91365"/>
    <w:rsid w:val="00C92E2C"/>
    <w:rsid w:val="00C94683"/>
    <w:rsid w:val="00C95481"/>
    <w:rsid w:val="00C95AFF"/>
    <w:rsid w:val="00CA1F29"/>
    <w:rsid w:val="00CA3F19"/>
    <w:rsid w:val="00CB022F"/>
    <w:rsid w:val="00CB4F25"/>
    <w:rsid w:val="00CB5FB2"/>
    <w:rsid w:val="00CC0135"/>
    <w:rsid w:val="00CC28B4"/>
    <w:rsid w:val="00CC4114"/>
    <w:rsid w:val="00CC61C2"/>
    <w:rsid w:val="00CC635F"/>
    <w:rsid w:val="00CD0DF7"/>
    <w:rsid w:val="00CD114E"/>
    <w:rsid w:val="00CD5150"/>
    <w:rsid w:val="00CD5DA3"/>
    <w:rsid w:val="00CD6A3D"/>
    <w:rsid w:val="00CE0B25"/>
    <w:rsid w:val="00CE217E"/>
    <w:rsid w:val="00CE4E1C"/>
    <w:rsid w:val="00CE6C6C"/>
    <w:rsid w:val="00CF3B1F"/>
    <w:rsid w:val="00CF5BF5"/>
    <w:rsid w:val="00CF7FD0"/>
    <w:rsid w:val="00D023B6"/>
    <w:rsid w:val="00D03A50"/>
    <w:rsid w:val="00D05C47"/>
    <w:rsid w:val="00D11B46"/>
    <w:rsid w:val="00D121B9"/>
    <w:rsid w:val="00D13D6F"/>
    <w:rsid w:val="00D13EAE"/>
    <w:rsid w:val="00D15188"/>
    <w:rsid w:val="00D22668"/>
    <w:rsid w:val="00D24A04"/>
    <w:rsid w:val="00D3120A"/>
    <w:rsid w:val="00D3502F"/>
    <w:rsid w:val="00D36D52"/>
    <w:rsid w:val="00D370B2"/>
    <w:rsid w:val="00D419D0"/>
    <w:rsid w:val="00D42618"/>
    <w:rsid w:val="00D45180"/>
    <w:rsid w:val="00D4614D"/>
    <w:rsid w:val="00D536DA"/>
    <w:rsid w:val="00D549A9"/>
    <w:rsid w:val="00D550EF"/>
    <w:rsid w:val="00D562DF"/>
    <w:rsid w:val="00D56567"/>
    <w:rsid w:val="00D569E3"/>
    <w:rsid w:val="00D57591"/>
    <w:rsid w:val="00D61316"/>
    <w:rsid w:val="00D627DC"/>
    <w:rsid w:val="00D70453"/>
    <w:rsid w:val="00D72C3A"/>
    <w:rsid w:val="00D7669B"/>
    <w:rsid w:val="00D804E8"/>
    <w:rsid w:val="00D824D8"/>
    <w:rsid w:val="00D87B06"/>
    <w:rsid w:val="00D9147E"/>
    <w:rsid w:val="00D91590"/>
    <w:rsid w:val="00D9430E"/>
    <w:rsid w:val="00D94D6C"/>
    <w:rsid w:val="00DA07A6"/>
    <w:rsid w:val="00DA5DD2"/>
    <w:rsid w:val="00DA681E"/>
    <w:rsid w:val="00DB075E"/>
    <w:rsid w:val="00DB0DCF"/>
    <w:rsid w:val="00DB1514"/>
    <w:rsid w:val="00DB18CD"/>
    <w:rsid w:val="00DB22D7"/>
    <w:rsid w:val="00DB3CBB"/>
    <w:rsid w:val="00DB3D94"/>
    <w:rsid w:val="00DB508B"/>
    <w:rsid w:val="00DB71A3"/>
    <w:rsid w:val="00DB7F41"/>
    <w:rsid w:val="00DC173C"/>
    <w:rsid w:val="00DC2589"/>
    <w:rsid w:val="00DC28EE"/>
    <w:rsid w:val="00DC2B5C"/>
    <w:rsid w:val="00DC6A34"/>
    <w:rsid w:val="00DC787D"/>
    <w:rsid w:val="00DC7B9F"/>
    <w:rsid w:val="00DD048C"/>
    <w:rsid w:val="00DD189D"/>
    <w:rsid w:val="00DD3BC7"/>
    <w:rsid w:val="00DD4366"/>
    <w:rsid w:val="00DD480D"/>
    <w:rsid w:val="00DD5255"/>
    <w:rsid w:val="00DD5752"/>
    <w:rsid w:val="00DD77D5"/>
    <w:rsid w:val="00DE0BA0"/>
    <w:rsid w:val="00DE4019"/>
    <w:rsid w:val="00DE60C4"/>
    <w:rsid w:val="00DF04DC"/>
    <w:rsid w:val="00DF2308"/>
    <w:rsid w:val="00DF2DAE"/>
    <w:rsid w:val="00DF5320"/>
    <w:rsid w:val="00DF7609"/>
    <w:rsid w:val="00E00D27"/>
    <w:rsid w:val="00E065C2"/>
    <w:rsid w:val="00E06EB8"/>
    <w:rsid w:val="00E1160F"/>
    <w:rsid w:val="00E137C4"/>
    <w:rsid w:val="00E13B72"/>
    <w:rsid w:val="00E17CFC"/>
    <w:rsid w:val="00E350AC"/>
    <w:rsid w:val="00E3671B"/>
    <w:rsid w:val="00E36E58"/>
    <w:rsid w:val="00E372A4"/>
    <w:rsid w:val="00E40500"/>
    <w:rsid w:val="00E47D86"/>
    <w:rsid w:val="00E522EE"/>
    <w:rsid w:val="00E55772"/>
    <w:rsid w:val="00E55E41"/>
    <w:rsid w:val="00E56825"/>
    <w:rsid w:val="00E56D76"/>
    <w:rsid w:val="00E608BA"/>
    <w:rsid w:val="00E63263"/>
    <w:rsid w:val="00E646A1"/>
    <w:rsid w:val="00E66619"/>
    <w:rsid w:val="00E6685D"/>
    <w:rsid w:val="00E669CD"/>
    <w:rsid w:val="00E71C13"/>
    <w:rsid w:val="00E728EC"/>
    <w:rsid w:val="00E80BC4"/>
    <w:rsid w:val="00E8166C"/>
    <w:rsid w:val="00E8414A"/>
    <w:rsid w:val="00E85E8A"/>
    <w:rsid w:val="00E9002F"/>
    <w:rsid w:val="00E909A6"/>
    <w:rsid w:val="00EA1E8D"/>
    <w:rsid w:val="00EA4C59"/>
    <w:rsid w:val="00EA4EE2"/>
    <w:rsid w:val="00EB034B"/>
    <w:rsid w:val="00EB210D"/>
    <w:rsid w:val="00EB344B"/>
    <w:rsid w:val="00EB5B5E"/>
    <w:rsid w:val="00EB7EBB"/>
    <w:rsid w:val="00EC1290"/>
    <w:rsid w:val="00EC4BAC"/>
    <w:rsid w:val="00EC5591"/>
    <w:rsid w:val="00EC6421"/>
    <w:rsid w:val="00ED11A1"/>
    <w:rsid w:val="00ED15B0"/>
    <w:rsid w:val="00ED1873"/>
    <w:rsid w:val="00ED3939"/>
    <w:rsid w:val="00EE18A4"/>
    <w:rsid w:val="00EE2DD3"/>
    <w:rsid w:val="00EE5491"/>
    <w:rsid w:val="00EE6C7C"/>
    <w:rsid w:val="00EF05AF"/>
    <w:rsid w:val="00EF21B6"/>
    <w:rsid w:val="00EF2A33"/>
    <w:rsid w:val="00EF2A78"/>
    <w:rsid w:val="00EF30C7"/>
    <w:rsid w:val="00EF6C01"/>
    <w:rsid w:val="00EF744D"/>
    <w:rsid w:val="00EF76AB"/>
    <w:rsid w:val="00F0098A"/>
    <w:rsid w:val="00F01A22"/>
    <w:rsid w:val="00F03D16"/>
    <w:rsid w:val="00F04865"/>
    <w:rsid w:val="00F06D2F"/>
    <w:rsid w:val="00F10A9A"/>
    <w:rsid w:val="00F1237C"/>
    <w:rsid w:val="00F12518"/>
    <w:rsid w:val="00F13341"/>
    <w:rsid w:val="00F176EE"/>
    <w:rsid w:val="00F177F7"/>
    <w:rsid w:val="00F21A86"/>
    <w:rsid w:val="00F23B68"/>
    <w:rsid w:val="00F23CC4"/>
    <w:rsid w:val="00F3096F"/>
    <w:rsid w:val="00F33559"/>
    <w:rsid w:val="00F36745"/>
    <w:rsid w:val="00F40C77"/>
    <w:rsid w:val="00F41E27"/>
    <w:rsid w:val="00F42E7A"/>
    <w:rsid w:val="00F42EC8"/>
    <w:rsid w:val="00F45875"/>
    <w:rsid w:val="00F45D6A"/>
    <w:rsid w:val="00F51644"/>
    <w:rsid w:val="00F55D0B"/>
    <w:rsid w:val="00F57490"/>
    <w:rsid w:val="00F60698"/>
    <w:rsid w:val="00F6109F"/>
    <w:rsid w:val="00F61EEF"/>
    <w:rsid w:val="00F6343E"/>
    <w:rsid w:val="00F64120"/>
    <w:rsid w:val="00F6644D"/>
    <w:rsid w:val="00F66A1F"/>
    <w:rsid w:val="00F72CC9"/>
    <w:rsid w:val="00F74C58"/>
    <w:rsid w:val="00F76853"/>
    <w:rsid w:val="00F8219C"/>
    <w:rsid w:val="00F85D53"/>
    <w:rsid w:val="00F86598"/>
    <w:rsid w:val="00F870AA"/>
    <w:rsid w:val="00F91363"/>
    <w:rsid w:val="00F927A7"/>
    <w:rsid w:val="00F92DDD"/>
    <w:rsid w:val="00F95AF4"/>
    <w:rsid w:val="00F96029"/>
    <w:rsid w:val="00F96548"/>
    <w:rsid w:val="00FA0693"/>
    <w:rsid w:val="00FA0785"/>
    <w:rsid w:val="00FA0A5A"/>
    <w:rsid w:val="00FA0A6C"/>
    <w:rsid w:val="00FA22C3"/>
    <w:rsid w:val="00FA3005"/>
    <w:rsid w:val="00FA34E4"/>
    <w:rsid w:val="00FA412E"/>
    <w:rsid w:val="00FA48F0"/>
    <w:rsid w:val="00FA619D"/>
    <w:rsid w:val="00FB15CE"/>
    <w:rsid w:val="00FB2216"/>
    <w:rsid w:val="00FB3647"/>
    <w:rsid w:val="00FC0C54"/>
    <w:rsid w:val="00FC2AF3"/>
    <w:rsid w:val="00FC52A9"/>
    <w:rsid w:val="00FD1E9C"/>
    <w:rsid w:val="00FD40A8"/>
    <w:rsid w:val="00FD534B"/>
    <w:rsid w:val="00FD72EA"/>
    <w:rsid w:val="00FE09BC"/>
    <w:rsid w:val="00FE1864"/>
    <w:rsid w:val="00FE498C"/>
    <w:rsid w:val="00FE7394"/>
    <w:rsid w:val="00FF435A"/>
    <w:rsid w:val="00FF4E62"/>
    <w:rsid w:val="00FF6FB3"/>
    <w:rsid w:val="08002290"/>
    <w:rsid w:val="0B2C45D0"/>
    <w:rsid w:val="0B3D0738"/>
    <w:rsid w:val="1571776B"/>
    <w:rsid w:val="187333AD"/>
    <w:rsid w:val="1BEF6E15"/>
    <w:rsid w:val="1FD03383"/>
    <w:rsid w:val="22D64842"/>
    <w:rsid w:val="26103542"/>
    <w:rsid w:val="2E1B4B08"/>
    <w:rsid w:val="2FF07C78"/>
    <w:rsid w:val="3F9F0442"/>
    <w:rsid w:val="4AEF4D63"/>
    <w:rsid w:val="4EDB6367"/>
    <w:rsid w:val="57AB3267"/>
    <w:rsid w:val="59A10AFD"/>
    <w:rsid w:val="5C6E6EA2"/>
    <w:rsid w:val="5CFE264B"/>
    <w:rsid w:val="6586267F"/>
    <w:rsid w:val="678673E4"/>
    <w:rsid w:val="762E355D"/>
    <w:rsid w:val="768A4644"/>
    <w:rsid w:val="772B1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7"/>
    <w:qFormat/>
    <w:uiPriority w:val="0"/>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Document Map"/>
    <w:basedOn w:val="1"/>
    <w:semiHidden/>
    <w:qFormat/>
    <w:uiPriority w:val="0"/>
    <w:pPr>
      <w:shd w:val="clear" w:color="auto" w:fill="000080"/>
    </w:pPr>
  </w:style>
  <w:style w:type="paragraph" w:styleId="5">
    <w:name w:val="Body Text Indent"/>
    <w:basedOn w:val="1"/>
    <w:qFormat/>
    <w:uiPriority w:val="0"/>
    <w:pPr>
      <w:spacing w:line="600" w:lineRule="exact"/>
      <w:ind w:firstLine="570"/>
    </w:pPr>
    <w:rPr>
      <w:sz w:val="28"/>
    </w:rPr>
  </w:style>
  <w:style w:type="paragraph" w:styleId="6">
    <w:name w:val="Body Text Indent 2"/>
    <w:basedOn w:val="1"/>
    <w:qFormat/>
    <w:uiPriority w:val="0"/>
    <w:pPr>
      <w:autoSpaceDE w:val="0"/>
      <w:autoSpaceDN w:val="0"/>
      <w:ind w:firstLine="480"/>
      <w:textAlignment w:val="bottom"/>
    </w:pPr>
    <w:rPr>
      <w:rFonts w:ascii="宋体"/>
      <w:sz w:val="28"/>
    </w:rPr>
  </w:style>
  <w:style w:type="paragraph" w:styleId="7">
    <w:name w:val="Balloon Text"/>
    <w:basedOn w:val="1"/>
    <w:semiHidden/>
    <w:qFormat/>
    <w:uiPriority w:val="0"/>
    <w:rPr>
      <w:sz w:val="18"/>
      <w:szCs w:val="18"/>
    </w:rPr>
  </w:style>
  <w:style w:type="paragraph" w:styleId="8">
    <w:name w:val="footer"/>
    <w:basedOn w:val="1"/>
    <w:link w:val="20"/>
    <w:qFormat/>
    <w:uiPriority w:val="99"/>
    <w:pPr>
      <w:tabs>
        <w:tab w:val="center" w:pos="4153"/>
        <w:tab w:val="right" w:pos="8306"/>
      </w:tabs>
      <w:snapToGrid w:val="0"/>
      <w:jc w:val="left"/>
    </w:pPr>
    <w:rPr>
      <w:sz w:val="18"/>
    </w:rPr>
  </w:style>
  <w:style w:type="paragraph" w:styleId="9">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paragraph" w:customStyle="1" w:styleId="14">
    <w:name w:val="样式1"/>
    <w:basedOn w:val="1"/>
    <w:qFormat/>
    <w:uiPriority w:val="0"/>
    <w:pPr>
      <w:adjustRightInd w:val="0"/>
      <w:snapToGrid w:val="0"/>
      <w:spacing w:line="440" w:lineRule="atLeast"/>
      <w:ind w:firstLine="200" w:firstLineChars="200"/>
    </w:pPr>
    <w:rPr>
      <w:rFonts w:hint="eastAsia" w:ascii="宋体" w:hAnsi="宋体"/>
      <w:sz w:val="28"/>
    </w:rPr>
  </w:style>
  <w:style w:type="paragraph" w:customStyle="1" w:styleId="15">
    <w:name w:val="Char Char Char Char"/>
    <w:basedOn w:val="4"/>
    <w:qFormat/>
    <w:uiPriority w:val="0"/>
  </w:style>
  <w:style w:type="character" w:customStyle="1" w:styleId="16">
    <w:name w:val="apple-style-span"/>
    <w:basedOn w:val="12"/>
    <w:qFormat/>
    <w:uiPriority w:val="0"/>
  </w:style>
  <w:style w:type="character" w:customStyle="1" w:styleId="17">
    <w:name w:val="Heading 1 Char"/>
    <w:link w:val="2"/>
    <w:qFormat/>
    <w:uiPriority w:val="0"/>
    <w:rPr>
      <w:b/>
      <w:bCs/>
      <w:kern w:val="44"/>
      <w:sz w:val="44"/>
      <w:szCs w:val="44"/>
    </w:rPr>
  </w:style>
  <w:style w:type="paragraph" w:customStyle="1" w:styleId="18">
    <w:name w:val="Char"/>
    <w:basedOn w:val="1"/>
    <w:qFormat/>
    <w:uiPriority w:val="0"/>
    <w:pPr>
      <w:spacing w:line="480" w:lineRule="exact"/>
      <w:ind w:firstLine="480"/>
      <w:jc w:val="left"/>
    </w:pPr>
    <w:rPr>
      <w:sz w:val="24"/>
      <w:szCs w:val="24"/>
    </w:rPr>
  </w:style>
  <w:style w:type="character" w:customStyle="1" w:styleId="19">
    <w:name w:val="Header Char"/>
    <w:link w:val="9"/>
    <w:qFormat/>
    <w:uiPriority w:val="99"/>
    <w:rPr>
      <w:kern w:val="2"/>
      <w:sz w:val="18"/>
      <w:szCs w:val="18"/>
    </w:rPr>
  </w:style>
  <w:style w:type="character" w:customStyle="1" w:styleId="20">
    <w:name w:val="Footer Char"/>
    <w:link w:val="8"/>
    <w:qFormat/>
    <w:uiPriority w:val="99"/>
    <w:rPr>
      <w:kern w:val="2"/>
      <w:sz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F430A-6022-4613-A41E-67A8E48EEE05}">
  <ds:schemaRefs/>
</ds:datastoreItem>
</file>

<file path=docProps/app.xml><?xml version="1.0" encoding="utf-8"?>
<Properties xmlns="http://schemas.openxmlformats.org/officeDocument/2006/extended-properties" xmlns:vt="http://schemas.openxmlformats.org/officeDocument/2006/docPropsVTypes">
  <Template>Normal</Template>
  <Company>huaxue</Company>
  <Pages>11</Pages>
  <Words>9300</Words>
  <Characters>10142</Characters>
  <Lines>1</Lines>
  <Paragraphs>1</Paragraphs>
  <TotalTime>1</TotalTime>
  <ScaleCrop>false</ScaleCrop>
  <LinksUpToDate>false</LinksUpToDate>
  <CharactersWithSpaces>10338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2019-07-16T08:00:00Z</dcterms:created>
  <dc:creator>杨晓松</dc:creator>
  <cp:lastModifiedBy>LI兆煜</cp:lastModifiedBy>
  <cp:lastPrinted>2003-01-07T15:08:00Z</cp:lastPrinted>
  <dcterms:modified xsi:type="dcterms:W3CDTF">2025-08-31T15:39:27Z</dcterms:modified>
  <dc:title>专利</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90EE383D10DB4C68A5585FC35834E956</vt:lpwstr>
  </property>
</Properties>
</file>