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64EDC" w14:textId="77777777" w:rsidR="00EB7C6C" w:rsidRDefault="00EB7C6C" w:rsidP="00A91487">
      <w:pPr>
        <w:shd w:val="clear" w:color="auto" w:fill="FFFFFF"/>
        <w:textAlignment w:val="baseline"/>
        <w:rPr>
          <w:rFonts w:ascii="Times New Roman" w:eastAsia="Times New Roman" w:hAnsi="Times New Roman" w:cs="Times New Roman"/>
          <w:b/>
          <w:bCs/>
          <w:color w:val="000000"/>
          <w:kern w:val="0"/>
          <w14:ligatures w14:val="none"/>
        </w:rPr>
      </w:pPr>
    </w:p>
    <w:p w14:paraId="6C88A9F2" w14:textId="77777777" w:rsidR="00EB7C6C" w:rsidRDefault="00A91487" w:rsidP="00A91487">
      <w:pPr>
        <w:shd w:val="clear" w:color="auto" w:fill="FFFFFF"/>
        <w:textAlignment w:val="baseline"/>
        <w:rPr>
          <w:rFonts w:ascii="Times New Roman" w:eastAsia="Times New Roman" w:hAnsi="Times New Roman" w:cs="Times New Roman"/>
          <w:b/>
          <w:bCs/>
          <w:color w:val="000000"/>
          <w:kern w:val="0"/>
          <w14:ligatures w14:val="none"/>
        </w:rPr>
      </w:pPr>
      <w:r w:rsidRPr="00C37805">
        <w:rPr>
          <w:rFonts w:ascii="Times New Roman" w:eastAsia="Times New Roman" w:hAnsi="Times New Roman" w:cs="Times New Roman"/>
          <w:b/>
          <w:bCs/>
          <w:color w:val="000000"/>
          <w:kern w:val="0"/>
          <w14:ligatures w14:val="none"/>
        </w:rPr>
        <w:t xml:space="preserve">Overview </w:t>
      </w:r>
    </w:p>
    <w:p w14:paraId="17BC4742" w14:textId="77777777" w:rsidR="00EB7C6C" w:rsidRDefault="00EB7C6C" w:rsidP="00A91487">
      <w:pPr>
        <w:shd w:val="clear" w:color="auto" w:fill="FFFFFF"/>
        <w:textAlignment w:val="baseline"/>
        <w:rPr>
          <w:rFonts w:ascii="Times New Roman" w:eastAsia="Times New Roman" w:hAnsi="Times New Roman" w:cs="Times New Roman"/>
          <w:b/>
          <w:bCs/>
          <w:color w:val="000000"/>
          <w:kern w:val="0"/>
          <w14:ligatures w14:val="none"/>
        </w:rPr>
      </w:pPr>
    </w:p>
    <w:p w14:paraId="69046142" w14:textId="1D9928BB" w:rsidR="00A91487" w:rsidRPr="00EB7C6C" w:rsidRDefault="00A91487" w:rsidP="00A91487">
      <w:pPr>
        <w:shd w:val="clear" w:color="auto" w:fill="FFFFFF"/>
        <w:textAlignment w:val="baseline"/>
        <w:rPr>
          <w:rFonts w:ascii="Times New Roman" w:eastAsia="Times New Roman" w:hAnsi="Times New Roman" w:cs="Times New Roman"/>
          <w:b/>
          <w:bCs/>
          <w:color w:val="000000"/>
          <w:kern w:val="0"/>
          <w14:ligatures w14:val="none"/>
        </w:rPr>
      </w:pPr>
      <w:r w:rsidRPr="00C37805">
        <w:rPr>
          <w:rFonts w:ascii="Times New Roman" w:hAnsi="Times New Roman" w:cs="Times New Roman"/>
        </w:rPr>
        <w:t xml:space="preserve">This technical report analyzes how mortality attributable to influenza seasons in the United States has varied over time, using data from CDC WONDER. The report includes </w:t>
      </w:r>
      <w:r w:rsidR="00AE0199" w:rsidRPr="00C37805">
        <w:rPr>
          <w:rFonts w:ascii="Times New Roman" w:hAnsi="Times New Roman" w:cs="Times New Roman"/>
        </w:rPr>
        <w:t xml:space="preserve">main findings, </w:t>
      </w:r>
      <w:r w:rsidRPr="00C37805">
        <w:rPr>
          <w:rFonts w:ascii="Times New Roman" w:hAnsi="Times New Roman" w:cs="Times New Roman"/>
        </w:rPr>
        <w:t>a description of the dataset, the rationale behind each methodological choice,</w:t>
      </w:r>
      <w:r w:rsidR="00AE0199" w:rsidRPr="00C37805">
        <w:rPr>
          <w:rFonts w:ascii="Times New Roman" w:hAnsi="Times New Roman" w:cs="Times New Roman"/>
        </w:rPr>
        <w:t xml:space="preserve"> and</w:t>
      </w:r>
      <w:r w:rsidRPr="00C37805">
        <w:rPr>
          <w:rFonts w:ascii="Times New Roman" w:hAnsi="Times New Roman" w:cs="Times New Roman"/>
        </w:rPr>
        <w:t xml:space="preserve"> a discussion of limitations</w:t>
      </w:r>
      <w:r w:rsidR="00AE0199" w:rsidRPr="00C37805">
        <w:rPr>
          <w:rFonts w:ascii="Times New Roman" w:hAnsi="Times New Roman" w:cs="Times New Roman"/>
        </w:rPr>
        <w:t>.</w:t>
      </w:r>
    </w:p>
    <w:p w14:paraId="0009C764" w14:textId="77777777" w:rsidR="00AE0199" w:rsidRPr="00C37805" w:rsidRDefault="00AE0199" w:rsidP="00A91487">
      <w:pPr>
        <w:shd w:val="clear" w:color="auto" w:fill="FFFFFF"/>
        <w:textAlignment w:val="baseline"/>
        <w:rPr>
          <w:rFonts w:ascii="Times New Roman" w:eastAsia="Times New Roman" w:hAnsi="Times New Roman" w:cs="Times New Roman"/>
          <w:color w:val="000000"/>
          <w:kern w:val="0"/>
          <w14:ligatures w14:val="none"/>
        </w:rPr>
      </w:pPr>
    </w:p>
    <w:p w14:paraId="09F68222" w14:textId="1D191EC3" w:rsidR="00A91487" w:rsidRPr="00A91487" w:rsidRDefault="00A91487" w:rsidP="00A91487">
      <w:pPr>
        <w:shd w:val="clear" w:color="auto" w:fill="FFFFFF"/>
        <w:textAlignment w:val="baseline"/>
        <w:rPr>
          <w:rFonts w:ascii="Times New Roman" w:eastAsia="Times New Roman" w:hAnsi="Times New Roman" w:cs="Times New Roman"/>
          <w:color w:val="000000"/>
          <w:kern w:val="0"/>
          <w14:ligatures w14:val="none"/>
        </w:rPr>
      </w:pPr>
      <w:r w:rsidRPr="00C37805">
        <w:rPr>
          <w:rFonts w:ascii="Times New Roman" w:eastAsia="Times New Roman" w:hAnsi="Times New Roman" w:cs="Times New Roman"/>
          <w:color w:val="000000"/>
          <w:kern w:val="0"/>
          <w14:ligatures w14:val="none"/>
        </w:rPr>
        <w:t xml:space="preserve">The goal of this task is to: </w:t>
      </w:r>
    </w:p>
    <w:p w14:paraId="50EB1556" w14:textId="37B57C75" w:rsidR="00A91487" w:rsidRPr="00A91487" w:rsidRDefault="00A91487" w:rsidP="00A91487">
      <w:pPr>
        <w:shd w:val="clear" w:color="auto" w:fill="FFFFFF"/>
        <w:textAlignment w:val="baseline"/>
        <w:rPr>
          <w:rFonts w:ascii="Times New Roman" w:eastAsia="Times New Roman" w:hAnsi="Times New Roman" w:cs="Times New Roman"/>
          <w:color w:val="000000"/>
          <w:kern w:val="0"/>
          <w14:ligatures w14:val="none"/>
        </w:rPr>
      </w:pPr>
      <w:r w:rsidRPr="00A91487">
        <w:rPr>
          <w:rFonts w:ascii="Times New Roman" w:eastAsia="Times New Roman" w:hAnsi="Times New Roman" w:cs="Times New Roman"/>
          <w:color w:val="000000"/>
          <w:kern w:val="0"/>
          <w14:ligatures w14:val="none"/>
        </w:rPr>
        <w:t>Create a fully documented and reproducible analysis that produces clear visualizations of mortality attributable to influenza seasons in the United States and how it has varied over time. The final output should make it easy for a reader to understand:</w:t>
      </w:r>
    </w:p>
    <w:p w14:paraId="4F555A79" w14:textId="57A129A8" w:rsidR="00A91487" w:rsidRPr="00A91487" w:rsidRDefault="00A91487" w:rsidP="00A91487">
      <w:pPr>
        <w:numPr>
          <w:ilvl w:val="0"/>
          <w:numId w:val="1"/>
        </w:numPr>
        <w:shd w:val="clear" w:color="auto" w:fill="FFFFFF"/>
        <w:spacing w:before="100" w:beforeAutospacing="1" w:after="100" w:afterAutospacing="1"/>
        <w:textAlignment w:val="baseline"/>
        <w:rPr>
          <w:rFonts w:ascii="Times New Roman" w:eastAsia="Times New Roman" w:hAnsi="Times New Roman" w:cs="Times New Roman"/>
          <w:color w:val="000000"/>
          <w:kern w:val="0"/>
          <w14:ligatures w14:val="none"/>
        </w:rPr>
      </w:pPr>
      <w:r w:rsidRPr="00A91487">
        <w:rPr>
          <w:rFonts w:ascii="Times New Roman" w:eastAsia="Times New Roman" w:hAnsi="Times New Roman" w:cs="Times New Roman"/>
          <w:color w:val="000000"/>
          <w:kern w:val="0"/>
          <w14:ligatures w14:val="none"/>
        </w:rPr>
        <w:t>When influenza-attributable mortality was high or low (across seasons/years)</w:t>
      </w:r>
    </w:p>
    <w:p w14:paraId="09C543B3" w14:textId="77777777" w:rsidR="00A91487" w:rsidRPr="00A91487" w:rsidRDefault="00A91487" w:rsidP="00A91487">
      <w:pPr>
        <w:numPr>
          <w:ilvl w:val="0"/>
          <w:numId w:val="1"/>
        </w:numPr>
        <w:shd w:val="clear" w:color="auto" w:fill="FFFFFF"/>
        <w:spacing w:before="100" w:beforeAutospacing="1" w:after="100" w:afterAutospacing="1"/>
        <w:textAlignment w:val="baseline"/>
        <w:rPr>
          <w:rFonts w:ascii="Times New Roman" w:eastAsia="Times New Roman" w:hAnsi="Times New Roman" w:cs="Times New Roman"/>
          <w:color w:val="000000"/>
          <w:kern w:val="0"/>
          <w14:ligatures w14:val="none"/>
        </w:rPr>
      </w:pPr>
      <w:r w:rsidRPr="00A91487">
        <w:rPr>
          <w:rFonts w:ascii="Times New Roman" w:eastAsia="Times New Roman" w:hAnsi="Times New Roman" w:cs="Times New Roman"/>
          <w:color w:val="000000"/>
          <w:kern w:val="0"/>
          <w14:ligatures w14:val="none"/>
        </w:rPr>
        <w:t>How patterns differ by age</w:t>
      </w:r>
    </w:p>
    <w:p w14:paraId="6D42A5F2" w14:textId="77777777" w:rsidR="00AE0199" w:rsidRPr="00C37805" w:rsidRDefault="00A91487" w:rsidP="00AE0199">
      <w:pPr>
        <w:numPr>
          <w:ilvl w:val="0"/>
          <w:numId w:val="1"/>
        </w:numPr>
        <w:shd w:val="clear" w:color="auto" w:fill="FFFFFF"/>
        <w:spacing w:before="100" w:beforeAutospacing="1" w:after="100" w:afterAutospacing="1"/>
        <w:textAlignment w:val="baseline"/>
        <w:rPr>
          <w:rFonts w:ascii="Times New Roman" w:eastAsia="Times New Roman" w:hAnsi="Times New Roman" w:cs="Times New Roman"/>
          <w:color w:val="000000"/>
          <w:kern w:val="0"/>
          <w14:ligatures w14:val="none"/>
        </w:rPr>
      </w:pPr>
      <w:r w:rsidRPr="00A91487">
        <w:rPr>
          <w:rFonts w:ascii="Times New Roman" w:eastAsia="Times New Roman" w:hAnsi="Times New Roman" w:cs="Times New Roman"/>
          <w:color w:val="000000"/>
          <w:kern w:val="0"/>
          <w14:ligatures w14:val="none"/>
        </w:rPr>
        <w:t>How sensitive the visual conclusions are to scale/zoom choices (for example, zooming into particular age ranges or using alternative scaling to reveal patterns)</w:t>
      </w:r>
    </w:p>
    <w:p w14:paraId="7257B3B5" w14:textId="77777777" w:rsidR="00EB7C6C" w:rsidRDefault="00AE0199" w:rsidP="00EB7C6C">
      <w:pPr>
        <w:shd w:val="clear" w:color="auto" w:fill="FFFFFF"/>
        <w:spacing w:before="100" w:beforeAutospacing="1" w:after="100" w:afterAutospacing="1"/>
        <w:textAlignment w:val="baseline"/>
        <w:rPr>
          <w:rFonts w:ascii="Times New Roman" w:eastAsia="Times New Roman" w:hAnsi="Times New Roman" w:cs="Times New Roman"/>
          <w:b/>
          <w:bCs/>
          <w:kern w:val="0"/>
          <w14:ligatures w14:val="none"/>
        </w:rPr>
      </w:pPr>
      <w:r w:rsidRPr="00C37805">
        <w:rPr>
          <w:rFonts w:ascii="Times New Roman" w:eastAsia="Times New Roman" w:hAnsi="Times New Roman" w:cs="Times New Roman"/>
          <w:b/>
          <w:bCs/>
          <w:kern w:val="0"/>
          <w14:ligatures w14:val="none"/>
        </w:rPr>
        <w:t xml:space="preserve">Findings </w:t>
      </w:r>
    </w:p>
    <w:p w14:paraId="04906AF3" w14:textId="0ED3E728" w:rsidR="00C37805" w:rsidRPr="00EB7C6C" w:rsidRDefault="005330B9" w:rsidP="00EB7C6C">
      <w:pPr>
        <w:shd w:val="clear" w:color="auto" w:fill="FFFFFF"/>
        <w:spacing w:before="100" w:beforeAutospacing="1" w:after="100" w:afterAutospacing="1"/>
        <w:textAlignment w:val="baseline"/>
        <w:rPr>
          <w:rFonts w:ascii="Times New Roman" w:eastAsia="Times New Roman" w:hAnsi="Times New Roman" w:cs="Times New Roman"/>
          <w:b/>
          <w:bCs/>
          <w:kern w:val="0"/>
          <w14:ligatures w14:val="none"/>
        </w:rPr>
      </w:pPr>
      <w:r w:rsidRPr="00C37805">
        <w:t>National influenza mortality exhibits substantial year-to-year volatility. The largest spike during the 25-year period occurred in the 2017–2018 season, when the national mortality rate approached 4 deaths per 100,000 population. Other notable high-mortality seasons include 2014–2015 and 2023–2024. My estimates are broadly consistent with findings from Doshi (2008), who reported 3.0 deaths per 100,000 population in 1967–1968, with mortality rates remaining lower than that in subsequent years.</w:t>
      </w:r>
    </w:p>
    <w:p w14:paraId="4124F382" w14:textId="41585CAC" w:rsidR="00AE0199" w:rsidRPr="00C37805" w:rsidRDefault="00184683" w:rsidP="00AE0199">
      <w:pPr>
        <w:pStyle w:val="NormalWeb"/>
      </w:pPr>
      <w:r w:rsidRPr="00C37805">
        <w:rPr>
          <w:noProof/>
          <w14:ligatures w14:val="standardContextual"/>
        </w:rPr>
        <w:drawing>
          <wp:inline distT="0" distB="0" distL="0" distR="0" wp14:anchorId="0C8490F5" wp14:editId="4400F0CE">
            <wp:extent cx="5056372" cy="3033823"/>
            <wp:effectExtent l="0" t="0" r="0" b="1905"/>
            <wp:docPr id="969039821"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9821" name="Picture 1" descr="A graph with lines and number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60196" cy="3036117"/>
                    </a:xfrm>
                    <a:prstGeom prst="rect">
                      <a:avLst/>
                    </a:prstGeom>
                  </pic:spPr>
                </pic:pic>
              </a:graphicData>
            </a:graphic>
          </wp:inline>
        </w:drawing>
      </w:r>
    </w:p>
    <w:p w14:paraId="32D9F1F4" w14:textId="77777777" w:rsidR="00AE0199" w:rsidRPr="00C37805" w:rsidRDefault="00AE0199" w:rsidP="00AE0199">
      <w:pPr>
        <w:shd w:val="clear" w:color="auto" w:fill="FFFFFF"/>
        <w:spacing w:before="100" w:beforeAutospacing="1" w:after="100" w:afterAutospacing="1"/>
        <w:textAlignment w:val="baseline"/>
        <w:rPr>
          <w:rFonts w:ascii="Times New Roman" w:eastAsia="Times New Roman" w:hAnsi="Times New Roman" w:cs="Times New Roman"/>
          <w:color w:val="000000"/>
          <w:kern w:val="0"/>
          <w14:ligatures w14:val="none"/>
        </w:rPr>
      </w:pPr>
    </w:p>
    <w:p w14:paraId="358C5474" w14:textId="77777777" w:rsidR="00C37805" w:rsidRPr="00C37805" w:rsidRDefault="00C37805" w:rsidP="00C37805">
      <w:pPr>
        <w:pStyle w:val="NormalWeb"/>
      </w:pPr>
      <w:r w:rsidRPr="00C37805">
        <w:t>Influenza mortality is heavily skewed toward the oldest segments of the population, a pattern consistent across nearly every high-severity season.</w:t>
      </w:r>
    </w:p>
    <w:p w14:paraId="6390C526" w14:textId="77777777" w:rsidR="00C37805" w:rsidRPr="00C37805" w:rsidRDefault="00C37805" w:rsidP="00C37805">
      <w:pPr>
        <w:pStyle w:val="NormalWeb"/>
        <w:numPr>
          <w:ilvl w:val="0"/>
          <w:numId w:val="9"/>
        </w:numPr>
      </w:pPr>
      <w:r w:rsidRPr="00C37805">
        <w:t>Elderly Vulnerability: The 85+ years age group consistently experiences the highest mortality rates, peaking at over 75 deaths per 100,000 during the 2017–2018 season. The 75–84 years and 65–74 years groups follow as the next most impacted cohorts.</w:t>
      </w:r>
    </w:p>
    <w:p w14:paraId="43E828EF" w14:textId="77777777" w:rsidR="00C37805" w:rsidRPr="00C37805" w:rsidRDefault="00C37805" w:rsidP="00C37805">
      <w:pPr>
        <w:pStyle w:val="NormalWeb"/>
        <w:numPr>
          <w:ilvl w:val="0"/>
          <w:numId w:val="9"/>
        </w:numPr>
      </w:pPr>
      <w:r w:rsidRPr="00C37805">
        <w:t>Youth Trends: In contrast, mortality rates for individuals under age 45 are extremely low in comparison to the elderly. While these groups still experience seasonal fluctuations, their rates often remain below 1 death per 100,000.</w:t>
      </w:r>
    </w:p>
    <w:p w14:paraId="3C772268" w14:textId="1E201303" w:rsidR="00C37805" w:rsidRPr="00C37805" w:rsidRDefault="00C37805" w:rsidP="00C37805">
      <w:pPr>
        <w:pStyle w:val="NormalWeb"/>
        <w:numPr>
          <w:ilvl w:val="0"/>
          <w:numId w:val="9"/>
        </w:numPr>
      </w:pPr>
      <w:r w:rsidRPr="00C37805">
        <w:t>Consistency of Spikes: Major "bad" flu years (like 2014–2015 and 2017–2018) show synchronized spikes across almost all age groups.</w:t>
      </w:r>
    </w:p>
    <w:p w14:paraId="0700676C" w14:textId="7645D279" w:rsidR="00C37805" w:rsidRPr="00C37805" w:rsidRDefault="00C37805" w:rsidP="00C37805">
      <w:pPr>
        <w:shd w:val="clear" w:color="auto" w:fill="FFFFFF"/>
        <w:spacing w:before="100" w:beforeAutospacing="1" w:after="100" w:afterAutospacing="1"/>
        <w:jc w:val="center"/>
        <w:textAlignment w:val="baseline"/>
        <w:rPr>
          <w:rFonts w:ascii="Times New Roman" w:eastAsia="Times New Roman" w:hAnsi="Times New Roman" w:cs="Times New Roman"/>
          <w:color w:val="000000"/>
          <w:kern w:val="0"/>
          <w14:ligatures w14:val="none"/>
        </w:rPr>
      </w:pPr>
      <w:r w:rsidRPr="00C37805">
        <w:rPr>
          <w:rFonts w:ascii="Times New Roman" w:eastAsia="Times New Roman" w:hAnsi="Times New Roman" w:cs="Times New Roman"/>
          <w:noProof/>
          <w:color w:val="000000"/>
          <w:kern w:val="0"/>
        </w:rPr>
        <w:drawing>
          <wp:inline distT="0" distB="0" distL="0" distR="0" wp14:anchorId="6FA85A06" wp14:editId="739CB042">
            <wp:extent cx="5351721" cy="3567814"/>
            <wp:effectExtent l="0" t="0" r="0" b="1270"/>
            <wp:docPr id="258143573" name="Picture 2"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43573" name="Picture 2" descr="A graph with lines and numbe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9651" cy="3586434"/>
                    </a:xfrm>
                    <a:prstGeom prst="rect">
                      <a:avLst/>
                    </a:prstGeom>
                  </pic:spPr>
                </pic:pic>
              </a:graphicData>
            </a:graphic>
          </wp:inline>
        </w:drawing>
      </w:r>
    </w:p>
    <w:p w14:paraId="5DDDE1AF" w14:textId="3E0219B1" w:rsidR="00C37805" w:rsidRPr="00C37805" w:rsidRDefault="00C37805" w:rsidP="00C37805">
      <w:pPr>
        <w:pStyle w:val="NormalWeb"/>
      </w:pPr>
      <w:r w:rsidRPr="00C37805">
        <w:t>The interpretation of influenza data is highly sensitive to how the Y-axis is scaled. When all age groups are plotted on a shared scale (0–80 per 100k), the mortality of younger groups (0–44 years) appears as a flat line near zero and is not sensitive to flu seasons at all. By "zooming in" on individual age groups using independent Y-axes (free scales), the seasonal volatility in younger groups becomes visible.</w:t>
      </w:r>
    </w:p>
    <w:p w14:paraId="6E31814D" w14:textId="3CF45B01" w:rsidR="00C37805" w:rsidRPr="00C37805" w:rsidRDefault="00C37805" w:rsidP="00C37805">
      <w:pPr>
        <w:pStyle w:val="NormalWeb"/>
      </w:pPr>
      <w:r w:rsidRPr="00C37805">
        <w:t>For example, in the 15–24 years group, a free scale reveals a distinct mortality spike during the 2009–2010 H1N1 pandemic, a detail that is completely invisible on a fixed national scale. In the 1–4 years group, free scaling shows that while their mortality is low (peaking at ~0.4 per 100k), they still experience clear seasonal cycles that mirror the national trend.</w:t>
      </w:r>
    </w:p>
    <w:p w14:paraId="04DDCF4F" w14:textId="1B26C806" w:rsidR="00C37805" w:rsidRPr="00C37805" w:rsidRDefault="00C37805" w:rsidP="00C37805">
      <w:pPr>
        <w:pStyle w:val="NormalWeb"/>
      </w:pPr>
      <w:r w:rsidRPr="00C37805">
        <w:rPr>
          <w:noProof/>
          <w14:ligatures w14:val="standardContextual"/>
        </w:rPr>
        <w:lastRenderedPageBreak/>
        <w:drawing>
          <wp:inline distT="0" distB="0" distL="0" distR="0" wp14:anchorId="39D452E4" wp14:editId="1B243A05">
            <wp:extent cx="5486400" cy="8229600"/>
            <wp:effectExtent l="0" t="0" r="0" b="0"/>
            <wp:docPr id="1809708057"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08057" name="Picture 3" descr="A screenshot of a graph&#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3AC164D5" w14:textId="2EF01B1D" w:rsidR="00C37805" w:rsidRPr="00C37805" w:rsidRDefault="00C37805" w:rsidP="00A91487">
      <w:pPr>
        <w:shd w:val="clear" w:color="auto" w:fill="FFFFFF"/>
        <w:spacing w:before="100" w:beforeAutospacing="1" w:after="100" w:afterAutospacing="1"/>
        <w:textAlignment w:val="baseline"/>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lastRenderedPageBreak/>
        <w:t xml:space="preserve">Below are more technical details to generate the graphs and conclusions. </w:t>
      </w:r>
    </w:p>
    <w:p w14:paraId="2A200D36" w14:textId="7679D3DB" w:rsidR="00A91487" w:rsidRPr="00C37805" w:rsidRDefault="00A91487" w:rsidP="00A91487">
      <w:pPr>
        <w:shd w:val="clear" w:color="auto" w:fill="FFFFFF"/>
        <w:spacing w:before="100" w:beforeAutospacing="1" w:after="100" w:afterAutospacing="1"/>
        <w:textAlignment w:val="baseline"/>
        <w:rPr>
          <w:rFonts w:ascii="Times New Roman" w:eastAsia="Times New Roman" w:hAnsi="Times New Roman" w:cs="Times New Roman"/>
          <w:b/>
          <w:bCs/>
          <w:kern w:val="0"/>
          <w14:ligatures w14:val="none"/>
        </w:rPr>
      </w:pPr>
      <w:r w:rsidRPr="003B3C1F">
        <w:rPr>
          <w:rFonts w:ascii="Times New Roman" w:eastAsia="Times New Roman" w:hAnsi="Times New Roman" w:cs="Times New Roman"/>
          <w:b/>
          <w:bCs/>
          <w:kern w:val="0"/>
          <w14:ligatures w14:val="none"/>
        </w:rPr>
        <w:t>Dataset Description</w:t>
      </w:r>
    </w:p>
    <w:p w14:paraId="735449F4" w14:textId="4C6FFBFF" w:rsidR="00AD5317" w:rsidRPr="00C37805" w:rsidRDefault="00AD5317" w:rsidP="00AD5317">
      <w:pPr>
        <w:pStyle w:val="NormalWeb"/>
      </w:pPr>
      <w:r w:rsidRPr="00C37805">
        <w:t>The data for this analysis were obtained from the Centers for Disease Control and Prevention (CDC) WONDER Online Database. This database provides mortality counts based on death certificates for U.S. residents, as well as annual number of population estimates. Two primary datasets were used to construct the full 25-year time series from 1999 to 2024:</w:t>
      </w:r>
    </w:p>
    <w:p w14:paraId="0AB41DA0" w14:textId="77777777" w:rsidR="00AD5317" w:rsidRPr="00C37805" w:rsidRDefault="00A91487" w:rsidP="00011978">
      <w:pPr>
        <w:numPr>
          <w:ilvl w:val="0"/>
          <w:numId w:val="2"/>
        </w:numPr>
        <w:spacing w:after="100" w:afterAutospacing="1"/>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t xml:space="preserve">Data from 1999 to 2020 </w:t>
      </w:r>
      <w:r w:rsidR="00AD5317" w:rsidRPr="00C37805">
        <w:rPr>
          <w:rFonts w:ascii="Times New Roman" w:eastAsia="Times New Roman" w:hAnsi="Times New Roman" w:cs="Times New Roman"/>
          <w:kern w:val="0"/>
          <w14:ligatures w14:val="none"/>
        </w:rPr>
        <w:t>come</w:t>
      </w:r>
      <w:r w:rsidRPr="00C37805">
        <w:rPr>
          <w:rFonts w:ascii="Times New Roman" w:eastAsia="Times New Roman" w:hAnsi="Times New Roman" w:cs="Times New Roman"/>
          <w:kern w:val="0"/>
          <w14:ligatures w14:val="none"/>
        </w:rPr>
        <w:t xml:space="preserve"> from </w:t>
      </w:r>
      <w:r w:rsidRPr="003B3C1F">
        <w:rPr>
          <w:rFonts w:ascii="Times New Roman" w:eastAsia="Times New Roman" w:hAnsi="Times New Roman" w:cs="Times New Roman"/>
          <w:kern w:val="0"/>
          <w14:ligatures w14:val="none"/>
        </w:rPr>
        <w:t>Multiple Cause of Death, 1999-2020 (D77)</w:t>
      </w:r>
    </w:p>
    <w:p w14:paraId="1451ECC3" w14:textId="69228B03" w:rsidR="00AD5317" w:rsidRPr="003B3C1F" w:rsidRDefault="00AD5317" w:rsidP="00AD5317">
      <w:pPr>
        <w:spacing w:after="100" w:afterAutospacing="1"/>
        <w:ind w:left="720"/>
        <w:rPr>
          <w:rFonts w:ascii="Times New Roman" w:eastAsia="Times New Roman" w:hAnsi="Times New Roman" w:cs="Times New Roman"/>
          <w:kern w:val="0"/>
          <w14:ligatures w14:val="none"/>
        </w:rPr>
      </w:pPr>
      <w:hyperlink r:id="rId10" w:history="1">
        <w:r w:rsidRPr="00C37805">
          <w:rPr>
            <w:rStyle w:val="Hyperlink"/>
            <w:rFonts w:ascii="Times New Roman" w:eastAsia="Times New Roman" w:hAnsi="Times New Roman" w:cs="Times New Roman"/>
            <w:kern w:val="0"/>
            <w14:ligatures w14:val="none"/>
          </w:rPr>
          <w:t>https://wonder.cdc.gov/mcd-icd10.html</w:t>
        </w:r>
      </w:hyperlink>
    </w:p>
    <w:p w14:paraId="0E2A6C5C" w14:textId="77777777" w:rsidR="00AD5317" w:rsidRPr="00C37805" w:rsidRDefault="00A91487" w:rsidP="00AD5317">
      <w:pPr>
        <w:numPr>
          <w:ilvl w:val="0"/>
          <w:numId w:val="2"/>
        </w:numPr>
        <w:spacing w:after="100" w:afterAutospacing="1"/>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t xml:space="preserve">Data from 2018 to 2024 </w:t>
      </w:r>
      <w:r w:rsidR="00AD5317" w:rsidRPr="00C37805">
        <w:rPr>
          <w:rFonts w:ascii="Times New Roman" w:eastAsia="Times New Roman" w:hAnsi="Times New Roman" w:cs="Times New Roman"/>
          <w:kern w:val="0"/>
          <w14:ligatures w14:val="none"/>
        </w:rPr>
        <w:t>come</w:t>
      </w:r>
      <w:r w:rsidRPr="00C37805">
        <w:rPr>
          <w:rFonts w:ascii="Times New Roman" w:eastAsia="Times New Roman" w:hAnsi="Times New Roman" w:cs="Times New Roman"/>
          <w:kern w:val="0"/>
          <w14:ligatures w14:val="none"/>
        </w:rPr>
        <w:t xml:space="preserve"> from </w:t>
      </w:r>
      <w:r w:rsidRPr="003B3C1F">
        <w:rPr>
          <w:rFonts w:ascii="Times New Roman" w:eastAsia="Times New Roman" w:hAnsi="Times New Roman" w:cs="Times New Roman"/>
          <w:kern w:val="0"/>
          <w14:ligatures w14:val="none"/>
        </w:rPr>
        <w:t xml:space="preserve">Multiple Cause of Death, </w:t>
      </w:r>
      <w:r w:rsidRPr="00C37805">
        <w:rPr>
          <w:rFonts w:ascii="Times New Roman" w:eastAsia="Times New Roman" w:hAnsi="Times New Roman" w:cs="Times New Roman"/>
          <w:kern w:val="0"/>
          <w14:ligatures w14:val="none"/>
        </w:rPr>
        <w:t>2018</w:t>
      </w:r>
      <w:r w:rsidRPr="003B3C1F">
        <w:rPr>
          <w:rFonts w:ascii="Times New Roman" w:eastAsia="Times New Roman" w:hAnsi="Times New Roman" w:cs="Times New Roman"/>
          <w:kern w:val="0"/>
          <w14:ligatures w14:val="none"/>
        </w:rPr>
        <w:t>-Present (D157)</w:t>
      </w:r>
    </w:p>
    <w:p w14:paraId="79ACC077" w14:textId="45BE8A46" w:rsidR="00AD5317" w:rsidRPr="00C37805" w:rsidRDefault="00000000" w:rsidP="00AD5317">
      <w:pPr>
        <w:spacing w:after="100" w:afterAutospacing="1"/>
        <w:ind w:left="720"/>
        <w:rPr>
          <w:rFonts w:ascii="Times New Roman" w:eastAsia="Times New Roman" w:hAnsi="Times New Roman" w:cs="Times New Roman"/>
          <w:kern w:val="0"/>
          <w14:ligatures w14:val="none"/>
        </w:rPr>
      </w:pPr>
      <w:hyperlink r:id="rId11" w:history="1">
        <w:r w:rsidR="00AD5317" w:rsidRPr="00C37805">
          <w:rPr>
            <w:rStyle w:val="Hyperlink"/>
            <w:rFonts w:ascii="Times New Roman" w:eastAsia="Times New Roman" w:hAnsi="Times New Roman" w:cs="Times New Roman"/>
            <w:kern w:val="0"/>
            <w14:ligatures w14:val="none"/>
          </w:rPr>
          <w:t>https://wonder.cdc.gov/mcd-icd10-expanded.html</w:t>
        </w:r>
      </w:hyperlink>
    </w:p>
    <w:p w14:paraId="61EE8B4C" w14:textId="77777777" w:rsidR="00163AAB" w:rsidRPr="00C37805" w:rsidRDefault="00AD5317" w:rsidP="00163AAB">
      <w:pPr>
        <w:spacing w:after="100" w:afterAutospacing="1"/>
        <w:rPr>
          <w:rFonts w:ascii="Times New Roman" w:eastAsia="Times New Roman" w:hAnsi="Times New Roman" w:cs="Times New Roman"/>
          <w:b/>
          <w:bCs/>
          <w:kern w:val="0"/>
          <w14:ligatures w14:val="none"/>
        </w:rPr>
      </w:pPr>
      <w:r w:rsidRPr="00C37805">
        <w:rPr>
          <w:rFonts w:ascii="Times New Roman" w:eastAsia="Times New Roman" w:hAnsi="Times New Roman" w:cs="Times New Roman"/>
          <w:b/>
          <w:bCs/>
          <w:kern w:val="0"/>
          <w14:ligatures w14:val="none"/>
        </w:rPr>
        <w:t xml:space="preserve">Methodology </w:t>
      </w:r>
    </w:p>
    <w:p w14:paraId="474C3CBC" w14:textId="48112913" w:rsidR="003E5C7D" w:rsidRPr="00020E9C" w:rsidRDefault="00163AAB" w:rsidP="000A616D">
      <w:pPr>
        <w:pStyle w:val="ListParagraph"/>
        <w:numPr>
          <w:ilvl w:val="0"/>
          <w:numId w:val="4"/>
        </w:numPr>
        <w:spacing w:after="100" w:afterAutospacing="1"/>
        <w:rPr>
          <w:rFonts w:ascii="Times New Roman" w:eastAsia="Times New Roman" w:hAnsi="Times New Roman" w:cs="Times New Roman"/>
          <w:kern w:val="0"/>
          <w14:ligatures w14:val="none"/>
        </w:rPr>
      </w:pPr>
      <w:r w:rsidRPr="00C37805">
        <w:rPr>
          <w:rFonts w:ascii="Times New Roman" w:hAnsi="Times New Roman" w:cs="Times New Roman"/>
        </w:rPr>
        <w:t xml:space="preserve">Cause of Death: The analysis filters for ICD-10 codes J09 (avian influenza), J10 (influenza due to identified virus), and J11 (influenza, virus not identified). </w:t>
      </w:r>
    </w:p>
    <w:p w14:paraId="7E786B16" w14:textId="77777777" w:rsidR="00020E9C" w:rsidRPr="00C37805" w:rsidRDefault="00020E9C" w:rsidP="00020E9C">
      <w:pPr>
        <w:pStyle w:val="ListParagraph"/>
        <w:spacing w:after="100" w:afterAutospacing="1"/>
        <w:rPr>
          <w:rFonts w:ascii="Times New Roman" w:eastAsia="Times New Roman" w:hAnsi="Times New Roman" w:cs="Times New Roman"/>
          <w:kern w:val="0"/>
          <w14:ligatures w14:val="none"/>
        </w:rPr>
      </w:pPr>
    </w:p>
    <w:p w14:paraId="34F1916F" w14:textId="010378BD" w:rsidR="003E5C7D" w:rsidRPr="00C37805" w:rsidRDefault="00163AAB" w:rsidP="003E5C7D">
      <w:pPr>
        <w:pStyle w:val="ListParagraph"/>
        <w:numPr>
          <w:ilvl w:val="0"/>
          <w:numId w:val="4"/>
        </w:numPr>
        <w:spacing w:after="100" w:afterAutospacing="1"/>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t xml:space="preserve">Definition of Flu Seasons: Influenza is a seasonal illness, and elevated mortality due to the outbreak can occur across calendar years (Doshi, 2008). Rather than using standard calendar years (January–December), data was aggregated into Flu Seasons (July 1–June 30). This approach captures the full lifecycle of the winter peak in the United States, preventing a single outbreak from being split across two reporting years. </w:t>
      </w:r>
      <w:r w:rsidR="003E5C7D" w:rsidRPr="00C37805">
        <w:rPr>
          <w:rFonts w:ascii="Times New Roman" w:hAnsi="Times New Roman" w:cs="Times New Roman"/>
        </w:rPr>
        <w:t>I examine trends from the 1999–2000 season through the 2023–2024 season. Data from the first half of 1999 and the second half of 2025 are excluded because only six months of those seasons are available, rendering them incomplete.</w:t>
      </w:r>
    </w:p>
    <w:p w14:paraId="110821B0" w14:textId="77777777" w:rsidR="003E5C7D" w:rsidRPr="00C37805" w:rsidRDefault="003E5C7D" w:rsidP="003E5C7D">
      <w:pPr>
        <w:pStyle w:val="ListParagraph"/>
        <w:spacing w:after="100" w:afterAutospacing="1"/>
        <w:rPr>
          <w:rFonts w:ascii="Times New Roman" w:eastAsia="Times New Roman" w:hAnsi="Times New Roman" w:cs="Times New Roman"/>
          <w:kern w:val="0"/>
          <w14:ligatures w14:val="none"/>
        </w:rPr>
      </w:pPr>
    </w:p>
    <w:p w14:paraId="61785A4B" w14:textId="39611C4C" w:rsidR="003E5C7D" w:rsidRPr="00C37805" w:rsidRDefault="00AD5317" w:rsidP="00174892">
      <w:pPr>
        <w:pStyle w:val="ListParagraph"/>
        <w:numPr>
          <w:ilvl w:val="0"/>
          <w:numId w:val="3"/>
        </w:numPr>
        <w:spacing w:after="100" w:afterAutospacing="1"/>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t xml:space="preserve">Measures: The report utilizes raw death counts and population estimates to calculate </w:t>
      </w:r>
      <w:r w:rsidR="00020E9C">
        <w:rPr>
          <w:rFonts w:ascii="Times New Roman" w:eastAsia="Times New Roman" w:hAnsi="Times New Roman" w:cs="Times New Roman"/>
          <w:kern w:val="0"/>
          <w14:ligatures w14:val="none"/>
        </w:rPr>
        <w:t>m</w:t>
      </w:r>
      <w:r w:rsidRPr="00C37805">
        <w:rPr>
          <w:rFonts w:ascii="Times New Roman" w:eastAsia="Times New Roman" w:hAnsi="Times New Roman" w:cs="Times New Roman"/>
          <w:kern w:val="0"/>
          <w14:ligatures w14:val="none"/>
        </w:rPr>
        <w:t xml:space="preserve">ortality </w:t>
      </w:r>
      <w:r w:rsidR="00020E9C">
        <w:rPr>
          <w:rFonts w:ascii="Times New Roman" w:eastAsia="Times New Roman" w:hAnsi="Times New Roman" w:cs="Times New Roman"/>
          <w:kern w:val="0"/>
          <w14:ligatures w14:val="none"/>
        </w:rPr>
        <w:t>r</w:t>
      </w:r>
      <w:r w:rsidRPr="00C37805">
        <w:rPr>
          <w:rFonts w:ascii="Times New Roman" w:eastAsia="Times New Roman" w:hAnsi="Times New Roman" w:cs="Times New Roman"/>
          <w:kern w:val="0"/>
          <w14:ligatures w14:val="none"/>
        </w:rPr>
        <w:t>ates per 100,000 population.</w:t>
      </w:r>
      <w:r w:rsidR="003E5C7D" w:rsidRPr="00C37805">
        <w:rPr>
          <w:rFonts w:ascii="Times New Roman" w:eastAsia="Times New Roman" w:hAnsi="Times New Roman" w:cs="Times New Roman"/>
          <w:kern w:val="0"/>
          <w14:ligatures w14:val="none"/>
        </w:rPr>
        <w:t xml:space="preserve"> Population estimates are derived from the average of two consecutive years within the season. Death counts are derived from summing up the death counts from all the months</w:t>
      </w:r>
      <w:r w:rsidR="00020E9C">
        <w:rPr>
          <w:rFonts w:ascii="Times New Roman" w:eastAsia="Times New Roman" w:hAnsi="Times New Roman" w:cs="Times New Roman"/>
          <w:kern w:val="0"/>
          <w14:ligatures w14:val="none"/>
        </w:rPr>
        <w:t xml:space="preserve"> within the season</w:t>
      </w:r>
      <w:r w:rsidR="003E5C7D" w:rsidRPr="00C37805">
        <w:rPr>
          <w:rFonts w:ascii="Times New Roman" w:eastAsia="Times New Roman" w:hAnsi="Times New Roman" w:cs="Times New Roman"/>
          <w:kern w:val="0"/>
          <w14:ligatures w14:val="none"/>
        </w:rPr>
        <w:t>.</w:t>
      </w:r>
    </w:p>
    <w:p w14:paraId="2803B27B" w14:textId="77777777" w:rsidR="000A616D" w:rsidRPr="00C37805" w:rsidRDefault="000A616D" w:rsidP="000A616D">
      <w:pPr>
        <w:pStyle w:val="ListParagraph"/>
        <w:spacing w:after="100" w:afterAutospacing="1"/>
        <w:rPr>
          <w:rFonts w:ascii="Times New Roman" w:eastAsia="Times New Roman" w:hAnsi="Times New Roman" w:cs="Times New Roman"/>
          <w:kern w:val="0"/>
          <w14:ligatures w14:val="none"/>
        </w:rPr>
      </w:pPr>
    </w:p>
    <w:p w14:paraId="02F9DA53" w14:textId="08A87D39" w:rsidR="00AD5317" w:rsidRPr="00C37805" w:rsidRDefault="00AD5317" w:rsidP="00AD5317">
      <w:pPr>
        <w:pStyle w:val="ListParagraph"/>
        <w:numPr>
          <w:ilvl w:val="0"/>
          <w:numId w:val="3"/>
        </w:numPr>
        <w:spacing w:after="100" w:afterAutospacing="1"/>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t xml:space="preserve">Demographics: Data is grouped by </w:t>
      </w:r>
      <w:r w:rsidR="00020E9C">
        <w:rPr>
          <w:rFonts w:ascii="Times New Roman" w:eastAsia="Times New Roman" w:hAnsi="Times New Roman" w:cs="Times New Roman"/>
          <w:kern w:val="0"/>
          <w14:ligatures w14:val="none"/>
        </w:rPr>
        <w:t>t</w:t>
      </w:r>
      <w:r w:rsidRPr="00C37805">
        <w:rPr>
          <w:rFonts w:ascii="Times New Roman" w:eastAsia="Times New Roman" w:hAnsi="Times New Roman" w:cs="Times New Roman"/>
          <w:kern w:val="0"/>
          <w14:ligatures w14:val="none"/>
        </w:rPr>
        <w:t>en-</w:t>
      </w:r>
      <w:r w:rsidR="00020E9C">
        <w:rPr>
          <w:rFonts w:ascii="Times New Roman" w:eastAsia="Times New Roman" w:hAnsi="Times New Roman" w:cs="Times New Roman"/>
          <w:kern w:val="0"/>
          <w14:ligatures w14:val="none"/>
        </w:rPr>
        <w:t>y</w:t>
      </w:r>
      <w:r w:rsidRPr="00C37805">
        <w:rPr>
          <w:rFonts w:ascii="Times New Roman" w:eastAsia="Times New Roman" w:hAnsi="Times New Roman" w:cs="Times New Roman"/>
          <w:kern w:val="0"/>
          <w14:ligatures w14:val="none"/>
        </w:rPr>
        <w:t xml:space="preserve">ear </w:t>
      </w:r>
      <w:r w:rsidR="00020E9C">
        <w:rPr>
          <w:rFonts w:ascii="Times New Roman" w:eastAsia="Times New Roman" w:hAnsi="Times New Roman" w:cs="Times New Roman"/>
          <w:kern w:val="0"/>
          <w14:ligatures w14:val="none"/>
        </w:rPr>
        <w:t>a</w:t>
      </w:r>
      <w:r w:rsidRPr="00C37805">
        <w:rPr>
          <w:rFonts w:ascii="Times New Roman" w:eastAsia="Times New Roman" w:hAnsi="Times New Roman" w:cs="Times New Roman"/>
          <w:kern w:val="0"/>
          <w14:ligatures w14:val="none"/>
        </w:rPr>
        <w:t xml:space="preserve">ge </w:t>
      </w:r>
      <w:r w:rsidR="00020E9C">
        <w:rPr>
          <w:rFonts w:ascii="Times New Roman" w:eastAsia="Times New Roman" w:hAnsi="Times New Roman" w:cs="Times New Roman"/>
          <w:kern w:val="0"/>
          <w14:ligatures w14:val="none"/>
        </w:rPr>
        <w:t>g</w:t>
      </w:r>
      <w:r w:rsidRPr="00C37805">
        <w:rPr>
          <w:rFonts w:ascii="Times New Roman" w:eastAsia="Times New Roman" w:hAnsi="Times New Roman" w:cs="Times New Roman"/>
          <w:kern w:val="0"/>
          <w14:ligatures w14:val="none"/>
        </w:rPr>
        <w:t>roups to identify disparities in risk across</w:t>
      </w:r>
      <w:r w:rsidR="003E5C7D" w:rsidRPr="00C37805">
        <w:rPr>
          <w:rFonts w:ascii="Times New Roman" w:eastAsia="Times New Roman" w:hAnsi="Times New Roman" w:cs="Times New Roman"/>
          <w:kern w:val="0"/>
          <w14:ligatures w14:val="none"/>
        </w:rPr>
        <w:t xml:space="preserve"> ages</w:t>
      </w:r>
      <w:r w:rsidRPr="00C37805">
        <w:rPr>
          <w:rFonts w:ascii="Times New Roman" w:eastAsia="Times New Roman" w:hAnsi="Times New Roman" w:cs="Times New Roman"/>
          <w:kern w:val="0"/>
          <w14:ligatures w14:val="none"/>
        </w:rPr>
        <w:t>.</w:t>
      </w:r>
    </w:p>
    <w:p w14:paraId="64F448F3" w14:textId="77777777" w:rsidR="003E5C7D" w:rsidRPr="00C37805" w:rsidRDefault="003E5C7D" w:rsidP="003E5C7D">
      <w:pPr>
        <w:pStyle w:val="ListParagraph"/>
        <w:rPr>
          <w:rFonts w:ascii="Times New Roman" w:eastAsia="Times New Roman" w:hAnsi="Times New Roman" w:cs="Times New Roman"/>
          <w:kern w:val="0"/>
          <w14:ligatures w14:val="none"/>
        </w:rPr>
      </w:pPr>
    </w:p>
    <w:p w14:paraId="36B55114" w14:textId="54B3A983" w:rsidR="003E5C7D" w:rsidRPr="00C37805" w:rsidRDefault="003E5C7D" w:rsidP="00AD5317">
      <w:pPr>
        <w:pStyle w:val="ListParagraph"/>
        <w:numPr>
          <w:ilvl w:val="0"/>
          <w:numId w:val="3"/>
        </w:numPr>
        <w:spacing w:after="100" w:afterAutospacing="1"/>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t>Visual Forms: I generate three graphs to show how the visual conclusions vary by different scales</w:t>
      </w:r>
    </w:p>
    <w:p w14:paraId="659C119C" w14:textId="77777777" w:rsidR="003E5C7D" w:rsidRPr="00C37805" w:rsidRDefault="003E5C7D" w:rsidP="003E5C7D">
      <w:pPr>
        <w:pStyle w:val="ListParagraph"/>
        <w:rPr>
          <w:rFonts w:ascii="Times New Roman" w:eastAsia="Times New Roman" w:hAnsi="Times New Roman" w:cs="Times New Roman"/>
          <w:kern w:val="0"/>
          <w14:ligatures w14:val="none"/>
        </w:rPr>
      </w:pPr>
    </w:p>
    <w:p w14:paraId="7643FCD0" w14:textId="46AAD193" w:rsidR="003E5C7D" w:rsidRPr="003B3C1F" w:rsidRDefault="003E5C7D" w:rsidP="003E5C7D">
      <w:pPr>
        <w:numPr>
          <w:ilvl w:val="1"/>
          <w:numId w:val="5"/>
        </w:numPr>
        <w:spacing w:after="100" w:afterAutospacing="1"/>
        <w:rPr>
          <w:rFonts w:ascii="Times New Roman" w:eastAsia="Times New Roman" w:hAnsi="Times New Roman" w:cs="Times New Roman"/>
          <w:kern w:val="0"/>
          <w14:ligatures w14:val="none"/>
        </w:rPr>
      </w:pPr>
      <w:r w:rsidRPr="003B3C1F">
        <w:rPr>
          <w:rFonts w:ascii="Times New Roman" w:eastAsia="Times New Roman" w:hAnsi="Times New Roman" w:cs="Times New Roman"/>
          <w:kern w:val="0"/>
          <w14:ligatures w14:val="none"/>
        </w:rPr>
        <w:t>Total Plot: A single-line plot shows the overall mortality rate for all ages combined, highlighting severe years such as the 2017–2018 season.</w:t>
      </w:r>
    </w:p>
    <w:p w14:paraId="72AE5DF3" w14:textId="2236C135" w:rsidR="003E5C7D" w:rsidRPr="00C37805" w:rsidRDefault="003E5C7D" w:rsidP="003E5C7D">
      <w:pPr>
        <w:numPr>
          <w:ilvl w:val="1"/>
          <w:numId w:val="5"/>
        </w:numPr>
        <w:spacing w:after="100" w:afterAutospacing="1"/>
        <w:rPr>
          <w:rFonts w:ascii="Times New Roman" w:eastAsia="Times New Roman" w:hAnsi="Times New Roman" w:cs="Times New Roman"/>
          <w:kern w:val="0"/>
          <w14:ligatures w14:val="none"/>
        </w:rPr>
      </w:pPr>
      <w:r w:rsidRPr="003B3C1F">
        <w:rPr>
          <w:rFonts w:ascii="Times New Roman" w:eastAsia="Times New Roman" w:hAnsi="Times New Roman" w:cs="Times New Roman"/>
          <w:kern w:val="0"/>
          <w14:ligatures w14:val="none"/>
        </w:rPr>
        <w:t xml:space="preserve">Combined Plot: All age groups are plotted on a single Y-axis (0 to 80 deaths per 100,000). </w:t>
      </w:r>
    </w:p>
    <w:p w14:paraId="306B2254" w14:textId="72533057" w:rsidR="000A616D" w:rsidRPr="00C37805" w:rsidRDefault="003E5C7D" w:rsidP="000A616D">
      <w:pPr>
        <w:numPr>
          <w:ilvl w:val="1"/>
          <w:numId w:val="5"/>
        </w:numPr>
        <w:spacing w:after="100" w:afterAutospacing="1"/>
        <w:rPr>
          <w:rFonts w:ascii="Times New Roman" w:eastAsia="Times New Roman" w:hAnsi="Times New Roman" w:cs="Times New Roman"/>
          <w:kern w:val="0"/>
          <w14:ligatures w14:val="none"/>
        </w:rPr>
      </w:pPr>
      <w:r w:rsidRPr="00C37805">
        <w:rPr>
          <w:rFonts w:ascii="Times New Roman" w:eastAsia="Times New Roman" w:hAnsi="Times New Roman" w:cs="Times New Roman"/>
          <w:kern w:val="0"/>
          <w14:ligatures w14:val="none"/>
        </w:rPr>
        <w:lastRenderedPageBreak/>
        <w:t>Comparison Plot: Two faceted views were created. One uses a fixed scale for direct comparison, while the "</w:t>
      </w:r>
      <w:r w:rsidR="00020E9C">
        <w:rPr>
          <w:rFonts w:ascii="Times New Roman" w:eastAsia="Times New Roman" w:hAnsi="Times New Roman" w:cs="Times New Roman"/>
          <w:kern w:val="0"/>
          <w14:ligatures w14:val="none"/>
        </w:rPr>
        <w:t>f</w:t>
      </w:r>
      <w:r w:rsidRPr="00C37805">
        <w:rPr>
          <w:rFonts w:ascii="Times New Roman" w:eastAsia="Times New Roman" w:hAnsi="Times New Roman" w:cs="Times New Roman"/>
          <w:kern w:val="0"/>
          <w14:ligatures w14:val="none"/>
        </w:rPr>
        <w:t xml:space="preserve">ree </w:t>
      </w:r>
      <w:r w:rsidR="00020E9C">
        <w:rPr>
          <w:rFonts w:ascii="Times New Roman" w:eastAsia="Times New Roman" w:hAnsi="Times New Roman" w:cs="Times New Roman"/>
          <w:kern w:val="0"/>
          <w14:ligatures w14:val="none"/>
        </w:rPr>
        <w:t>y</w:t>
      </w:r>
      <w:r w:rsidRPr="00C37805">
        <w:rPr>
          <w:rFonts w:ascii="Times New Roman" w:eastAsia="Times New Roman" w:hAnsi="Times New Roman" w:cs="Times New Roman"/>
          <w:kern w:val="0"/>
          <w14:ligatures w14:val="none"/>
        </w:rPr>
        <w:t>-</w:t>
      </w:r>
      <w:r w:rsidR="00020E9C">
        <w:rPr>
          <w:rFonts w:ascii="Times New Roman" w:eastAsia="Times New Roman" w:hAnsi="Times New Roman" w:cs="Times New Roman"/>
          <w:kern w:val="0"/>
          <w14:ligatures w14:val="none"/>
        </w:rPr>
        <w:t>a</w:t>
      </w:r>
      <w:r w:rsidRPr="00C37805">
        <w:rPr>
          <w:rFonts w:ascii="Times New Roman" w:eastAsia="Times New Roman" w:hAnsi="Times New Roman" w:cs="Times New Roman"/>
          <w:kern w:val="0"/>
          <w14:ligatures w14:val="none"/>
        </w:rPr>
        <w:t>xis" view allows for the</w:t>
      </w:r>
      <w:r w:rsidR="000A616D" w:rsidRPr="00C37805">
        <w:rPr>
          <w:rFonts w:ascii="Times New Roman" w:eastAsia="Times New Roman" w:hAnsi="Times New Roman" w:cs="Times New Roman"/>
          <w:kern w:val="0"/>
          <w14:ligatures w14:val="none"/>
        </w:rPr>
        <w:t xml:space="preserve"> </w:t>
      </w:r>
      <w:r w:rsidR="000A616D" w:rsidRPr="003B3C1F">
        <w:rPr>
          <w:rFonts w:ascii="Times New Roman" w:eastAsia="Times New Roman" w:hAnsi="Times New Roman" w:cs="Times New Roman"/>
          <w:kern w:val="0"/>
          <w14:ligatures w14:val="none"/>
        </w:rPr>
        <w:t>visualization of internal patterns in younger age groups whose mortality rates would otherwise appear as flat lines on a larger scale.</w:t>
      </w:r>
    </w:p>
    <w:p w14:paraId="7B8CB18C" w14:textId="77777777" w:rsidR="000A616D" w:rsidRPr="003B3C1F" w:rsidRDefault="000A616D" w:rsidP="000A616D">
      <w:pPr>
        <w:spacing w:after="100" w:afterAutospacing="1"/>
        <w:outlineLvl w:val="1"/>
        <w:rPr>
          <w:rFonts w:ascii="Times New Roman" w:eastAsia="Times New Roman" w:hAnsi="Times New Roman" w:cs="Times New Roman"/>
          <w:b/>
          <w:bCs/>
          <w:kern w:val="0"/>
          <w14:ligatures w14:val="none"/>
        </w:rPr>
      </w:pPr>
      <w:r w:rsidRPr="003B3C1F">
        <w:rPr>
          <w:rFonts w:ascii="Times New Roman" w:eastAsia="Times New Roman" w:hAnsi="Times New Roman" w:cs="Times New Roman"/>
          <w:b/>
          <w:bCs/>
          <w:kern w:val="0"/>
          <w14:ligatures w14:val="none"/>
        </w:rPr>
        <w:t>Limitations and Caveats</w:t>
      </w:r>
    </w:p>
    <w:p w14:paraId="4CC1A79D" w14:textId="0508183A" w:rsidR="000A616D" w:rsidRPr="00020E9C" w:rsidRDefault="000A616D" w:rsidP="000A616D">
      <w:pPr>
        <w:pStyle w:val="ListParagraph"/>
        <w:numPr>
          <w:ilvl w:val="0"/>
          <w:numId w:val="3"/>
        </w:numPr>
        <w:spacing w:after="100" w:afterAutospacing="1"/>
        <w:rPr>
          <w:rFonts w:ascii="Times New Roman" w:eastAsia="Times New Roman" w:hAnsi="Times New Roman" w:cs="Times New Roman"/>
          <w:kern w:val="0"/>
          <w14:ligatures w14:val="none"/>
        </w:rPr>
      </w:pPr>
      <w:r w:rsidRPr="003B3C1F">
        <w:rPr>
          <w:rFonts w:ascii="Times New Roman" w:eastAsia="Times New Roman" w:hAnsi="Times New Roman" w:cs="Times New Roman"/>
          <w:kern w:val="0"/>
          <w14:ligatures w14:val="none"/>
        </w:rPr>
        <w:t xml:space="preserve">Data Suppression: </w:t>
      </w:r>
      <w:r w:rsidRPr="00C37805">
        <w:rPr>
          <w:rFonts w:ascii="Times New Roman" w:eastAsia="Times New Roman" w:hAnsi="Times New Roman" w:cs="Times New Roman"/>
          <w:kern w:val="0"/>
          <w14:ligatures w14:val="none"/>
        </w:rPr>
        <w:t xml:space="preserve">CDC Wonder suppressed the death counts when the counts is smaller than 10. I treated the suppressed as 0 when I sum the monthly counts up. </w:t>
      </w:r>
      <w:r w:rsidRPr="00C37805">
        <w:rPr>
          <w:rFonts w:ascii="Times New Roman" w:hAnsi="Times New Roman" w:cs="Times New Roman"/>
        </w:rPr>
        <w:t>This means my final numbers are likely lower than the actual totals. Future researchers might choose to estimate these missing counts differently to find a higher possible range.</w:t>
      </w:r>
    </w:p>
    <w:p w14:paraId="4D507C30" w14:textId="77777777" w:rsidR="00020E9C" w:rsidRPr="00C37805" w:rsidRDefault="00020E9C" w:rsidP="00020E9C">
      <w:pPr>
        <w:pStyle w:val="ListParagraph"/>
        <w:spacing w:after="100" w:afterAutospacing="1"/>
        <w:rPr>
          <w:rFonts w:ascii="Times New Roman" w:eastAsia="Times New Roman" w:hAnsi="Times New Roman" w:cs="Times New Roman"/>
          <w:kern w:val="0"/>
          <w14:ligatures w14:val="none"/>
        </w:rPr>
      </w:pPr>
    </w:p>
    <w:p w14:paraId="6EC2E5A2" w14:textId="77777777" w:rsidR="00AE0199" w:rsidRPr="00020E9C" w:rsidRDefault="000A616D" w:rsidP="000A616D">
      <w:pPr>
        <w:pStyle w:val="ListParagraph"/>
        <w:numPr>
          <w:ilvl w:val="0"/>
          <w:numId w:val="4"/>
        </w:numPr>
        <w:spacing w:after="100" w:afterAutospacing="1"/>
        <w:rPr>
          <w:rFonts w:ascii="Times New Roman" w:eastAsia="Times New Roman" w:hAnsi="Times New Roman" w:cs="Times New Roman"/>
          <w:kern w:val="0"/>
          <w14:ligatures w14:val="none"/>
        </w:rPr>
      </w:pPr>
      <w:r w:rsidRPr="00C37805">
        <w:rPr>
          <w:rFonts w:ascii="Times New Roman" w:hAnsi="Times New Roman" w:cs="Times New Roman"/>
        </w:rPr>
        <w:t>ICD Code: Prior literature has used various criteria to define influenza-attributable mortality. It is well established that the number of influenza-related deaths cannot be determined solely from deaths coded as influenza (Thompson et al, 2009). Many influenza-associated deaths occur one or two weeks after the initial infection due to secondary bacterial infections or because influenza exacerbates underlying chronic conditions. For this task, I adopt a narrower definition to provide a lower-bound estimate. Future research could expand the definition to generate higher-bound estimates</w:t>
      </w:r>
      <w:r w:rsidR="00AE0199" w:rsidRPr="00C37805">
        <w:rPr>
          <w:rFonts w:ascii="Times New Roman" w:hAnsi="Times New Roman" w:cs="Times New Roman"/>
        </w:rPr>
        <w:t>.</w:t>
      </w:r>
    </w:p>
    <w:p w14:paraId="0D7CDEF4" w14:textId="77777777" w:rsidR="00020E9C" w:rsidRPr="00C37805" w:rsidRDefault="00020E9C" w:rsidP="00020E9C">
      <w:pPr>
        <w:pStyle w:val="ListParagraph"/>
        <w:spacing w:after="100" w:afterAutospacing="1"/>
        <w:rPr>
          <w:rFonts w:ascii="Times New Roman" w:eastAsia="Times New Roman" w:hAnsi="Times New Roman" w:cs="Times New Roman"/>
          <w:kern w:val="0"/>
          <w14:ligatures w14:val="none"/>
        </w:rPr>
      </w:pPr>
    </w:p>
    <w:p w14:paraId="351C1147" w14:textId="3481630E" w:rsidR="00020E9C" w:rsidRPr="00020E9C" w:rsidRDefault="00AE0199" w:rsidP="00020E9C">
      <w:pPr>
        <w:pStyle w:val="ListParagraph"/>
        <w:numPr>
          <w:ilvl w:val="0"/>
          <w:numId w:val="4"/>
        </w:numPr>
        <w:spacing w:after="100" w:afterAutospacing="1"/>
        <w:rPr>
          <w:rFonts w:ascii="Times New Roman" w:eastAsia="Times New Roman" w:hAnsi="Times New Roman" w:cs="Times New Roman"/>
          <w:kern w:val="0"/>
          <w14:ligatures w14:val="none"/>
        </w:rPr>
      </w:pPr>
      <w:r w:rsidRPr="00C37805">
        <w:rPr>
          <w:rFonts w:ascii="Times New Roman" w:hAnsi="Times New Roman" w:cs="Times New Roman"/>
        </w:rPr>
        <w:t>Population ageing: Because this study covers a 25-year period (1999–2024), the “All Ages” mortality rate may be affected by the aging of the “Baby Boomer” generation. Influenza-related deaths are disproportionately concentrated among older adults, so an upward trend in national mortality could reflect population aging rather than an increase in the virus’s virulence or shortcomings in public health interventions. As a result, the raw national mortality rate may give the misleading impression that influenza risk is rising over time, when the trend is actually driven by demographic shifts.</w:t>
      </w:r>
    </w:p>
    <w:p w14:paraId="3EDF5516" w14:textId="77777777" w:rsidR="00020E9C" w:rsidRPr="00020E9C" w:rsidRDefault="00020E9C" w:rsidP="00020E9C">
      <w:pPr>
        <w:pStyle w:val="ListParagraph"/>
        <w:rPr>
          <w:rFonts w:ascii="Times New Roman" w:eastAsia="Times New Roman" w:hAnsi="Times New Roman" w:cs="Times New Roman"/>
          <w:kern w:val="0"/>
          <w14:ligatures w14:val="none"/>
        </w:rPr>
      </w:pPr>
    </w:p>
    <w:p w14:paraId="4188F9AE" w14:textId="77777777" w:rsidR="00020E9C" w:rsidRPr="00020E9C" w:rsidRDefault="00020E9C" w:rsidP="00020E9C">
      <w:pPr>
        <w:pStyle w:val="ListParagraph"/>
        <w:spacing w:after="100" w:afterAutospacing="1"/>
        <w:rPr>
          <w:rFonts w:ascii="Times New Roman" w:eastAsia="Times New Roman" w:hAnsi="Times New Roman" w:cs="Times New Roman"/>
          <w:kern w:val="0"/>
          <w14:ligatures w14:val="none"/>
        </w:rPr>
      </w:pPr>
    </w:p>
    <w:p w14:paraId="3639A4A0" w14:textId="7C699A90" w:rsidR="00AE0199" w:rsidRPr="00C37805" w:rsidRDefault="005330B9" w:rsidP="005330B9">
      <w:pPr>
        <w:pStyle w:val="ListParagraph"/>
        <w:numPr>
          <w:ilvl w:val="0"/>
          <w:numId w:val="4"/>
        </w:numPr>
        <w:spacing w:after="100" w:afterAutospacing="1"/>
        <w:rPr>
          <w:rFonts w:ascii="Times New Roman" w:eastAsia="Times New Roman" w:hAnsi="Times New Roman" w:cs="Times New Roman"/>
          <w:kern w:val="0"/>
          <w14:ligatures w14:val="none"/>
        </w:rPr>
      </w:pPr>
      <w:r w:rsidRPr="00C37805">
        <w:rPr>
          <w:rFonts w:ascii="Times New Roman" w:hAnsi="Times New Roman" w:cs="Times New Roman"/>
        </w:rPr>
        <w:t>Data aggregation: A further limitation is the aggregation of mortality data into 12-month seasonal blocks. While this provides a clear year-over-year comparison, it obscures the intensity and duration of specific outbreaks. Influenza mortality is</w:t>
      </w:r>
      <w:r w:rsidR="00C37805" w:rsidRPr="00C37805">
        <w:rPr>
          <w:rFonts w:ascii="Times New Roman" w:hAnsi="Times New Roman" w:cs="Times New Roman"/>
        </w:rPr>
        <w:t xml:space="preserve"> </w:t>
      </w:r>
      <w:r w:rsidRPr="00C37805">
        <w:rPr>
          <w:rFonts w:ascii="Times New Roman" w:hAnsi="Times New Roman" w:cs="Times New Roman"/>
        </w:rPr>
        <w:t xml:space="preserve">characterized by extreme “spikes” concentrated within a </w:t>
      </w:r>
      <w:r w:rsidR="00C37805" w:rsidRPr="00C37805">
        <w:rPr>
          <w:rFonts w:ascii="Times New Roman" w:hAnsi="Times New Roman" w:cs="Times New Roman"/>
        </w:rPr>
        <w:t>11</w:t>
      </w:r>
      <w:r w:rsidRPr="00C37805">
        <w:rPr>
          <w:rFonts w:ascii="Times New Roman" w:hAnsi="Times New Roman" w:cs="Times New Roman"/>
        </w:rPr>
        <w:t>-week window</w:t>
      </w:r>
      <w:r w:rsidR="00C37805" w:rsidRPr="00C37805">
        <w:rPr>
          <w:rFonts w:ascii="Times New Roman" w:hAnsi="Times New Roman" w:cs="Times New Roman"/>
        </w:rPr>
        <w:t xml:space="preserve"> (</w:t>
      </w:r>
      <w:proofErr w:type="spellStart"/>
      <w:r w:rsidR="00C37805" w:rsidRPr="00C37805">
        <w:rPr>
          <w:rFonts w:ascii="Times New Roman" w:hAnsi="Times New Roman" w:cs="Times New Roman"/>
        </w:rPr>
        <w:t>Viboud</w:t>
      </w:r>
      <w:proofErr w:type="spellEnd"/>
      <w:r w:rsidR="00C37805" w:rsidRPr="00C37805">
        <w:rPr>
          <w:rFonts w:ascii="Times New Roman" w:hAnsi="Times New Roman" w:cs="Times New Roman"/>
        </w:rPr>
        <w:t>, 2004)</w:t>
      </w:r>
      <w:r w:rsidRPr="00C37805">
        <w:rPr>
          <w:rFonts w:ascii="Times New Roman" w:hAnsi="Times New Roman" w:cs="Times New Roman"/>
        </w:rPr>
        <w:t xml:space="preserve">. By averaging these deaths over a full year, the resulting mortality rates may underrepresent the acute strain placed on the healthcare system during peak months. </w:t>
      </w:r>
    </w:p>
    <w:p w14:paraId="6C73BEEB" w14:textId="2123EC20" w:rsidR="00C37805" w:rsidRPr="00C37805" w:rsidRDefault="00C37805" w:rsidP="00C37805">
      <w:pPr>
        <w:spacing w:after="100" w:afterAutospacing="1"/>
        <w:outlineLvl w:val="1"/>
        <w:rPr>
          <w:rFonts w:ascii="Times New Roman" w:eastAsia="Times New Roman" w:hAnsi="Times New Roman" w:cs="Times New Roman"/>
          <w:b/>
          <w:bCs/>
          <w:kern w:val="0"/>
          <w14:ligatures w14:val="none"/>
        </w:rPr>
      </w:pPr>
      <w:r w:rsidRPr="00C37805">
        <w:rPr>
          <w:rFonts w:ascii="Times New Roman" w:eastAsia="Times New Roman" w:hAnsi="Times New Roman" w:cs="Times New Roman"/>
          <w:b/>
          <w:bCs/>
          <w:kern w:val="0"/>
          <w14:ligatures w14:val="none"/>
        </w:rPr>
        <w:t xml:space="preserve">References </w:t>
      </w:r>
    </w:p>
    <w:p w14:paraId="5CE9850A" w14:textId="73D9122A" w:rsidR="00AE0199" w:rsidRPr="00C37805" w:rsidRDefault="00C37805" w:rsidP="00C37805">
      <w:pPr>
        <w:spacing w:after="100" w:afterAutospacing="1"/>
        <w:rPr>
          <w:rFonts w:ascii="Times New Roman" w:eastAsia="Times New Roman" w:hAnsi="Times New Roman" w:cs="Times New Roman"/>
          <w:b/>
          <w:bCs/>
          <w:kern w:val="0"/>
          <w14:ligatures w14:val="none"/>
        </w:rPr>
      </w:pPr>
      <w:r w:rsidRPr="00C37805">
        <w:rPr>
          <w:rFonts w:ascii="Times New Roman" w:hAnsi="Times New Roman" w:cs="Times New Roman"/>
          <w:color w:val="212121"/>
          <w:shd w:val="clear" w:color="auto" w:fill="FFFFFF"/>
        </w:rPr>
        <w:t xml:space="preserve">Doshi P. Trends in recorded influenza mortality: United States, 1900-2004. Am J Public Health. 2008 May;98(5):939-45. </w:t>
      </w:r>
      <w:proofErr w:type="spellStart"/>
      <w:r w:rsidRPr="00C37805">
        <w:rPr>
          <w:rFonts w:ascii="Times New Roman" w:hAnsi="Times New Roman" w:cs="Times New Roman"/>
          <w:color w:val="212121"/>
          <w:shd w:val="clear" w:color="auto" w:fill="FFFFFF"/>
        </w:rPr>
        <w:t>doi</w:t>
      </w:r>
      <w:proofErr w:type="spellEnd"/>
      <w:r w:rsidRPr="00C37805">
        <w:rPr>
          <w:rFonts w:ascii="Times New Roman" w:hAnsi="Times New Roman" w:cs="Times New Roman"/>
          <w:color w:val="212121"/>
          <w:shd w:val="clear" w:color="auto" w:fill="FFFFFF"/>
        </w:rPr>
        <w:t xml:space="preserve">: 10.2105/AJPH.2007.119933. </w:t>
      </w:r>
      <w:proofErr w:type="spellStart"/>
      <w:r w:rsidRPr="00C37805">
        <w:rPr>
          <w:rFonts w:ascii="Times New Roman" w:hAnsi="Times New Roman" w:cs="Times New Roman"/>
          <w:color w:val="212121"/>
          <w:shd w:val="clear" w:color="auto" w:fill="FFFFFF"/>
        </w:rPr>
        <w:t>Epub</w:t>
      </w:r>
      <w:proofErr w:type="spellEnd"/>
      <w:r w:rsidRPr="00C37805">
        <w:rPr>
          <w:rFonts w:ascii="Times New Roman" w:hAnsi="Times New Roman" w:cs="Times New Roman"/>
          <w:color w:val="212121"/>
          <w:shd w:val="clear" w:color="auto" w:fill="FFFFFF"/>
        </w:rPr>
        <w:t xml:space="preserve"> 2008 Apr 1. Erratum in: Am J Public Health. 2009 Aug;99(8):1353-4. PMID: 18381993; PMCID: PMC2374803.</w:t>
      </w:r>
    </w:p>
    <w:p w14:paraId="7B910FB3" w14:textId="415AF069" w:rsidR="00A91487" w:rsidRPr="00C37805" w:rsidRDefault="00163AAB" w:rsidP="00A91487">
      <w:pPr>
        <w:shd w:val="clear" w:color="auto" w:fill="FFFFFF"/>
        <w:spacing w:before="100" w:beforeAutospacing="1" w:after="100" w:afterAutospacing="1"/>
        <w:textAlignment w:val="baseline"/>
        <w:rPr>
          <w:rFonts w:ascii="Times New Roman" w:hAnsi="Times New Roman" w:cs="Times New Roman"/>
          <w:color w:val="222222"/>
          <w:shd w:val="clear" w:color="auto" w:fill="FFFFFF"/>
        </w:rPr>
      </w:pPr>
      <w:r w:rsidRPr="00C37805">
        <w:rPr>
          <w:rFonts w:ascii="Times New Roman" w:hAnsi="Times New Roman" w:cs="Times New Roman"/>
          <w:color w:val="222222"/>
          <w:shd w:val="clear" w:color="auto" w:fill="FFFFFF"/>
        </w:rPr>
        <w:t xml:space="preserve">Thompson, W. W., Moore, M. R., Weintraub, E., Cheng, P. Y., </w:t>
      </w:r>
      <w:proofErr w:type="spellStart"/>
      <w:r w:rsidRPr="00C37805">
        <w:rPr>
          <w:rFonts w:ascii="Times New Roman" w:hAnsi="Times New Roman" w:cs="Times New Roman"/>
          <w:color w:val="222222"/>
          <w:shd w:val="clear" w:color="auto" w:fill="FFFFFF"/>
        </w:rPr>
        <w:t>Jin</w:t>
      </w:r>
      <w:proofErr w:type="spellEnd"/>
      <w:r w:rsidRPr="00C37805">
        <w:rPr>
          <w:rFonts w:ascii="Times New Roman" w:hAnsi="Times New Roman" w:cs="Times New Roman"/>
          <w:color w:val="222222"/>
          <w:shd w:val="clear" w:color="auto" w:fill="FFFFFF"/>
        </w:rPr>
        <w:t>, X., Bridges, C. B., ... &amp; Shay, D. K. (2009). Estimating influenza-associated deaths in the United States. </w:t>
      </w:r>
      <w:r w:rsidRPr="00C37805">
        <w:rPr>
          <w:rFonts w:ascii="Times New Roman" w:hAnsi="Times New Roman" w:cs="Times New Roman"/>
          <w:i/>
          <w:iCs/>
          <w:color w:val="222222"/>
          <w:shd w:val="clear" w:color="auto" w:fill="FFFFFF"/>
        </w:rPr>
        <w:t>American journal of public health</w:t>
      </w:r>
      <w:r w:rsidRPr="00C37805">
        <w:rPr>
          <w:rFonts w:ascii="Times New Roman" w:hAnsi="Times New Roman" w:cs="Times New Roman"/>
          <w:color w:val="222222"/>
          <w:shd w:val="clear" w:color="auto" w:fill="FFFFFF"/>
        </w:rPr>
        <w:t>, </w:t>
      </w:r>
      <w:r w:rsidRPr="00C37805">
        <w:rPr>
          <w:rFonts w:ascii="Times New Roman" w:hAnsi="Times New Roman" w:cs="Times New Roman"/>
          <w:i/>
          <w:iCs/>
          <w:color w:val="222222"/>
          <w:shd w:val="clear" w:color="auto" w:fill="FFFFFF"/>
        </w:rPr>
        <w:t>99</w:t>
      </w:r>
      <w:r w:rsidRPr="00C37805">
        <w:rPr>
          <w:rFonts w:ascii="Times New Roman" w:hAnsi="Times New Roman" w:cs="Times New Roman"/>
          <w:color w:val="222222"/>
          <w:shd w:val="clear" w:color="auto" w:fill="FFFFFF"/>
        </w:rPr>
        <w:t>(S2), S225-S230.</w:t>
      </w:r>
    </w:p>
    <w:p w14:paraId="7313A556" w14:textId="567BEF4F" w:rsidR="00C37805" w:rsidRPr="00A91487" w:rsidRDefault="00C37805" w:rsidP="00A91487">
      <w:pPr>
        <w:shd w:val="clear" w:color="auto" w:fill="FFFFFF"/>
        <w:spacing w:before="100" w:beforeAutospacing="1" w:after="100" w:afterAutospacing="1"/>
        <w:textAlignment w:val="baseline"/>
        <w:rPr>
          <w:rFonts w:ascii="Times New Roman" w:eastAsia="Times New Roman" w:hAnsi="Times New Roman" w:cs="Times New Roman"/>
          <w:color w:val="000000"/>
          <w:kern w:val="0"/>
          <w14:ligatures w14:val="none"/>
        </w:rPr>
      </w:pPr>
      <w:proofErr w:type="spellStart"/>
      <w:r w:rsidRPr="00C37805">
        <w:rPr>
          <w:rFonts w:ascii="Times New Roman" w:hAnsi="Times New Roman" w:cs="Times New Roman"/>
          <w:color w:val="212121"/>
          <w:shd w:val="clear" w:color="auto" w:fill="FFFFFF"/>
        </w:rPr>
        <w:lastRenderedPageBreak/>
        <w:t>Viboud</w:t>
      </w:r>
      <w:proofErr w:type="spellEnd"/>
      <w:r w:rsidRPr="00C37805">
        <w:rPr>
          <w:rFonts w:ascii="Times New Roman" w:hAnsi="Times New Roman" w:cs="Times New Roman"/>
          <w:color w:val="212121"/>
          <w:shd w:val="clear" w:color="auto" w:fill="FFFFFF"/>
        </w:rPr>
        <w:t xml:space="preserve"> C, </w:t>
      </w:r>
      <w:proofErr w:type="spellStart"/>
      <w:r w:rsidRPr="00C37805">
        <w:rPr>
          <w:rFonts w:ascii="Times New Roman" w:hAnsi="Times New Roman" w:cs="Times New Roman"/>
          <w:color w:val="212121"/>
          <w:shd w:val="clear" w:color="auto" w:fill="FFFFFF"/>
        </w:rPr>
        <w:t>Boëlle</w:t>
      </w:r>
      <w:proofErr w:type="spellEnd"/>
      <w:r w:rsidRPr="00C37805">
        <w:rPr>
          <w:rFonts w:ascii="Times New Roman" w:hAnsi="Times New Roman" w:cs="Times New Roman"/>
          <w:color w:val="212121"/>
          <w:shd w:val="clear" w:color="auto" w:fill="FFFFFF"/>
        </w:rPr>
        <w:t xml:space="preserve"> PY, </w:t>
      </w:r>
      <w:proofErr w:type="spellStart"/>
      <w:r w:rsidRPr="00C37805">
        <w:rPr>
          <w:rFonts w:ascii="Times New Roman" w:hAnsi="Times New Roman" w:cs="Times New Roman"/>
          <w:color w:val="212121"/>
          <w:shd w:val="clear" w:color="auto" w:fill="FFFFFF"/>
        </w:rPr>
        <w:t>Pakdaman</w:t>
      </w:r>
      <w:proofErr w:type="spellEnd"/>
      <w:r w:rsidRPr="00C37805">
        <w:rPr>
          <w:rFonts w:ascii="Times New Roman" w:hAnsi="Times New Roman" w:cs="Times New Roman"/>
          <w:color w:val="212121"/>
          <w:shd w:val="clear" w:color="auto" w:fill="FFFFFF"/>
        </w:rPr>
        <w:t xml:space="preserve"> K, </w:t>
      </w:r>
      <w:proofErr w:type="spellStart"/>
      <w:r w:rsidRPr="00C37805">
        <w:rPr>
          <w:rFonts w:ascii="Times New Roman" w:hAnsi="Times New Roman" w:cs="Times New Roman"/>
          <w:color w:val="212121"/>
          <w:shd w:val="clear" w:color="auto" w:fill="FFFFFF"/>
        </w:rPr>
        <w:t>Carrat</w:t>
      </w:r>
      <w:proofErr w:type="spellEnd"/>
      <w:r w:rsidRPr="00C37805">
        <w:rPr>
          <w:rFonts w:ascii="Times New Roman" w:hAnsi="Times New Roman" w:cs="Times New Roman"/>
          <w:color w:val="212121"/>
          <w:shd w:val="clear" w:color="auto" w:fill="FFFFFF"/>
        </w:rPr>
        <w:t xml:space="preserve"> F, </w:t>
      </w:r>
      <w:proofErr w:type="spellStart"/>
      <w:r w:rsidRPr="00C37805">
        <w:rPr>
          <w:rFonts w:ascii="Times New Roman" w:hAnsi="Times New Roman" w:cs="Times New Roman"/>
          <w:color w:val="212121"/>
          <w:shd w:val="clear" w:color="auto" w:fill="FFFFFF"/>
        </w:rPr>
        <w:t>Valleron</w:t>
      </w:r>
      <w:proofErr w:type="spellEnd"/>
      <w:r w:rsidRPr="00C37805">
        <w:rPr>
          <w:rFonts w:ascii="Times New Roman" w:hAnsi="Times New Roman" w:cs="Times New Roman"/>
          <w:color w:val="212121"/>
          <w:shd w:val="clear" w:color="auto" w:fill="FFFFFF"/>
        </w:rPr>
        <w:t xml:space="preserve"> AJ, </w:t>
      </w:r>
      <w:proofErr w:type="spellStart"/>
      <w:r w:rsidRPr="00C37805">
        <w:rPr>
          <w:rFonts w:ascii="Times New Roman" w:hAnsi="Times New Roman" w:cs="Times New Roman"/>
          <w:color w:val="212121"/>
          <w:shd w:val="clear" w:color="auto" w:fill="FFFFFF"/>
        </w:rPr>
        <w:t>Flahault</w:t>
      </w:r>
      <w:proofErr w:type="spellEnd"/>
      <w:r w:rsidRPr="00C37805">
        <w:rPr>
          <w:rFonts w:ascii="Times New Roman" w:hAnsi="Times New Roman" w:cs="Times New Roman"/>
          <w:color w:val="212121"/>
          <w:shd w:val="clear" w:color="auto" w:fill="FFFFFF"/>
        </w:rPr>
        <w:t xml:space="preserve"> A. Influenza epidemics in the United States, France, and Australia, 1972-1997. </w:t>
      </w:r>
      <w:proofErr w:type="spellStart"/>
      <w:r w:rsidRPr="00C37805">
        <w:rPr>
          <w:rFonts w:ascii="Times New Roman" w:hAnsi="Times New Roman" w:cs="Times New Roman"/>
          <w:color w:val="212121"/>
          <w:shd w:val="clear" w:color="auto" w:fill="FFFFFF"/>
        </w:rPr>
        <w:t>Emerg</w:t>
      </w:r>
      <w:proofErr w:type="spellEnd"/>
      <w:r w:rsidRPr="00C37805">
        <w:rPr>
          <w:rFonts w:ascii="Times New Roman" w:hAnsi="Times New Roman" w:cs="Times New Roman"/>
          <w:color w:val="212121"/>
          <w:shd w:val="clear" w:color="auto" w:fill="FFFFFF"/>
        </w:rPr>
        <w:t xml:space="preserve"> Infect Dis. 2004 Jan;10(1):32-9. </w:t>
      </w:r>
      <w:proofErr w:type="spellStart"/>
      <w:r w:rsidRPr="00C37805">
        <w:rPr>
          <w:rFonts w:ascii="Times New Roman" w:hAnsi="Times New Roman" w:cs="Times New Roman"/>
          <w:color w:val="212121"/>
          <w:shd w:val="clear" w:color="auto" w:fill="FFFFFF"/>
        </w:rPr>
        <w:t>doi</w:t>
      </w:r>
      <w:proofErr w:type="spellEnd"/>
      <w:r w:rsidRPr="00C37805">
        <w:rPr>
          <w:rFonts w:ascii="Times New Roman" w:hAnsi="Times New Roman" w:cs="Times New Roman"/>
          <w:color w:val="212121"/>
          <w:shd w:val="clear" w:color="auto" w:fill="FFFFFF"/>
        </w:rPr>
        <w:t>: 10.3201/eid1001.020705. PMID: 15078594; PMCID: PMC3322745.</w:t>
      </w:r>
    </w:p>
    <w:p w14:paraId="74ED7630" w14:textId="77777777" w:rsidR="00D92ABE" w:rsidRPr="00C37805" w:rsidRDefault="00D92ABE">
      <w:pPr>
        <w:rPr>
          <w:rFonts w:ascii="Times New Roman" w:hAnsi="Times New Roman" w:cs="Times New Roman"/>
        </w:rPr>
      </w:pPr>
    </w:p>
    <w:sectPr w:rsidR="00D92ABE" w:rsidRPr="00C3780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AEB7B" w14:textId="77777777" w:rsidR="00720E1F" w:rsidRDefault="00720E1F" w:rsidP="00EB7C6C">
      <w:r>
        <w:separator/>
      </w:r>
    </w:p>
  </w:endnote>
  <w:endnote w:type="continuationSeparator" w:id="0">
    <w:p w14:paraId="26622AC2" w14:textId="77777777" w:rsidR="00720E1F" w:rsidRDefault="00720E1F" w:rsidP="00EB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ED1B4" w14:textId="77777777" w:rsidR="00720E1F" w:rsidRDefault="00720E1F" w:rsidP="00EB7C6C">
      <w:r>
        <w:separator/>
      </w:r>
    </w:p>
  </w:footnote>
  <w:footnote w:type="continuationSeparator" w:id="0">
    <w:p w14:paraId="35537068" w14:textId="77777777" w:rsidR="00720E1F" w:rsidRDefault="00720E1F" w:rsidP="00EB7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49E17" w14:textId="1CF872B3" w:rsidR="00EB7C6C" w:rsidRPr="00EB7C6C" w:rsidRDefault="00EB7C6C" w:rsidP="00EB7C6C">
    <w:pPr>
      <w:pStyle w:val="Header"/>
      <w:rPr>
        <w:rFonts w:ascii="Times New Roman" w:hAnsi="Times New Roman" w:cs="Times New Roman"/>
      </w:rPr>
    </w:pPr>
    <w:r w:rsidRPr="00EB7C6C">
      <w:rPr>
        <w:rFonts w:ascii="Times New Roman" w:hAnsi="Times New Roman" w:cs="Times New Roman"/>
      </w:rPr>
      <w:t>T</w:t>
    </w:r>
    <w:r w:rsidRPr="00EB7C6C">
      <w:rPr>
        <w:rFonts w:ascii="Times New Roman" w:hAnsi="Times New Roman" w:cs="Times New Roman"/>
      </w:rPr>
      <w:t>itle: Technical Report: Influenza-Attributable Mortality Analysis (U.S.)</w:t>
    </w:r>
  </w:p>
  <w:p w14:paraId="0A518AF0" w14:textId="10F726E4" w:rsidR="00EB7C6C" w:rsidRPr="00EB7C6C" w:rsidRDefault="00EB7C6C" w:rsidP="00EB7C6C">
    <w:pPr>
      <w:pStyle w:val="Header"/>
      <w:rPr>
        <w:rFonts w:ascii="Times New Roman" w:hAnsi="Times New Roman" w:cs="Times New Roman"/>
      </w:rPr>
    </w:pPr>
    <w:r w:rsidRPr="00EB7C6C">
      <w:rPr>
        <w:rFonts w:ascii="Times New Roman" w:hAnsi="Times New Roman" w:cs="Times New Roman"/>
      </w:rPr>
      <w:t>A</w:t>
    </w:r>
    <w:r w:rsidRPr="00EB7C6C">
      <w:rPr>
        <w:rFonts w:ascii="Times New Roman" w:hAnsi="Times New Roman" w:cs="Times New Roman"/>
      </w:rPr>
      <w:t>uthor: Li Hsu</w:t>
    </w:r>
  </w:p>
  <w:p w14:paraId="2441D157" w14:textId="131FB5A9" w:rsidR="00EB7C6C" w:rsidRPr="00EB7C6C" w:rsidRDefault="00EB7C6C" w:rsidP="00EB7C6C">
    <w:pPr>
      <w:pStyle w:val="Header"/>
      <w:rPr>
        <w:rFonts w:ascii="Times New Roman" w:hAnsi="Times New Roman" w:cs="Times New Roman"/>
      </w:rPr>
    </w:pPr>
    <w:r w:rsidRPr="00EB7C6C">
      <w:rPr>
        <w:rFonts w:ascii="Times New Roman" w:hAnsi="Times New Roman" w:cs="Times New Roman"/>
      </w:rPr>
      <w:t>D</w:t>
    </w:r>
    <w:r w:rsidRPr="00EB7C6C">
      <w:rPr>
        <w:rFonts w:ascii="Times New Roman" w:hAnsi="Times New Roman" w:cs="Times New Roman"/>
      </w:rPr>
      <w:t>ate: 2026-03-03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3536B"/>
    <w:multiLevelType w:val="multilevel"/>
    <w:tmpl w:val="CD50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817EA"/>
    <w:multiLevelType w:val="multilevel"/>
    <w:tmpl w:val="5E1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524CE"/>
    <w:multiLevelType w:val="multilevel"/>
    <w:tmpl w:val="3A5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20745"/>
    <w:multiLevelType w:val="hybridMultilevel"/>
    <w:tmpl w:val="2264D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CD5342"/>
    <w:multiLevelType w:val="multilevel"/>
    <w:tmpl w:val="87E26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8098A"/>
    <w:multiLevelType w:val="hybridMultilevel"/>
    <w:tmpl w:val="2C3EB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84CBB"/>
    <w:multiLevelType w:val="multilevel"/>
    <w:tmpl w:val="C20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A5300"/>
    <w:multiLevelType w:val="multilevel"/>
    <w:tmpl w:val="BD5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73D55"/>
    <w:multiLevelType w:val="multilevel"/>
    <w:tmpl w:val="6C7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92D3D"/>
    <w:multiLevelType w:val="multilevel"/>
    <w:tmpl w:val="8B54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588159">
    <w:abstractNumId w:val="4"/>
  </w:num>
  <w:num w:numId="2" w16cid:durableId="591360522">
    <w:abstractNumId w:val="2"/>
  </w:num>
  <w:num w:numId="3" w16cid:durableId="1397122327">
    <w:abstractNumId w:val="7"/>
  </w:num>
  <w:num w:numId="4" w16cid:durableId="1268194673">
    <w:abstractNumId w:val="5"/>
  </w:num>
  <w:num w:numId="5" w16cid:durableId="1978489225">
    <w:abstractNumId w:val="6"/>
  </w:num>
  <w:num w:numId="6" w16cid:durableId="2033065166">
    <w:abstractNumId w:val="9"/>
  </w:num>
  <w:num w:numId="7" w16cid:durableId="430397186">
    <w:abstractNumId w:val="3"/>
  </w:num>
  <w:num w:numId="8" w16cid:durableId="1964462469">
    <w:abstractNumId w:val="1"/>
  </w:num>
  <w:num w:numId="9" w16cid:durableId="880282393">
    <w:abstractNumId w:val="8"/>
  </w:num>
  <w:num w:numId="10" w16cid:durableId="1656294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87"/>
    <w:rsid w:val="00020E9C"/>
    <w:rsid w:val="000404E3"/>
    <w:rsid w:val="000534F0"/>
    <w:rsid w:val="000A616D"/>
    <w:rsid w:val="000F3230"/>
    <w:rsid w:val="001311E9"/>
    <w:rsid w:val="00140C03"/>
    <w:rsid w:val="00163AAB"/>
    <w:rsid w:val="00184683"/>
    <w:rsid w:val="0018648D"/>
    <w:rsid w:val="001A3558"/>
    <w:rsid w:val="001B0894"/>
    <w:rsid w:val="001D1B02"/>
    <w:rsid w:val="00232147"/>
    <w:rsid w:val="002A3D63"/>
    <w:rsid w:val="002D3405"/>
    <w:rsid w:val="003A0000"/>
    <w:rsid w:val="003B33F4"/>
    <w:rsid w:val="003B4207"/>
    <w:rsid w:val="003E5C7D"/>
    <w:rsid w:val="004D758B"/>
    <w:rsid w:val="0050678C"/>
    <w:rsid w:val="005330B9"/>
    <w:rsid w:val="005B43DD"/>
    <w:rsid w:val="00634F71"/>
    <w:rsid w:val="00651153"/>
    <w:rsid w:val="006E2D9F"/>
    <w:rsid w:val="006F6BC2"/>
    <w:rsid w:val="00720E1F"/>
    <w:rsid w:val="00765936"/>
    <w:rsid w:val="00780D79"/>
    <w:rsid w:val="008037A5"/>
    <w:rsid w:val="00876FCC"/>
    <w:rsid w:val="00950140"/>
    <w:rsid w:val="009C6AD7"/>
    <w:rsid w:val="00A15193"/>
    <w:rsid w:val="00A91487"/>
    <w:rsid w:val="00AB5DB5"/>
    <w:rsid w:val="00AD5317"/>
    <w:rsid w:val="00AE0199"/>
    <w:rsid w:val="00B53319"/>
    <w:rsid w:val="00C01A71"/>
    <w:rsid w:val="00C37805"/>
    <w:rsid w:val="00CF4D50"/>
    <w:rsid w:val="00D92ABE"/>
    <w:rsid w:val="00DA2F0F"/>
    <w:rsid w:val="00DC5329"/>
    <w:rsid w:val="00EB6F47"/>
    <w:rsid w:val="00EB7C6C"/>
    <w:rsid w:val="00EE12FB"/>
    <w:rsid w:val="00F85F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853E3B5"/>
  <w15:chartTrackingRefBased/>
  <w15:docId w15:val="{CC339335-B2F9-FF44-84A1-2CB1DD58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E5C7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5317"/>
    <w:rPr>
      <w:color w:val="0563C1" w:themeColor="hyperlink"/>
      <w:u w:val="single"/>
    </w:rPr>
  </w:style>
  <w:style w:type="character" w:styleId="UnresolvedMention">
    <w:name w:val="Unresolved Mention"/>
    <w:basedOn w:val="DefaultParagraphFont"/>
    <w:uiPriority w:val="99"/>
    <w:semiHidden/>
    <w:unhideWhenUsed/>
    <w:rsid w:val="00AD5317"/>
    <w:rPr>
      <w:color w:val="605E5C"/>
      <w:shd w:val="clear" w:color="auto" w:fill="E1DFDD"/>
    </w:rPr>
  </w:style>
  <w:style w:type="character" w:styleId="FollowedHyperlink">
    <w:name w:val="FollowedHyperlink"/>
    <w:basedOn w:val="DefaultParagraphFont"/>
    <w:uiPriority w:val="99"/>
    <w:semiHidden/>
    <w:unhideWhenUsed/>
    <w:rsid w:val="00AD5317"/>
    <w:rPr>
      <w:color w:val="954F72" w:themeColor="followedHyperlink"/>
      <w:u w:val="single"/>
    </w:rPr>
  </w:style>
  <w:style w:type="paragraph" w:styleId="NormalWeb">
    <w:name w:val="Normal (Web)"/>
    <w:basedOn w:val="Normal"/>
    <w:uiPriority w:val="99"/>
    <w:unhideWhenUsed/>
    <w:rsid w:val="00AD5317"/>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163AAB"/>
    <w:pPr>
      <w:ind w:left="720"/>
      <w:contextualSpacing/>
    </w:pPr>
  </w:style>
  <w:style w:type="character" w:customStyle="1" w:styleId="Heading3Char">
    <w:name w:val="Heading 3 Char"/>
    <w:basedOn w:val="DefaultParagraphFont"/>
    <w:link w:val="Heading3"/>
    <w:uiPriority w:val="9"/>
    <w:semiHidden/>
    <w:rsid w:val="003E5C7D"/>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EB7C6C"/>
    <w:pPr>
      <w:tabs>
        <w:tab w:val="center" w:pos="4680"/>
        <w:tab w:val="right" w:pos="9360"/>
      </w:tabs>
    </w:pPr>
  </w:style>
  <w:style w:type="character" w:customStyle="1" w:styleId="HeaderChar">
    <w:name w:val="Header Char"/>
    <w:basedOn w:val="DefaultParagraphFont"/>
    <w:link w:val="Header"/>
    <w:uiPriority w:val="99"/>
    <w:rsid w:val="00EB7C6C"/>
  </w:style>
  <w:style w:type="paragraph" w:styleId="Footer">
    <w:name w:val="footer"/>
    <w:basedOn w:val="Normal"/>
    <w:link w:val="FooterChar"/>
    <w:uiPriority w:val="99"/>
    <w:unhideWhenUsed/>
    <w:rsid w:val="00EB7C6C"/>
    <w:pPr>
      <w:tabs>
        <w:tab w:val="center" w:pos="4680"/>
        <w:tab w:val="right" w:pos="9360"/>
      </w:tabs>
    </w:pPr>
  </w:style>
  <w:style w:type="character" w:customStyle="1" w:styleId="FooterChar">
    <w:name w:val="Footer Char"/>
    <w:basedOn w:val="DefaultParagraphFont"/>
    <w:link w:val="Footer"/>
    <w:uiPriority w:val="99"/>
    <w:rsid w:val="00EB7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078601">
      <w:bodyDiv w:val="1"/>
      <w:marLeft w:val="0"/>
      <w:marRight w:val="0"/>
      <w:marTop w:val="0"/>
      <w:marBottom w:val="0"/>
      <w:divBdr>
        <w:top w:val="none" w:sz="0" w:space="0" w:color="auto"/>
        <w:left w:val="none" w:sz="0" w:space="0" w:color="auto"/>
        <w:bottom w:val="none" w:sz="0" w:space="0" w:color="auto"/>
        <w:right w:val="none" w:sz="0" w:space="0" w:color="auto"/>
      </w:divBdr>
      <w:divsChild>
        <w:div w:id="1347515508">
          <w:marLeft w:val="0"/>
          <w:marRight w:val="0"/>
          <w:marTop w:val="0"/>
          <w:marBottom w:val="0"/>
          <w:divBdr>
            <w:top w:val="none" w:sz="0" w:space="0" w:color="auto"/>
            <w:left w:val="none" w:sz="0" w:space="0" w:color="auto"/>
            <w:bottom w:val="none" w:sz="0" w:space="0" w:color="auto"/>
            <w:right w:val="none" w:sz="0" w:space="0" w:color="auto"/>
          </w:divBdr>
          <w:divsChild>
            <w:div w:id="2011521763">
              <w:marLeft w:val="0"/>
              <w:marRight w:val="0"/>
              <w:marTop w:val="0"/>
              <w:marBottom w:val="0"/>
              <w:divBdr>
                <w:top w:val="none" w:sz="0" w:space="0" w:color="auto"/>
                <w:left w:val="none" w:sz="0" w:space="0" w:color="auto"/>
                <w:bottom w:val="none" w:sz="0" w:space="0" w:color="auto"/>
                <w:right w:val="none" w:sz="0" w:space="0" w:color="auto"/>
              </w:divBdr>
              <w:divsChild>
                <w:div w:id="1058286011">
                  <w:marLeft w:val="0"/>
                  <w:marRight w:val="0"/>
                  <w:marTop w:val="0"/>
                  <w:marBottom w:val="0"/>
                  <w:divBdr>
                    <w:top w:val="none" w:sz="0" w:space="0" w:color="auto"/>
                    <w:left w:val="none" w:sz="0" w:space="0" w:color="auto"/>
                    <w:bottom w:val="none" w:sz="0" w:space="0" w:color="auto"/>
                    <w:right w:val="none" w:sz="0" w:space="0" w:color="auto"/>
                  </w:divBdr>
                  <w:divsChild>
                    <w:div w:id="45764061">
                      <w:marLeft w:val="0"/>
                      <w:marRight w:val="0"/>
                      <w:marTop w:val="0"/>
                      <w:marBottom w:val="0"/>
                      <w:divBdr>
                        <w:top w:val="none" w:sz="0" w:space="0" w:color="auto"/>
                        <w:left w:val="none" w:sz="0" w:space="0" w:color="auto"/>
                        <w:bottom w:val="none" w:sz="0" w:space="0" w:color="auto"/>
                        <w:right w:val="none" w:sz="0" w:space="0" w:color="auto"/>
                      </w:divBdr>
                      <w:divsChild>
                        <w:div w:id="807865832">
                          <w:marLeft w:val="0"/>
                          <w:marRight w:val="0"/>
                          <w:marTop w:val="0"/>
                          <w:marBottom w:val="0"/>
                          <w:divBdr>
                            <w:top w:val="none" w:sz="0" w:space="0" w:color="auto"/>
                            <w:left w:val="none" w:sz="0" w:space="0" w:color="auto"/>
                            <w:bottom w:val="none" w:sz="0" w:space="0" w:color="auto"/>
                            <w:right w:val="none" w:sz="0" w:space="0" w:color="auto"/>
                          </w:divBdr>
                          <w:divsChild>
                            <w:div w:id="294720231">
                              <w:marLeft w:val="0"/>
                              <w:marRight w:val="0"/>
                              <w:marTop w:val="0"/>
                              <w:marBottom w:val="0"/>
                              <w:divBdr>
                                <w:top w:val="none" w:sz="0" w:space="0" w:color="auto"/>
                                <w:left w:val="none" w:sz="0" w:space="0" w:color="auto"/>
                                <w:bottom w:val="none" w:sz="0" w:space="0" w:color="auto"/>
                                <w:right w:val="none" w:sz="0" w:space="0" w:color="auto"/>
                              </w:divBdr>
                              <w:divsChild>
                                <w:div w:id="12309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187246">
      <w:bodyDiv w:val="1"/>
      <w:marLeft w:val="0"/>
      <w:marRight w:val="0"/>
      <w:marTop w:val="0"/>
      <w:marBottom w:val="0"/>
      <w:divBdr>
        <w:top w:val="none" w:sz="0" w:space="0" w:color="auto"/>
        <w:left w:val="none" w:sz="0" w:space="0" w:color="auto"/>
        <w:bottom w:val="none" w:sz="0" w:space="0" w:color="auto"/>
        <w:right w:val="none" w:sz="0" w:space="0" w:color="auto"/>
      </w:divBdr>
    </w:div>
    <w:div w:id="1775512335">
      <w:bodyDiv w:val="1"/>
      <w:marLeft w:val="0"/>
      <w:marRight w:val="0"/>
      <w:marTop w:val="0"/>
      <w:marBottom w:val="0"/>
      <w:divBdr>
        <w:top w:val="none" w:sz="0" w:space="0" w:color="auto"/>
        <w:left w:val="none" w:sz="0" w:space="0" w:color="auto"/>
        <w:bottom w:val="none" w:sz="0" w:space="0" w:color="auto"/>
        <w:right w:val="none" w:sz="0" w:space="0" w:color="auto"/>
      </w:divBdr>
      <w:divsChild>
        <w:div w:id="1422487940">
          <w:marLeft w:val="0"/>
          <w:marRight w:val="0"/>
          <w:marTop w:val="0"/>
          <w:marBottom w:val="0"/>
          <w:divBdr>
            <w:top w:val="none" w:sz="0" w:space="0" w:color="auto"/>
            <w:left w:val="none" w:sz="0" w:space="0" w:color="auto"/>
            <w:bottom w:val="none" w:sz="0" w:space="0" w:color="auto"/>
            <w:right w:val="none" w:sz="0" w:space="0" w:color="auto"/>
          </w:divBdr>
        </w:div>
        <w:div w:id="192773250">
          <w:marLeft w:val="0"/>
          <w:marRight w:val="0"/>
          <w:marTop w:val="240"/>
          <w:marBottom w:val="240"/>
          <w:divBdr>
            <w:top w:val="none" w:sz="0" w:space="0" w:color="auto"/>
            <w:left w:val="none" w:sz="0" w:space="0" w:color="auto"/>
            <w:bottom w:val="none" w:sz="0" w:space="0" w:color="auto"/>
            <w:right w:val="none" w:sz="0" w:space="0" w:color="auto"/>
          </w:divBdr>
        </w:div>
        <w:div w:id="608708418">
          <w:marLeft w:val="0"/>
          <w:marRight w:val="0"/>
          <w:marTop w:val="240"/>
          <w:marBottom w:val="240"/>
          <w:divBdr>
            <w:top w:val="none" w:sz="0" w:space="0" w:color="auto"/>
            <w:left w:val="none" w:sz="0" w:space="0" w:color="auto"/>
            <w:bottom w:val="none" w:sz="0" w:space="0" w:color="auto"/>
            <w:right w:val="none" w:sz="0" w:space="0" w:color="auto"/>
          </w:divBdr>
        </w:div>
        <w:div w:id="849216611">
          <w:marLeft w:val="0"/>
          <w:marRight w:val="0"/>
          <w:marTop w:val="240"/>
          <w:marBottom w:val="240"/>
          <w:divBdr>
            <w:top w:val="none" w:sz="0" w:space="0" w:color="auto"/>
            <w:left w:val="none" w:sz="0" w:space="0" w:color="auto"/>
            <w:bottom w:val="none" w:sz="0" w:space="0" w:color="auto"/>
            <w:right w:val="none" w:sz="0" w:space="0" w:color="auto"/>
          </w:divBdr>
        </w:div>
        <w:div w:id="167353320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onder.cdc.gov/mcd-icd10-expanded.html" TargetMode="External"/><Relationship Id="rId5" Type="http://schemas.openxmlformats.org/officeDocument/2006/relationships/footnotes" Target="footnotes.xml"/><Relationship Id="rId10" Type="http://schemas.openxmlformats.org/officeDocument/2006/relationships/hyperlink" Target="https://wonder.cdc.gov/mcd-icd10.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Hsu</dc:creator>
  <cp:keywords/>
  <dc:description/>
  <cp:lastModifiedBy>Li Hsu</cp:lastModifiedBy>
  <cp:revision>3</cp:revision>
  <dcterms:created xsi:type="dcterms:W3CDTF">2026-03-03T19:22:00Z</dcterms:created>
  <dcterms:modified xsi:type="dcterms:W3CDTF">2026-03-03T21:56:00Z</dcterms:modified>
</cp:coreProperties>
</file>