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F6E56"/>
          <w:sz w:val="52"/>
          <w:szCs w:val="52"/>
        </w:rPr>
        <w:t xml:space="preserve">SANSKRIT HIGHER EDUCATION PLATFORM</w:t>
      </w:r>
    </w:p>
    <w:p>
      <w:pPr>
        <w:spacing w:after="200" w:before="0"/>
        <w:jc w:val="center"/>
      </w:pPr>
      <w:r>
        <w:rPr>
          <w:rFonts w:ascii="Arial" w:cs="Arial" w:eastAsia="Arial" w:hAnsi="Arial"/>
          <w:color w:val="444441"/>
          <w:sz w:val="32"/>
          <w:szCs w:val="32"/>
        </w:rPr>
        <w:t xml:space="preserve">Design System, UX Constraints &amp; Enhancement Guide</w:t>
      </w:r>
    </w:p>
    <w:p>
      <w:pPr>
        <w:pBdr>
          <w:bottom w:val="single" w:color="1D9E75" w:sz="6" w:space="1"/>
        </w:pBdr>
        <w:spacing w:after="200" w:before="200"/>
      </w:pPr>
    </w:p>
    <w:p>
      <w:pPr>
        <w:spacing w:after="60" w:before="60"/>
      </w:pPr>
      <w:r>
        <w:rPr>
          <w:rFonts w:ascii="Arial" w:cs="Arial" w:eastAsia="Arial" w:hAnsi="Arial"/>
          <w:sz w:val="22"/>
          <w:szCs w:val="22"/>
        </w:rPr>
        <w:t xml:space="preserve"/>
      </w:r>
    </w:p>
    <w:p>
      <w:pPr>
        <w:spacing w:after="80" w:before="80"/>
        <w:jc w:val="center"/>
      </w:pPr>
      <w:r>
        <w:rPr>
          <w:rFonts w:ascii="Arial" w:cs="Arial" w:eastAsia="Arial" w:hAnsi="Arial"/>
          <w:color w:val="5F5E5A"/>
          <w:sz w:val="22"/>
          <w:szCs w:val="22"/>
        </w:rPr>
        <w:t xml:space="preserve">Prepared by  |  Product Management &amp; Senior Design Review</w:t>
      </w:r>
    </w:p>
    <w:p>
      <w:pPr>
        <w:spacing w:after="40" w:before="40"/>
        <w:jc w:val="center"/>
      </w:pPr>
      <w:r>
        <w:rPr>
          <w:rFonts w:ascii="Arial" w:cs="Arial" w:eastAsia="Arial" w:hAnsi="Arial"/>
          <w:i/>
          <w:iCs/>
          <w:color w:val="5F5E5A"/>
          <w:sz w:val="22"/>
          <w:szCs w:val="22"/>
        </w:rPr>
        <w:t xml:space="preserve">Based on competitive audit of 6 high-similarity organisations + global landscape survey of 50 institutions</w:t>
      </w:r>
    </w:p>
    <w:p>
      <w:pPr>
        <w:spacing w:after="40" w:before="40"/>
        <w:jc w:val="center"/>
      </w:pPr>
      <w:r>
        <w:rPr>
          <w:rFonts w:ascii="Arial" w:cs="Arial" w:eastAsia="Arial" w:hAnsi="Arial"/>
          <w:color w:val="B4B2A9"/>
          <w:sz w:val="20"/>
          <w:szCs w:val="20"/>
        </w:rPr>
        <w:t xml:space="preserve">June 2026  ·  Version 1.0  ·  Internal Use</w:t>
      </w:r>
    </w:p>
    <w:p>
      <w:r>
        <w:br w:type="page"/>
      </w:r>
    </w:p>
    <w:p>
      <w:pPr>
        <w:pStyle w:val="Heading1"/>
        <w:spacing w:after="180" w:before="420"/>
      </w:pPr>
      <w:r>
        <w:rPr>
          <w:rFonts w:ascii="Arial" w:cs="Arial" w:eastAsia="Arial" w:hAnsi="Arial"/>
          <w:b/>
          <w:bCs/>
          <w:color w:val="0F6E56"/>
          <w:sz w:val="40"/>
          <w:szCs w:val="40"/>
        </w:rPr>
        <w:t xml:space="preserve">Section 1 — PM Context &amp; Strategic Design Framing</w:t>
      </w:r>
    </w:p>
    <w:p>
      <w:pPr>
        <w:spacing w:after="120" w:before="60"/>
      </w:pPr>
      <w:r>
        <w:rPr>
          <w:rFonts w:ascii="Arial" w:cs="Arial" w:eastAsia="Arial" w:hAnsi="Arial"/>
          <w:sz w:val="22"/>
          <w:szCs w:val="22"/>
        </w:rPr>
        <w:t xml:space="preserve">This document synthesises the findings of a global landscape survey of 50 classical knowledge institutions, a competitive audit of 6 high-similarity websites, and a review of the platform's founding brief (as captured in the project audio transcript). It functions as the authoritative design system reference for all development, design, and content decisions from this point forward.</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1.1 Core Product Identity</w:t>
      </w:r>
    </w:p>
    <w:p>
      <w:pPr>
        <w:spacing w:after="120" w:before="60"/>
      </w:pPr>
      <w:r>
        <w:rPr>
          <w:rFonts w:ascii="Arial" w:cs="Arial" w:eastAsia="Arial" w:hAnsi="Arial"/>
          <w:sz w:val="22"/>
          <w:szCs w:val="22"/>
        </w:rPr>
        <w:t xml:space="preserve">The platform is a Sanskrit-focused, community-driven, open-access scholarly hub. Its three founding repositories — Thesis, Epigraphical, and Literary History — are the primary product differentiators. No existing platform combines all three. The founder's stated philosophy, that contributors write for themselves and the platform is merely the medium of amplification, is the single most important design constraint: every UX decision must serve the contributor as primary user, not the platform as an institution.</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1.2 Audience Model</w:t>
      </w:r>
    </w:p>
    <w:p>
      <w:pPr>
        <w:spacing w:after="120" w:before="60"/>
      </w:pPr>
      <w:r>
        <w:rPr>
          <w:rFonts w:ascii="Arial" w:cs="Arial" w:eastAsia="Arial" w:hAnsi="Arial"/>
          <w:sz w:val="22"/>
          <w:szCs w:val="22"/>
        </w:rPr>
        <w:t xml:space="preserve">Two audience types must be served simultaneously, without forcing either to navigate through the other's experience:</w:t>
      </w:r>
    </w:p>
    <w:p>
      <w:pPr>
        <w:pStyle w:val="ListParagraph"/>
        <w:numPr>
          <w:ilvl w:val="0"/>
          <w:numId w:val="2"/>
        </w:numPr>
        <w:spacing w:after="60" w:before="40"/>
      </w:pPr>
      <w:r>
        <w:rPr>
          <w:rFonts w:ascii="Arial" w:cs="Arial" w:eastAsia="Arial" w:hAnsi="Arial"/>
          <w:b/>
          <w:bCs/>
          <w:sz w:val="22"/>
          <w:szCs w:val="22"/>
        </w:rPr>
        <w:t xml:space="preserve">Scholar / Researcher: </w:t>
      </w:r>
      <w:r>
        <w:rPr>
          <w:rFonts w:ascii="Arial" w:cs="Arial" w:eastAsia="Arial" w:hAnsi="Arial"/>
          <w:sz w:val="22"/>
          <w:szCs w:val="22"/>
        </w:rPr>
        <w:t xml:space="preserve">Full repository access with citation export, TEI-XML downloads, IAST + Devanāgarī script toggle, advanced search with faceted filters, thesis metadata, epigraphic diplomatic transcription. Motivations: citation, credibility, speed to relevant material.</w:t>
      </w:r>
    </w:p>
    <w:p>
      <w:pPr>
        <w:pStyle w:val="ListParagraph"/>
        <w:numPr>
          <w:ilvl w:val="0"/>
          <w:numId w:val="2"/>
        </w:numPr>
        <w:spacing w:after="60" w:before="40"/>
      </w:pPr>
      <w:r>
        <w:rPr>
          <w:rFonts w:ascii="Arial" w:cs="Arial" w:eastAsia="Arial" w:hAnsi="Arial"/>
          <w:b/>
          <w:bCs/>
          <w:sz w:val="22"/>
          <w:szCs w:val="22"/>
        </w:rPr>
        <w:t xml:space="preserve">General Reader / Student: </w:t>
      </w:r>
      <w:r>
        <w:rPr>
          <w:rFonts w:ascii="Arial" w:cs="Arial" w:eastAsia="Arial" w:hAnsi="Arial"/>
          <w:sz w:val="22"/>
          <w:szCs w:val="22"/>
        </w:rPr>
        <w:t xml:space="preserve">Curated highlights, 'start here' reading paths, plain-language introductions to each repository, newsletter, event calendar, community stories. Motivations: discovery, accessibility, community belonging.</w:t>
      </w:r>
    </w:p>
    <w:p>
      <w:pPr>
        <w:spacing w:after="120" w:before="60"/>
      </w:pPr>
      <w:r>
        <w:rPr>
          <w:rFonts w:ascii="Arial" w:cs="Arial" w:eastAsia="Arial" w:hAnsi="Arial"/>
          <w:sz w:val="22"/>
          <w:szCs w:val="22"/>
        </w:rPr>
        <w:t xml:space="preserve">The 84000 platform's Reading Room / Scholar's Room split is the best existing model for this bifurcation. Our implementation should be context-aware — the system detects user behaviour patterns and subtly adapts the default view — rather than requiring users to self-identify on first visit.</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1.3 PM Verdict on Competitive Landscape</w:t>
      </w:r>
    </w:p>
    <w:p>
      <w:pPr>
        <w:spacing w:after="120" w:before="60"/>
      </w:pPr>
      <w:r>
        <w:rPr>
          <w:rFonts w:ascii="Arial" w:cs="Arial" w:eastAsia="Arial" w:hAnsi="Arial"/>
          <w:sz w:val="22"/>
          <w:szCs w:val="22"/>
        </w:rPr>
        <w:t xml:space="preserve">Every benchmarked site fails on at least two of the following four criteria: Devanāgarī rendering quality, long-form reading comfort, community contributor visibility, and interactive content discovery. The landscape survey confirms that no platform currently combines a thesis repository, an open epigraphic database, and a community publishing flow under a single unified design system. This is the exact gap the platform fills. The design system must make these three pillars feel like a single coherent product, not three tools bolted together.</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2 — Competitive Audit: 6 High-Similarity Sites</w:t>
      </w:r>
    </w:p>
    <w:p>
      <w:pPr>
        <w:spacing w:after="120" w:before="60"/>
      </w:pPr>
      <w:r>
        <w:rPr>
          <w:rFonts w:ascii="Arial" w:cs="Arial" w:eastAsia="Arial" w:hAnsi="Arial"/>
          <w:sz w:val="22"/>
          <w:szCs w:val="22"/>
        </w:rPr>
        <w:t xml:space="preserve">The following sites were reviewed in detail: Tsadra Foundation, 84000, Lotsawa House, Chinmaya International Foundation, Rocher Foundation, and Mangalam Research Center. These represent the highest-scoring organisations from the global landscape survey and the most directly comparable institutional models.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300"/>
        <w:gridCol w:w="3160"/>
      </w:tblGrid>
      <w:tr>
        <w:trPr>
          <w:tblHeader/>
        </w:trPr>
        <w:tc>
          <w:tcPr>
            <w:tcW w:type="dxa" w:w="1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Site</w:t>
            </w:r>
          </w:p>
        </w:tc>
        <w:tc>
          <w:tcPr>
            <w:tcW w:type="dxa" w:w="13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33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c>
          <w:tcPr>
            <w:tcW w:type="dxa" w:w="31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Gaps / Lessons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Tsadra Foundation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85041"/>
                <w:sz w:val="19"/>
                <w:szCs w:val="19"/>
              </w:rPr>
              <w:t xml:space="preserve">tsadra.org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Rich project sub-sites; translation-first framing; DharmaCloud; Rinchen Terdzö catalog with Unicode + PDF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Heavy text blocks; no persistent search; fonts dated; no Devanāgarī strategy; community members not surfaced; mobile nav collapses badly</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84000</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85041"/>
                <w:sz w:val="19"/>
                <w:szCs w:val="19"/>
              </w:rPr>
              <w:t xml:space="preserve">84000.co</w:t>
            </w:r>
          </w:p>
        </w:tc>
        <w:tc>
          <w:tcPr>
            <w:tcW w:type="dxa" w:w="3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Clean Webflow build; bold emotional hero copy; excellent dual-audience IA (Reading Room vs Scholar's Room); editorial photography</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Generic Webflow aesthetic; no interactive library filtering; colour palette too neutral; no contributor visibility; donation CTAs feel commercial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Lotsawa House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85041"/>
                <w:sz w:val="19"/>
                <w:szCs w:val="19"/>
              </w:rPr>
              <w:t xml:space="preserve">lotsawahouse.org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6000+ texts in 9 languages; ISSN-registered; daily publication cadence; elegant featured-text homepage widget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Design frozen in ~2015; no progressive disclosure; basic article typography; no contributor profiles; no archive browsability</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Chinmaya International Foundation</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85041"/>
                <w:sz w:val="19"/>
                <w:szCs w:val="19"/>
              </w:rPr>
              <w:t xml:space="preserve">chinfo.org</w:t>
            </w:r>
          </w:p>
        </w:tc>
        <w:tc>
          <w:tcPr>
            <w:tcW w:type="dxa" w:w="3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Multi-vertical (courses, research, MSS); login/cart; WhatsApp integration; strong scholarly credentials; multilingual SEO</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Overcrowded 7-item nav with deep sub-menus; WordPress defaults throughout; inconsistent colour; no reading mode; manuscript search non-functional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Rocher Foundation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85041"/>
                <w:sz w:val="19"/>
                <w:szCs w:val="19"/>
              </w:rPr>
              <w:t xml:space="preserve">rocherfoundation.org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Intentional saffron/ochre Indic identity colour; purposeful minimal 4-page IA; OUP partnership prominent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Near-zero digital presence; essentially a brochure; no dynamic content; no community; great work funded but not showcased online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Mangalam Research Center</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085041"/>
                <w:sz w:val="19"/>
                <w:szCs w:val="19"/>
              </w:rPr>
              <w:t xml:space="preserve">mangalamresearch.org</w:t>
            </w:r>
          </w:p>
        </w:tc>
        <w:tc>
          <w:tcPr>
            <w:tcW w:type="dxa" w:w="3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Events always front-and-centre; scholar profiles with real bios; Translators Workbench tool; Mangalam Press gives publication legitimacy</w:t>
            </w:r>
          </w:p>
        </w:tc>
        <w:tc>
          <w:tcPr>
            <w:tcW w:type="dxa" w:w="3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Elementor builder feel; inconsistent padding; program pages lack visual hierarchy; no persistent calendar; past events not browsable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2.1 Patterns to Adopt</w:t>
      </w:r>
    </w:p>
    <w:p>
      <w:pPr>
        <w:pStyle w:val="ListParagraph"/>
        <w:numPr>
          <w:ilvl w:val="0"/>
          <w:numId w:val="2"/>
        </w:numPr>
        <w:spacing w:after="60" w:before="40"/>
      </w:pPr>
      <w:r>
        <w:rPr>
          <w:rFonts w:ascii="Arial" w:cs="Arial" w:eastAsia="Arial" w:hAnsi="Arial"/>
          <w:b/>
          <w:bCs/>
          <w:sz w:val="22"/>
          <w:szCs w:val="22"/>
        </w:rPr>
        <w:t xml:space="preserve">From 84000: </w:t>
      </w:r>
      <w:r>
        <w:rPr>
          <w:rFonts w:ascii="Arial" w:cs="Arial" w:eastAsia="Arial" w:hAnsi="Arial"/>
          <w:sz w:val="22"/>
          <w:szCs w:val="22"/>
        </w:rPr>
        <w:t xml:space="preserve">Dual-audience IA split (Reading Room vs Scholar's Room); emotional hero copy; clean section separation.</w:t>
      </w:r>
    </w:p>
    <w:p>
      <w:pPr>
        <w:pStyle w:val="ListParagraph"/>
        <w:numPr>
          <w:ilvl w:val="0"/>
          <w:numId w:val="2"/>
        </w:numPr>
        <w:spacing w:after="60" w:before="40"/>
      </w:pPr>
      <w:r>
        <w:rPr>
          <w:rFonts w:ascii="Arial" w:cs="Arial" w:eastAsia="Arial" w:hAnsi="Arial"/>
          <w:b/>
          <w:bCs/>
          <w:sz w:val="22"/>
          <w:szCs w:val="22"/>
        </w:rPr>
        <w:t xml:space="preserve">From Lotsawa House: </w:t>
      </w:r>
      <w:r>
        <w:rPr>
          <w:rFonts w:ascii="Arial" w:cs="Arial" w:eastAsia="Arial" w:hAnsi="Arial"/>
          <w:sz w:val="22"/>
          <w:szCs w:val="22"/>
        </w:rPr>
        <w:t xml:space="preserve">Daily/frequent publication cadence visible on homepage; EPUB + PDF download on every text; ISSN registration for scholarly legitimacy.</w:t>
      </w:r>
    </w:p>
    <w:p>
      <w:pPr>
        <w:pStyle w:val="ListParagraph"/>
        <w:numPr>
          <w:ilvl w:val="0"/>
          <w:numId w:val="2"/>
        </w:numPr>
        <w:spacing w:after="60" w:before="40"/>
      </w:pPr>
      <w:r>
        <w:rPr>
          <w:rFonts w:ascii="Arial" w:cs="Arial" w:eastAsia="Arial" w:hAnsi="Arial"/>
          <w:b/>
          <w:bCs/>
          <w:sz w:val="22"/>
          <w:szCs w:val="22"/>
        </w:rPr>
        <w:t xml:space="preserve">From Tsadra Foundation: </w:t>
      </w:r>
      <w:r>
        <w:rPr>
          <w:rFonts w:ascii="Arial" w:cs="Arial" w:eastAsia="Arial" w:hAnsi="Arial"/>
          <w:sz w:val="22"/>
          <w:szCs w:val="22"/>
        </w:rPr>
        <w:t xml:space="preserve">Translator/contributor profiles as mini-bios; project-as-sub-site model for large repositories; conference proceedings archived as free video.</w:t>
      </w:r>
    </w:p>
    <w:p>
      <w:pPr>
        <w:pStyle w:val="ListParagraph"/>
        <w:numPr>
          <w:ilvl w:val="0"/>
          <w:numId w:val="2"/>
        </w:numPr>
        <w:spacing w:after="60" w:before="40"/>
      </w:pPr>
      <w:r>
        <w:rPr>
          <w:rFonts w:ascii="Arial" w:cs="Arial" w:eastAsia="Arial" w:hAnsi="Arial"/>
          <w:b/>
          <w:bCs/>
          <w:sz w:val="22"/>
          <w:szCs w:val="22"/>
        </w:rPr>
        <w:t xml:space="preserve">From Mangalam Research Center: </w:t>
      </w:r>
      <w:r>
        <w:rPr>
          <w:rFonts w:ascii="Arial" w:cs="Arial" w:eastAsia="Arial" w:hAnsi="Arial"/>
          <w:sz w:val="22"/>
          <w:szCs w:val="22"/>
        </w:rPr>
        <w:t xml:space="preserve">Upcoming events always front-and-centre; translation tool as primary nav item; linking to affiliated organisations prominently.</w:t>
      </w:r>
    </w:p>
    <w:p>
      <w:pPr>
        <w:pStyle w:val="ListParagraph"/>
        <w:numPr>
          <w:ilvl w:val="0"/>
          <w:numId w:val="2"/>
        </w:numPr>
        <w:spacing w:after="60" w:before="40"/>
      </w:pPr>
      <w:r>
        <w:rPr>
          <w:rFonts w:ascii="Arial" w:cs="Arial" w:eastAsia="Arial" w:hAnsi="Arial"/>
          <w:b/>
          <w:bCs/>
          <w:sz w:val="22"/>
          <w:szCs w:val="22"/>
        </w:rPr>
        <w:t xml:space="preserve">From Rocher Foundation: </w:t>
      </w:r>
      <w:r>
        <w:rPr>
          <w:rFonts w:ascii="Arial" w:cs="Arial" w:eastAsia="Arial" w:hAnsi="Arial"/>
          <w:sz w:val="22"/>
          <w:szCs w:val="22"/>
        </w:rPr>
        <w:t xml:space="preserve">Saffron/ochre as intentional Indic identity colour signal; minimal IA that communicates institutional seriousness without visual noise.</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2.2 Patterns to Avoid</w:t>
      </w:r>
    </w:p>
    <w:p>
      <w:pPr>
        <w:pStyle w:val="ListParagraph"/>
        <w:numPr>
          <w:ilvl w:val="0"/>
          <w:numId w:val="2"/>
        </w:numPr>
        <w:spacing w:after="60" w:before="40"/>
      </w:pPr>
      <w:r>
        <w:rPr>
          <w:rFonts w:ascii="Arial" w:cs="Arial" w:eastAsia="Arial" w:hAnsi="Arial"/>
          <w:b/>
          <w:bCs/>
          <w:sz w:val="22"/>
          <w:szCs w:val="22"/>
        </w:rPr>
        <w:t xml:space="preserve">All sites — missing script strategy: </w:t>
      </w:r>
      <w:r>
        <w:rPr>
          <w:rFonts w:ascii="Arial" w:cs="Arial" w:eastAsia="Arial" w:hAnsi="Arial"/>
          <w:sz w:val="22"/>
          <w:szCs w:val="22"/>
        </w:rPr>
        <w:t xml:space="preserve">Zero benchmarked sites have a Devanāgarī rendering or IAST toggle strategy. This is the single largest shared gap.</w:t>
      </w:r>
    </w:p>
    <w:p>
      <w:pPr>
        <w:pStyle w:val="ListParagraph"/>
        <w:numPr>
          <w:ilvl w:val="0"/>
          <w:numId w:val="2"/>
        </w:numPr>
        <w:spacing w:after="60" w:before="40"/>
      </w:pPr>
      <w:r>
        <w:rPr>
          <w:rFonts w:ascii="Arial" w:cs="Arial" w:eastAsia="Arial" w:hAnsi="Arial"/>
          <w:b/>
          <w:bCs/>
          <w:sz w:val="22"/>
          <w:szCs w:val="22"/>
        </w:rPr>
        <w:t xml:space="preserve">CIF — navigation depth: </w:t>
      </w:r>
      <w:r>
        <w:rPr>
          <w:rFonts w:ascii="Arial" w:cs="Arial" w:eastAsia="Arial" w:hAnsi="Arial"/>
          <w:sz w:val="22"/>
          <w:szCs w:val="22"/>
        </w:rPr>
        <w:t xml:space="preserve">Seven top-level nav items with deep sub-menus cause abandonment. Our maximum is 7 top-level items with no more than 2 levels.</w:t>
      </w:r>
    </w:p>
    <w:p>
      <w:pPr>
        <w:pStyle w:val="ListParagraph"/>
        <w:numPr>
          <w:ilvl w:val="0"/>
          <w:numId w:val="2"/>
        </w:numPr>
        <w:spacing w:after="60" w:before="40"/>
      </w:pPr>
      <w:r>
        <w:rPr>
          <w:rFonts w:ascii="Arial" w:cs="Arial" w:eastAsia="Arial" w:hAnsi="Arial"/>
          <w:b/>
          <w:bCs/>
          <w:sz w:val="22"/>
          <w:szCs w:val="22"/>
        </w:rPr>
        <w:t xml:space="preserve">Tsadra — homepage as article digest: </w:t>
      </w:r>
      <w:r>
        <w:rPr>
          <w:rFonts w:ascii="Arial" w:cs="Arial" w:eastAsia="Arial" w:hAnsi="Arial"/>
          <w:sz w:val="22"/>
          <w:szCs w:val="22"/>
        </w:rPr>
        <w:t xml:space="preserve">Long text blocks with no visual anchoring make the page feel like an email newsletter rather than a discovery platform.</w:t>
      </w:r>
    </w:p>
    <w:p>
      <w:pPr>
        <w:pStyle w:val="ListParagraph"/>
        <w:numPr>
          <w:ilvl w:val="0"/>
          <w:numId w:val="2"/>
        </w:numPr>
        <w:spacing w:after="60" w:before="40"/>
      </w:pPr>
      <w:r>
        <w:rPr>
          <w:rFonts w:ascii="Arial" w:cs="Arial" w:eastAsia="Arial" w:hAnsi="Arial"/>
          <w:b/>
          <w:bCs/>
          <w:sz w:val="22"/>
          <w:szCs w:val="22"/>
        </w:rPr>
        <w:t xml:space="preserve">All WP/Elementor sites: </w:t>
      </w:r>
      <w:r>
        <w:rPr>
          <w:rFonts w:ascii="Arial" w:cs="Arial" w:eastAsia="Arial" w:hAnsi="Arial"/>
          <w:sz w:val="22"/>
          <w:szCs w:val="22"/>
        </w:rPr>
        <w:t xml:space="preserve">Default CMS aesthetic bleeds through. The platform must feel custom-designed, not template-built.</w:t>
      </w:r>
    </w:p>
    <w:p>
      <w:pPr>
        <w:pStyle w:val="ListParagraph"/>
        <w:numPr>
          <w:ilvl w:val="0"/>
          <w:numId w:val="2"/>
        </w:numPr>
        <w:spacing w:after="60" w:before="40"/>
      </w:pPr>
      <w:r>
        <w:rPr>
          <w:rFonts w:ascii="Arial" w:cs="Arial" w:eastAsia="Arial" w:hAnsi="Arial"/>
          <w:b/>
          <w:bCs/>
          <w:sz w:val="22"/>
          <w:szCs w:val="22"/>
        </w:rPr>
        <w:t xml:space="preserve">All sites — no reading mode: </w:t>
      </w:r>
      <w:r>
        <w:rPr>
          <w:rFonts w:ascii="Arial" w:cs="Arial" w:eastAsia="Arial" w:hAnsi="Arial"/>
          <w:sz w:val="22"/>
          <w:szCs w:val="22"/>
        </w:rPr>
        <w:t xml:space="preserve">No site offers dark or sepia reading mode despite serving long-form scholarly text. This is a day-one requirement for us.</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3 — Mandatory Design Constraints</w:t>
      </w:r>
    </w:p>
    <w:p>
      <w:pPr>
        <w:spacing w:after="120" w:before="60"/>
      </w:pPr>
      <w:r>
        <w:rPr>
          <w:rFonts w:ascii="Arial" w:cs="Arial" w:eastAsia="Arial" w:hAnsi="Arial"/>
          <w:sz w:val="22"/>
          <w:szCs w:val="22"/>
        </w:rPr>
        <w:t xml:space="preserve">The following constraints are non-negotiable. They cannot be overridden by aesthetic preference, development convenience, or timeline pressure. Each constraint has been derived from the competitive audit, the landscape survey, domain-specific requirements of Sanskrit scholarship, and the platform's founding brief.</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660"/>
        <w:gridCol w:w="1500"/>
      </w:tblGrid>
      <w:tr>
        <w:trPr>
          <w:tblHeader/>
        </w:trPr>
        <w:tc>
          <w:tcPr>
            <w:tcW w:type="dxa" w:w="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56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15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Script rendering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Devanāgarī must render at ≥20px using Shobhika or Noto Sans Devanagari. IAST transliteration must use Source Serif 4 or Gentium Plus. System fonts will fail.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C-02</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Reading comfort</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Article body: 17px min, line-height 1.85, max column width 680px, background #FDFCF9. Contrast ratio ≥7:1 (WCAG AAA). Dark + sepia reading modes required at launch.</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A32D2D"/>
                <w:sz w:val="19"/>
                <w:szCs w:val="19"/>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Navigation depth</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Maximum 2 nav levels. No flyout mega-menus. Mobile nav functional at 375px. All primary destinations reachable in ≤2 taps.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C-04</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Open access signal</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Every resource card shows access level (open / restricted / download) before the user clicks. Never surprise with a paywall post-click.</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19"/>
                <w:szCs w:val="19"/>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Scholar credibility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Every article/project/repository entry shows: author name, institutional affiliation, date, stable citation format. Provenance is non-negotiable.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C-06</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Performance</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LCP ≤2.5s on 4G. No autoplay video or canvas backgrounds. Devanāgarī font loaded only on pages rendering Sanskrit text. Core Web Vitals: Good band.</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19"/>
                <w:szCs w:val="19"/>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19"/>
                <w:szCs w:val="19"/>
              </w:rPr>
              <w:t xml:space="preserve">Reduced motion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All animations wrapped in @media (prefers-reduced-motion: reduce). The platform serves scholars with visual impairments.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C-08</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Script toggle</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Every Sanskrit text viewable in Devanāgarī / IAST / Roman. Toggle in global header, preference persisted in localStorage.</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19"/>
                <w:szCs w:val="19"/>
              </w:rPr>
              <w:t xml:space="preserve">High</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3.1 Do / Don't Summary</w:t>
      </w:r>
    </w:p>
    <w:p>
      <w:pPr>
        <w:spacing w:after="120" w:before="60"/>
      </w:pPr>
      <w:r>
        <w:rPr>
          <w:rFonts w:ascii="Arial" w:cs="Arial" w:eastAsia="Arial" w:hAnsi="Arial"/>
          <w:sz w:val="22"/>
          <w:szCs w:val="22"/>
        </w:rPr>
        <w:t xml:space="preserve">The following rules are derived directly from the audit findings and constraints above: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9E75" w:sz="1"/>
              <w:left w:val="single" w:color="1D9E75" w:sz="1"/>
              <w:bottom w:val="single" w:color="1D9E75" w:sz="1"/>
              <w:right w:val="single" w:color="1D9E75" w:sz="1"/>
            </w:tcBorders>
            <w:shd w:fill="0F6E56" w:val="clear"/>
            <w:tcMar>
              <w:top w:type="dxa" w:w="80"/>
              <w:left w:type="dxa" w:w="120"/>
              <w:bottom w:type="dxa" w:w="80"/>
              <w:right w:type="dxa" w:w="120"/>
            </w:tcMar>
          </w:tcPr>
          <w:p>
            <w:r>
              <w:rPr>
                <w:rFonts w:ascii="Arial" w:cs="Arial" w:eastAsia="Arial" w:hAnsi="Arial"/>
                <w:b/>
                <w:bCs/>
                <w:color w:val="FFFFFF"/>
                <w:sz w:val="19"/>
                <w:szCs w:val="19"/>
              </w:rPr>
              <w:t xml:space="preserve">✓ Do — Required Patterns</w:t>
            </w:r>
          </w:p>
        </w:tc>
        <w:tc>
          <w:tcPr>
            <w:tcW w:type="dxa" w:w="4680"/>
            <w:tcBorders>
              <w:top w:val="single" w:color="1D9E75" w:sz="1"/>
              <w:left w:val="single" w:color="1D9E75" w:sz="1"/>
              <w:bottom w:val="single" w:color="1D9E75" w:sz="1"/>
              <w:right w:val="single" w:color="1D9E75" w:sz="1"/>
            </w:tcBorders>
            <w:shd w:fill="A32D2D" w:val="clear"/>
            <w:tcMar>
              <w:top w:type="dxa" w:w="80"/>
              <w:left w:type="dxa" w:w="120"/>
              <w:bottom w:type="dxa" w:w="80"/>
              <w:right w:type="dxa" w:w="120"/>
            </w:tcMar>
          </w:tcPr>
          <w:p>
            <w:r>
              <w:rPr>
                <w:rFonts w:ascii="Arial" w:cs="Arial" w:eastAsia="Arial" w:hAnsi="Arial"/>
                <w:b/>
                <w:bCs/>
                <w:color w:val="FFFFFF"/>
                <w:sz w:val="19"/>
                <w:szCs w:val="19"/>
              </w:rPr>
              <w:t xml:space="preserve">✗ Don't — Banned Patterns</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19"/>
                <w:szCs w:val="19"/>
              </w:rPr>
              <w:t xml:space="preserve">Show contributor name + date + affiliation on every content card</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Use pure white (#FFFFFF) as article page background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Use warm-white page background (#FDFCF9) to reduce eye fatigue</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Render Sanskrit in system serif (Georgia, Times New Roman)</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19"/>
                <w:szCs w:val="19"/>
              </w:rPr>
              <w:t xml:space="preserve">Offer EPUB + PDF download on all publications and articles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Bury the repository behind 3 or more clicks from homepage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Surface 'Last updated' date on all repository items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Show donation CTAs before establishing scholarly credibility</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19"/>
                <w:szCs w:val="19"/>
              </w:rPr>
              <w:t xml:space="preserve">Show script + transliteration side-by-side on inscription pages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Use flyout mega-menus or more than 2 nav hierarchy levels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Wrap all animations in prefers-reduced-motion media query</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Autoplay audio or video on article and repository pages</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4342C"/>
                <w:sz w:val="19"/>
                <w:szCs w:val="19"/>
              </w:rPr>
              <w:t xml:space="preserve">Provide a 'Cite this' button with at least 3 citation formats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Use particle backgrounds, canvas animations, or parallax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Keep nav to 7 top-level items maximum</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A32D2D"/>
                <w:sz w:val="19"/>
                <w:szCs w:val="19"/>
              </w:rPr>
              <w:t xml:space="preserve">Launch without dark mode and sepia reading mode</w:t>
            </w:r>
          </w:p>
        </w:tc>
      </w:tr>
    </w:tbl>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4 — Information Architecture &amp; Navigation</w:t>
      </w:r>
    </w:p>
    <w:p>
      <w:pPr>
        <w:pStyle w:val="Heading2"/>
        <w:spacing w:after="120" w:before="300"/>
      </w:pPr>
      <w:r>
        <w:rPr>
          <w:rFonts w:ascii="Arial" w:cs="Arial" w:eastAsia="Arial" w:hAnsi="Arial"/>
          <w:b/>
          <w:bCs/>
          <w:color w:val="0F6E56"/>
          <w:sz w:val="30"/>
          <w:szCs w:val="30"/>
        </w:rPr>
        <w:t xml:space="preserve">4.1 Primary Navigation — 7 Destinations, Max 2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rPr>
          <w:tblHeader/>
        </w:trPr>
        <w:tc>
          <w:tcPr>
            <w:tcW w:type="dxa" w:w="1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Nav Item</w:t>
            </w:r>
          </w:p>
        </w:tc>
        <w:tc>
          <w:tcPr>
            <w:tcW w:type="dxa" w:w="8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Levels</w:t>
            </w:r>
          </w:p>
        </w:tc>
        <w:tc>
          <w:tcPr>
            <w:tcW w:type="dxa" w:w="69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Content / Sub-pages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Home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Timeline, featured projects, news corner, calendar, community spotlight, publications highlight, team message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About</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Mission, vision, founding story &amp; year, base of operations, core team members, advisory 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Repositories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 (3 sub-pages)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Thesis Repository · Epigraphical Repository · Literary History Repository — each with own landing + item pages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Developments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 (4 sub-tabs)</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Vacancies · Workshops &amp; Seminars · Journals &amp; CFPs · News — all filterable by subject, region, 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Publications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 (3 sub-pages)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Annual Journal (Saṃskṛta-Vimarśa) · Newsletter archive · Blog / open submissions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Community</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 (2 sub-pages)</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Scholar profiles, volunteers, ambassadors · Join us / Write for us forms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Contact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Contact form, email, social links, newsletter signup</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4.2 Page Priority — Launch vs Post-Launch</w:t>
      </w:r>
    </w:p>
    <w:p>
      <w:pPr>
        <w:spacing w:after="60" w:before="120"/>
      </w:pPr>
      <w:r>
        <w:rPr>
          <w:rFonts w:ascii="Arial" w:cs="Arial" w:eastAsia="Arial" w:hAnsi="Arial"/>
          <w:b/>
          <w:bCs/>
          <w:color w:val="5F5E5A"/>
          <w:spacing w:val="40"/>
          <w:sz w:val="18"/>
          <w:szCs w:val="18"/>
        </w:rPr>
        <w:t xml:space="preserve">LAUNCH (PHASE 1)</w:t>
      </w:r>
    </w:p>
    <w:p>
      <w:pPr>
        <w:spacing w:after="120" w:before="60"/>
      </w:pPr>
      <w:r>
        <w:rPr>
          <w:rFonts w:ascii="Arial" w:cs="Arial" w:eastAsia="Arial" w:hAnsi="Arial"/>
          <w:sz w:val="22"/>
          <w:szCs w:val="22"/>
        </w:rPr>
        <w:t xml:space="preserve">Home · About · Thesis Repository landing page · Epigraphical Repository landing page · Literary History Repository landing page · Contemporary Developments (all 4 sub-tabs) · Contact</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PHASE 2</w:t>
      </w:r>
    </w:p>
    <w:p>
      <w:pPr>
        <w:spacing w:after="120" w:before="60"/>
      </w:pPr>
      <w:r>
        <w:rPr>
          <w:rFonts w:ascii="Arial" w:cs="Arial" w:eastAsia="Arial" w:hAnsi="Arial"/>
          <w:sz w:val="22"/>
          <w:szCs w:val="22"/>
        </w:rPr>
        <w:t xml:space="preserve">Individual thesis records · Inscription detail pages · Article reading view · Scholar profiles · Publication archive · Annual journal issue viewer</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PHASE 3</w:t>
      </w:r>
    </w:p>
    <w:p>
      <w:pPr>
        <w:spacing w:after="120" w:before="60"/>
      </w:pPr>
      <w:r>
        <w:rPr>
          <w:rFonts w:ascii="Arial" w:cs="Arial" w:eastAsia="Arial" w:hAnsi="Arial"/>
          <w:sz w:val="22"/>
          <w:szCs w:val="22"/>
        </w:rPr>
        <w:t xml:space="preserve">Volunteer and Ambassador portal · Advanced search with NLP / sandhi filters · Community authoring flow · Inscription choropleth map · CFP email alert subscriptions</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5 — Design Tokens</w:t>
      </w:r>
    </w:p>
    <w:p>
      <w:pPr>
        <w:pStyle w:val="Heading2"/>
        <w:spacing w:after="120" w:before="300"/>
      </w:pPr>
      <w:r>
        <w:rPr>
          <w:rFonts w:ascii="Arial" w:cs="Arial" w:eastAsia="Arial" w:hAnsi="Arial"/>
          <w:b/>
          <w:bCs/>
          <w:color w:val="0F6E56"/>
          <w:sz w:val="30"/>
          <w:szCs w:val="30"/>
        </w:rPr>
        <w:t xml:space="preserve">5.1 Colour Palette</w:t>
      </w:r>
    </w:p>
    <w:p>
      <w:pPr>
        <w:spacing w:after="120" w:before="60"/>
      </w:pPr>
      <w:r>
        <w:rPr>
          <w:rFonts w:ascii="Arial" w:cs="Arial" w:eastAsia="Arial" w:hAnsi="Arial"/>
          <w:sz w:val="22"/>
          <w:szCs w:val="22"/>
        </w:rPr>
        <w:t xml:space="preserve">The palette is built on two ramps — Forest Teal (primary) and Manuscript Amber (accent) — plus a warm neutral grey. The combination evokes Sanskrit's manuscript heritage (gold leaf, palm leaf, aged parchment) while remaining clean and legible in digital environments. All background surfaces use warm whites rather than pure white, reducing eye strain for scholars reading long articles.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1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7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--color-brand-primary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#1D9E75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Primary interactive elements, CTAs, active states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--color-brand-dark</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#0F6E56</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Hover states, nav bar, hero backgrounds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--color-brand-forest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#04342C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Dark hero sections, footer</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--color-surface-page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#FDFCF9</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Page background (warm white, not pure white)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--color-surface-card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#FFFFFF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Card backgrounds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--color-surface-sepia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#F5EDDC</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Sepia reading mode background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--color-surface-dark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#1C1C1A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Dark reading mode background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--color-text-body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#2C2C2A</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Body text (not pure black — reduces fatigue)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--color-accent-gold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#EF9F27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Manuscript / gold leaf accent, publication highlights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--color-accent-amber</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#854F0B</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Amber accent, journal section, epigraphic tags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--color-tag-thesis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#E1F5EE / #085041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Thesis repository tags (bg / text)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--color-tag-epigraphy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#FAEEDA / #633806</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Epigraphic repository tags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--color-tag-literary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#EEEDFE / #3C3489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Literary history repository tags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--color-tag-journal</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#E6F1FB / #0C447C</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Journal / publication tags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--color-tag-open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#EAF3DE / #27500A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Open access indicator</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5.2 Domain-Specific Tag System</w:t>
      </w:r>
    </w:p>
    <w:p>
      <w:pPr>
        <w:spacing w:after="120" w:before="60"/>
      </w:pPr>
      <w:r>
        <w:rPr>
          <w:rFonts w:ascii="Arial" w:cs="Arial" w:eastAsia="Arial" w:hAnsi="Arial"/>
          <w:sz w:val="22"/>
          <w:szCs w:val="22"/>
        </w:rPr>
        <w:t xml:space="preserve">Tags encode meaning, not sequence. The colour of a tag immediately communicates its category to a trained user. Tags always include a text label — colour alone is never relied on to convey meaning (accessibility requirement).</w:t>
      </w:r>
    </w:p>
    <w:p>
      <w:pPr>
        <w:pStyle w:val="ListParagraph"/>
        <w:numPr>
          <w:ilvl w:val="0"/>
          <w:numId w:val="2"/>
        </w:numPr>
        <w:spacing w:after="60" w:before="40"/>
      </w:pPr>
      <w:r>
        <w:rPr>
          <w:rFonts w:ascii="Arial" w:cs="Arial" w:eastAsia="Arial" w:hAnsi="Arial"/>
          <w:sz w:val="22"/>
          <w:szCs w:val="22"/>
        </w:rPr>
        <w:t xml:space="preserve">Teal (#E1F5EE / #085041)  →  Thesis, Vedic, Open access</w:t>
      </w:r>
    </w:p>
    <w:p>
      <w:pPr>
        <w:pStyle w:val="ListParagraph"/>
        <w:numPr>
          <w:ilvl w:val="0"/>
          <w:numId w:val="2"/>
        </w:numPr>
        <w:spacing w:after="60" w:before="40"/>
      </w:pPr>
      <w:r>
        <w:rPr>
          <w:rFonts w:ascii="Arial" w:cs="Arial" w:eastAsia="Arial" w:hAnsi="Arial"/>
          <w:sz w:val="22"/>
          <w:szCs w:val="22"/>
        </w:rPr>
        <w:t xml:space="preserve">Amber (#FAEEDA / #633806)  →  Epigraphic, Manuscript, Peer reviewed</w:t>
      </w:r>
    </w:p>
    <w:p>
      <w:pPr>
        <w:pStyle w:val="ListParagraph"/>
        <w:numPr>
          <w:ilvl w:val="0"/>
          <w:numId w:val="2"/>
        </w:numPr>
        <w:spacing w:after="60" w:before="40"/>
      </w:pPr>
      <w:r>
        <w:rPr>
          <w:rFonts w:ascii="Arial" w:cs="Arial" w:eastAsia="Arial" w:hAnsi="Arial"/>
          <w:sz w:val="22"/>
          <w:szCs w:val="22"/>
        </w:rPr>
        <w:t xml:space="preserve">Purple (#EEEDFE / #3C3489)  →  Literary history, Philosophical tradition</w:t>
      </w:r>
    </w:p>
    <w:p>
      <w:pPr>
        <w:pStyle w:val="ListParagraph"/>
        <w:numPr>
          <w:ilvl w:val="0"/>
          <w:numId w:val="2"/>
        </w:numPr>
        <w:spacing w:after="60" w:before="40"/>
      </w:pPr>
      <w:r>
        <w:rPr>
          <w:rFonts w:ascii="Arial" w:cs="Arial" w:eastAsia="Arial" w:hAnsi="Arial"/>
          <w:sz w:val="22"/>
          <w:szCs w:val="22"/>
        </w:rPr>
        <w:t xml:space="preserve">Blue (#E6F1FB / #0C447C)  →  Journal article, Conference proceedings</w:t>
      </w:r>
    </w:p>
    <w:p>
      <w:pPr>
        <w:pStyle w:val="ListParagraph"/>
        <w:numPr>
          <w:ilvl w:val="0"/>
          <w:numId w:val="2"/>
        </w:numPr>
        <w:spacing w:after="60" w:before="40"/>
      </w:pPr>
      <w:r>
        <w:rPr>
          <w:rFonts w:ascii="Arial" w:cs="Arial" w:eastAsia="Arial" w:hAnsi="Arial"/>
          <w:sz w:val="22"/>
          <w:szCs w:val="22"/>
        </w:rPr>
        <w:t xml:space="preserve">Green (#EAF3DE / #27500A)  →  Open access confirmed, Download available</w:t>
      </w:r>
    </w:p>
    <w:p>
      <w:pPr>
        <w:pStyle w:val="ListParagraph"/>
        <w:numPr>
          <w:ilvl w:val="0"/>
          <w:numId w:val="2"/>
        </w:numPr>
        <w:spacing w:after="60" w:before="40"/>
      </w:pPr>
      <w:r>
        <w:rPr>
          <w:rFonts w:ascii="Arial" w:cs="Arial" w:eastAsia="Arial" w:hAnsi="Arial"/>
          <w:sz w:val="22"/>
          <w:szCs w:val="22"/>
        </w:rPr>
        <w:t xml:space="preserve">Grey (#F1EFE8 / #444441)  →  Restricted, Login required, CFP open</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5.3 Typography System</w:t>
      </w:r>
    </w:p>
    <w:p>
      <w:pPr>
        <w:spacing w:after="120" w:before="60"/>
      </w:pPr>
      <w:r>
        <w:rPr>
          <w:rFonts w:ascii="Arial" w:cs="Arial" w:eastAsia="Arial" w:hAnsi="Arial"/>
          <w:sz w:val="22"/>
          <w:szCs w:val="22"/>
        </w:rPr>
        <w:t xml:space="preserve">Three typeface families serve distinct roles. Cormorant Garamond brings scholarly prestige to headings — it evokes the letterpress tradition of classical philology. Source Serif 4 is the primary reading font: designed for long-form reading with optical sizing, generous x-height, and excellent diacritic support for IAST. Inter handles all UI elements where clarity at small sizes is paramount. Shobhika is the Devanāgarī display font, GSCF-approved and designed specifically for screen rendering.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700"/>
        <w:gridCol w:w="900"/>
        <w:gridCol w:w="600"/>
        <w:gridCol w:w="3760"/>
      </w:tblGrid>
      <w:tr>
        <w:trPr>
          <w:tblHeader/>
        </w:trPr>
        <w:tc>
          <w:tcPr>
            <w:tcW w:type="dxa" w:w="1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Typeface</w:t>
            </w:r>
          </w:p>
        </w:tc>
        <w:tc>
          <w:tcPr>
            <w:tcW w:type="dxa" w:w="7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9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6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L-H</w:t>
            </w:r>
          </w:p>
        </w:tc>
        <w:tc>
          <w:tcPr>
            <w:tcW w:type="dxa" w:w="37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H1 — Hero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Cormorant Garamond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32px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500 medium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Homepage hero, About page title</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H2 — Section</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Cormorant Garamond</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24px</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500 medium</w:t>
            </w:r>
          </w:p>
        </w:tc>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1.30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Section headings across all pages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H3 — Card / Sub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Cormorant Garamond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19px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500 medium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1.35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Card headings, sub-section titles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Body — Article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Source Serif 4</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17px</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regular</w:t>
            </w:r>
          </w:p>
        </w:tc>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1.85</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Long-form article and repository 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UI / Navigation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Inter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14px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regular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Nav items, labels, buttons, captions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UI — Small</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Inter</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12px</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regular</w:t>
            </w:r>
          </w:p>
        </w:tc>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1.40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Metadata, dates, author lines, tags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Devanāgarī</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Shobhika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20px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 700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Sanskrit text in Devanāgarī script</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IAST / Latin</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Source Serif 4 or Gentium Plus</w:t>
            </w:r>
          </w:p>
        </w:tc>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17px</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regular</w:t>
            </w:r>
          </w:p>
        </w:tc>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1.85</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Transliterated Sanskrit, diacritics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Code / Citation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JetBrains Mono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13px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400 regular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1.60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Citation blocks, BibTeX, XML snippets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5.4 Spacing System — 8pt Grid</w:t>
      </w:r>
    </w:p>
    <w:p>
      <w:pPr>
        <w:pStyle w:val="ListParagraph"/>
        <w:numPr>
          <w:ilvl w:val="0"/>
          <w:numId w:val="2"/>
        </w:numPr>
        <w:spacing w:after="60" w:before="40"/>
      </w:pPr>
      <w:r>
        <w:rPr>
          <w:rFonts w:ascii="Arial" w:cs="Arial" w:eastAsia="Arial" w:hAnsi="Arial"/>
          <w:sz w:val="22"/>
          <w:szCs w:val="22"/>
        </w:rPr>
        <w:t xml:space="preserve">Base unit: 8px</w:t>
      </w:r>
    </w:p>
    <w:p>
      <w:pPr>
        <w:pStyle w:val="ListParagraph"/>
        <w:numPr>
          <w:ilvl w:val="0"/>
          <w:numId w:val="2"/>
        </w:numPr>
        <w:spacing w:after="60" w:before="40"/>
      </w:pPr>
      <w:r>
        <w:rPr>
          <w:rFonts w:ascii="Arial" w:cs="Arial" w:eastAsia="Arial" w:hAnsi="Arial"/>
          <w:sz w:val="22"/>
          <w:szCs w:val="22"/>
        </w:rPr>
        <w:t xml:space="preserve">Component internal gaps: 8px / 12px / 16px / 24px</w:t>
      </w:r>
    </w:p>
    <w:p>
      <w:pPr>
        <w:pStyle w:val="ListParagraph"/>
        <w:numPr>
          <w:ilvl w:val="0"/>
          <w:numId w:val="2"/>
        </w:numPr>
        <w:spacing w:after="60" w:before="40"/>
      </w:pPr>
      <w:r>
        <w:rPr>
          <w:rFonts w:ascii="Arial" w:cs="Arial" w:eastAsia="Arial" w:hAnsi="Arial"/>
          <w:sz w:val="22"/>
          <w:szCs w:val="22"/>
        </w:rPr>
        <w:t xml:space="preserve">Section padding (vertical): 48px / 64px / 96px</w:t>
      </w:r>
    </w:p>
    <w:p>
      <w:pPr>
        <w:pStyle w:val="ListParagraph"/>
        <w:numPr>
          <w:ilvl w:val="0"/>
          <w:numId w:val="2"/>
        </w:numPr>
        <w:spacing w:after="60" w:before="40"/>
      </w:pPr>
      <w:r>
        <w:rPr>
          <w:rFonts w:ascii="Arial" w:cs="Arial" w:eastAsia="Arial" w:hAnsi="Arial"/>
          <w:sz w:val="22"/>
          <w:szCs w:val="22"/>
        </w:rPr>
        <w:t xml:space="preserve">Card internal padding: 20px / 24px</w:t>
      </w:r>
    </w:p>
    <w:p>
      <w:pPr>
        <w:pStyle w:val="ListParagraph"/>
        <w:numPr>
          <w:ilvl w:val="0"/>
          <w:numId w:val="2"/>
        </w:numPr>
        <w:spacing w:after="60" w:before="40"/>
      </w:pPr>
      <w:r>
        <w:rPr>
          <w:rFonts w:ascii="Arial" w:cs="Arial" w:eastAsia="Arial" w:hAnsi="Arial"/>
          <w:sz w:val="22"/>
          <w:szCs w:val="22"/>
        </w:rPr>
        <w:t xml:space="preserve">Max page content width: 1200px</w:t>
      </w:r>
    </w:p>
    <w:p>
      <w:pPr>
        <w:pStyle w:val="ListParagraph"/>
        <w:numPr>
          <w:ilvl w:val="0"/>
          <w:numId w:val="2"/>
        </w:numPr>
        <w:spacing w:after="60" w:before="40"/>
      </w:pPr>
      <w:r>
        <w:rPr>
          <w:rFonts w:ascii="Arial" w:cs="Arial" w:eastAsia="Arial" w:hAnsi="Arial"/>
          <w:sz w:val="22"/>
          <w:szCs w:val="22"/>
        </w:rPr>
        <w:t xml:space="preserve">Max article / reading column width: 680px</w:t>
      </w:r>
    </w:p>
    <w:p>
      <w:pPr>
        <w:pStyle w:val="ListParagraph"/>
        <w:numPr>
          <w:ilvl w:val="0"/>
          <w:numId w:val="2"/>
        </w:numPr>
        <w:spacing w:after="60" w:before="40"/>
      </w:pPr>
      <w:r>
        <w:rPr>
          <w:rFonts w:ascii="Arial" w:cs="Arial" w:eastAsia="Arial" w:hAnsi="Arial"/>
          <w:sz w:val="22"/>
          <w:szCs w:val="22"/>
        </w:rPr>
        <w:t xml:space="preserve">Border radius: 4px (subtle) / 8px (standard) / 12px (cards) / 20px (containers)</w:t>
      </w:r>
    </w:p>
    <w:p>
      <w:pPr>
        <w:pStyle w:val="ListParagraph"/>
        <w:numPr>
          <w:ilvl w:val="0"/>
          <w:numId w:val="2"/>
        </w:numPr>
        <w:spacing w:after="60" w:before="40"/>
      </w:pPr>
      <w:r>
        <w:rPr>
          <w:rFonts w:ascii="Arial" w:cs="Arial" w:eastAsia="Arial" w:hAnsi="Arial"/>
          <w:sz w:val="22"/>
          <w:szCs w:val="22"/>
        </w:rPr>
        <w:t xml:space="preserve">Border weight: 0.5px for cards and dividers; 1px for emphasis; 2px for featured/selected state</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6 — Component Library</w:t>
      </w:r>
    </w:p>
    <w:p>
      <w:pPr>
        <w:spacing w:after="120" w:before="60"/>
      </w:pPr>
      <w:r>
        <w:rPr>
          <w:rFonts w:ascii="Arial" w:cs="Arial" w:eastAsia="Arial" w:hAnsi="Arial"/>
          <w:sz w:val="22"/>
          <w:szCs w:val="22"/>
        </w:rPr>
        <w:t xml:space="preserve">The following components are the primary building blocks of the platform. Each is described with its mandatory fields, variants, and behavioural specifications. All components must support dark mode and the sepia reading mode.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Context / Page</w:t>
            </w:r>
          </w:p>
        </w:tc>
        <w:tc>
          <w:tcPr>
            <w:tcW w:type="dxa" w:w="49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Required Fields &amp;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Repository Entry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Primary content atom for all 3 repositories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Tags (type, language, access) · Title · Author + affiliation + date · 2-line abstract · Download / Cite / Share actions · 'View full record →'</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Inscription Card (Epigraphic variant)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Specialised card for epigraphic repository</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Period, location, script · Side-by-side diplomatic / Devanāgarī text · ASI / EI reference number · Map 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Event / Workshop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Contemporary Developments section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Date block (day + month) · Category tag · Title · Venue / institution · Registration status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Scholar Profile Chip</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Community section + article bylines</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Avatar initials (teal bg) · Name · Specialisation · Institution · Role badge (Volunteer / Ambassador) · Contribution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Reading Mode Toggle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Persistent; shown in article header + sticky bar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Light / Sepia / Dark buttons · Font size A- / A+ · Script toggle (Dev / IAST / Roman)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Citation Copier Modal</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Every repository entry and article</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5 formats: APA / Chicago / MLA / BibTeX / TEI-XML · One-click copy-to-clipboard per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Timeline Component (horizontal)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Homepage Zone 3 + About page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CSS scroll-snap-type: x mandatory · Milestone chips with 60ms IntersectionObserver stagger · Expand on click</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CFP Tracker Table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Contemporary Developments — Journals tab</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Journal name / Deadline / Subject area / Language / Link · Sortable · Email alert subscribe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Inscription Map (Phase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Epigraphic repository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Leaflet.js + OpenStreetMap choropleth · Click region → filter inscriptions · Lat/long metadata per record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Search Bar — Sanskrit-aware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Global (header) + repository sidebars</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Accepts Devanāgarī / IAST / Roman · Script auto-normalisation · Sandhi stemming · Faceted filters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6.1 Repository Entry Card — Mandatory Field Specification</w:t>
      </w:r>
    </w:p>
    <w:p>
      <w:pPr>
        <w:spacing w:after="120" w:before="60"/>
      </w:pPr>
      <w:r>
        <w:rPr>
          <w:rFonts w:ascii="Arial" w:cs="Arial" w:eastAsia="Arial" w:hAnsi="Arial"/>
          <w:sz w:val="22"/>
          <w:szCs w:val="22"/>
        </w:rPr>
        <w:t xml:space="preserve">The repository entry card is the most frequently rendered component on the platform. Its fields are mandatory and cannot be omitted for any entry, regardless of how sparse the submission is. If a field is unknown, it must display 'Unknown' rather than be hidden — provenance transparency is a scholarly requirement.</w:t>
      </w:r>
    </w:p>
    <w:p>
      <w:pPr>
        <w:pStyle w:val="ListParagraph"/>
        <w:numPr>
          <w:ilvl w:val="0"/>
          <w:numId w:val="2"/>
        </w:numPr>
        <w:spacing w:after="60" w:before="40"/>
      </w:pPr>
      <w:r>
        <w:rPr>
          <w:rFonts w:ascii="Arial" w:cs="Arial" w:eastAsia="Arial" w:hAnsi="Arial"/>
          <w:sz w:val="22"/>
          <w:szCs w:val="22"/>
        </w:rPr>
        <w:t xml:space="preserve">Title — required, max 150 characters, truncated to 2 lines on card</w:t>
      </w:r>
    </w:p>
    <w:p>
      <w:pPr>
        <w:pStyle w:val="ListParagraph"/>
        <w:numPr>
          <w:ilvl w:val="0"/>
          <w:numId w:val="2"/>
        </w:numPr>
        <w:spacing w:after="60" w:before="40"/>
      </w:pPr>
      <w:r>
        <w:rPr>
          <w:rFonts w:ascii="Arial" w:cs="Arial" w:eastAsia="Arial" w:hAnsi="Arial"/>
          <w:sz w:val="22"/>
          <w:szCs w:val="22"/>
        </w:rPr>
        <w:t xml:space="preserve">Author name — required; 'Unknown' if genuinely unavailable</w:t>
      </w:r>
    </w:p>
    <w:p>
      <w:pPr>
        <w:pStyle w:val="ListParagraph"/>
        <w:numPr>
          <w:ilvl w:val="0"/>
          <w:numId w:val="2"/>
        </w:numPr>
        <w:spacing w:after="60" w:before="40"/>
      </w:pPr>
      <w:r>
        <w:rPr>
          <w:rFonts w:ascii="Arial" w:cs="Arial" w:eastAsia="Arial" w:hAnsi="Arial"/>
          <w:sz w:val="22"/>
          <w:szCs w:val="22"/>
        </w:rPr>
        <w:t xml:space="preserve">Institutional affiliation — required; 'Independent' if unaffiliated</w:t>
      </w:r>
    </w:p>
    <w:p>
      <w:pPr>
        <w:pStyle w:val="ListParagraph"/>
        <w:numPr>
          <w:ilvl w:val="0"/>
          <w:numId w:val="2"/>
        </w:numPr>
        <w:spacing w:after="60" w:before="40"/>
      </w:pPr>
      <w:r>
        <w:rPr>
          <w:rFonts w:ascii="Arial" w:cs="Arial" w:eastAsia="Arial" w:hAnsi="Arial"/>
          <w:sz w:val="22"/>
          <w:szCs w:val="22"/>
        </w:rPr>
        <w:t xml:space="preserve">Date (submission / publication / creation) — required; display as YYYY or Mon YYYY</w:t>
      </w:r>
    </w:p>
    <w:p>
      <w:pPr>
        <w:pStyle w:val="ListParagraph"/>
        <w:numPr>
          <w:ilvl w:val="0"/>
          <w:numId w:val="2"/>
        </w:numPr>
        <w:spacing w:after="60" w:before="40"/>
      </w:pPr>
      <w:r>
        <w:rPr>
          <w:rFonts w:ascii="Arial" w:cs="Arial" w:eastAsia="Arial" w:hAnsi="Arial"/>
          <w:sz w:val="22"/>
          <w:szCs w:val="22"/>
        </w:rPr>
        <w:t xml:space="preserve">Repository type tags — required; minimum 1 (Thesis / Epigraphic / Literary History)</w:t>
      </w:r>
    </w:p>
    <w:p>
      <w:pPr>
        <w:pStyle w:val="ListParagraph"/>
        <w:numPr>
          <w:ilvl w:val="0"/>
          <w:numId w:val="2"/>
        </w:numPr>
        <w:spacing w:after="60" w:before="40"/>
      </w:pPr>
      <w:r>
        <w:rPr>
          <w:rFonts w:ascii="Arial" w:cs="Arial" w:eastAsia="Arial" w:hAnsi="Arial"/>
          <w:sz w:val="22"/>
          <w:szCs w:val="22"/>
        </w:rPr>
        <w:t xml:space="preserve">Access level indicator — required; Open / Restricted / Login required</w:t>
      </w:r>
    </w:p>
    <w:p>
      <w:pPr>
        <w:pStyle w:val="ListParagraph"/>
        <w:numPr>
          <w:ilvl w:val="0"/>
          <w:numId w:val="2"/>
        </w:numPr>
        <w:spacing w:after="60" w:before="40"/>
      </w:pPr>
      <w:r>
        <w:rPr>
          <w:rFonts w:ascii="Arial" w:cs="Arial" w:eastAsia="Arial" w:hAnsi="Arial"/>
          <w:sz w:val="22"/>
          <w:szCs w:val="22"/>
        </w:rPr>
        <w:t xml:space="preserve">Abstract — required; minimum 50 words; truncated to 2 lines with 'Read more' expand</w:t>
      </w:r>
    </w:p>
    <w:p>
      <w:pPr>
        <w:pStyle w:val="ListParagraph"/>
        <w:numPr>
          <w:ilvl w:val="0"/>
          <w:numId w:val="2"/>
        </w:numPr>
        <w:spacing w:after="60" w:before="40"/>
      </w:pPr>
      <w:r>
        <w:rPr>
          <w:rFonts w:ascii="Arial" w:cs="Arial" w:eastAsia="Arial" w:hAnsi="Arial"/>
          <w:sz w:val="22"/>
          <w:szCs w:val="22"/>
        </w:rPr>
        <w:t xml:space="preserve">Download (PDF / EPUB) — required if file available</w:t>
      </w:r>
    </w:p>
    <w:p>
      <w:pPr>
        <w:pStyle w:val="ListParagraph"/>
        <w:numPr>
          <w:ilvl w:val="0"/>
          <w:numId w:val="2"/>
        </w:numPr>
        <w:spacing w:after="60" w:before="40"/>
      </w:pPr>
      <w:r>
        <w:rPr>
          <w:rFonts w:ascii="Arial" w:cs="Arial" w:eastAsia="Arial" w:hAnsi="Arial"/>
          <w:sz w:val="22"/>
          <w:szCs w:val="22"/>
        </w:rPr>
        <w:t xml:space="preserve">Cite button — required on all cards</w:t>
      </w:r>
    </w:p>
    <w:p>
      <w:pPr>
        <w:pStyle w:val="ListParagraph"/>
        <w:numPr>
          <w:ilvl w:val="0"/>
          <w:numId w:val="2"/>
        </w:numPr>
        <w:spacing w:after="60" w:before="40"/>
      </w:pPr>
      <w:r>
        <w:rPr>
          <w:rFonts w:ascii="Arial" w:cs="Arial" w:eastAsia="Arial" w:hAnsi="Arial"/>
          <w:sz w:val="22"/>
          <w:szCs w:val="22"/>
        </w:rPr>
        <w:t xml:space="preserve">'View full record →' link — required on all cards</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7 — Page Templates &amp; Zone Maps</w:t>
      </w:r>
    </w:p>
    <w:p>
      <w:pPr>
        <w:pStyle w:val="Heading2"/>
        <w:spacing w:after="120" w:before="300"/>
      </w:pPr>
      <w:r>
        <w:rPr>
          <w:rFonts w:ascii="Arial" w:cs="Arial" w:eastAsia="Arial" w:hAnsi="Arial"/>
          <w:b/>
          <w:bCs/>
          <w:color w:val="0F6E56"/>
          <w:sz w:val="30"/>
          <w:szCs w:val="30"/>
        </w:rPr>
        <w:t xml:space="preserve">7.1 Homepage — 6-Zone Layout</w:t>
      </w:r>
    </w:p>
    <w:p>
      <w:pPr>
        <w:spacing w:after="120" w:before="60"/>
      </w:pPr>
      <w:r>
        <w:rPr>
          <w:rFonts w:ascii="Arial" w:cs="Arial" w:eastAsia="Arial" w:hAnsi="Arial"/>
          <w:sz w:val="22"/>
          <w:szCs w:val="22"/>
        </w:rPr>
        <w:t xml:space="preserve">The homepage functions as the trailer for the entire platform — a curated sequence of zones that give every audience type a reason to go deeper, without requiring them to read everything. Each zone has a distinct purpose and must be independently scannable in under 5 seconds.</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1 — HERO (FULL WIDTH, DARK TEAL BACKGROUND)</w:t>
      </w:r>
    </w:p>
    <w:p>
      <w:pPr>
        <w:spacing w:after="120" w:before="60"/>
      </w:pPr>
      <w:r>
        <w:rPr>
          <w:rFonts w:ascii="Arial" w:cs="Arial" w:eastAsia="Arial" w:hAnsi="Arial"/>
          <w:sz w:val="22"/>
          <w:szCs w:val="22"/>
        </w:rPr>
        <w:t xml:space="preserve">Full-width dark section (#04342C background). Contents: organisation name in Cormorant Garamond 32px; one-line tagline in body size; a Sanskrit shloka in Devanāgarī (Shobhika 24px) with IAST transliteration below it; two CTAs — 'Explore Repositories' (primary button, teal) and 'Join the Community' (ghost button); scroll-down indicator. No autoplay video. No particle animation.</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2 — REPOSITORY PREVIEWS (3-COLUMN CARD GRID)</w:t>
      </w:r>
    </w:p>
    <w:p>
      <w:pPr>
        <w:spacing w:after="120" w:before="60"/>
      </w:pPr>
      <w:r>
        <w:rPr>
          <w:rFonts w:ascii="Arial" w:cs="Arial" w:eastAsia="Arial" w:hAnsi="Arial"/>
          <w:sz w:val="22"/>
          <w:szCs w:val="22"/>
        </w:rPr>
        <w:t xml:space="preserve">Three equal-width cards, one per repository (Thesis / Epigraphical / Literary History). Each card shows: repository name, total record count, 2 latest entries (mini-card style), and an 'Explore [repository name] →' link. Cards use the domain-specific tag colour for their left border accent (teal / amber / purple). Cards are hover-liftable.</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3 — HISTORICAL TIMELINE (HORIZONTAL SCROLL)</w:t>
      </w:r>
    </w:p>
    <w:p>
      <w:pPr>
        <w:spacing w:after="120" w:before="60"/>
      </w:pPr>
      <w:r>
        <w:rPr>
          <w:rFonts w:ascii="Arial" w:cs="Arial" w:eastAsia="Arial" w:hAnsi="Arial"/>
          <w:sz w:val="22"/>
          <w:szCs w:val="22"/>
        </w:rPr>
        <w:t xml:space="preserve">A CSS scroll-snap horizontal timeline of the organisation's milestones. Each milestone is a chip with year + event name. Clicking a chip expands a card below the timeline with a full description. On mobile, converts to a vertical timeline with left-border connector. Milestone chips animate in on scroll with a 60ms IntersectionObserver stagger. The active (most recent) milestone has a teal dot-pulse animation.</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4 — DUAL-COLUMN: CALENDAR + CONTEMPORARY DEVELOPMENTS</w:t>
      </w:r>
    </w:p>
    <w:p>
      <w:pPr>
        <w:spacing w:after="120" w:before="60"/>
      </w:pPr>
      <w:r>
        <w:rPr>
          <w:rFonts w:ascii="Arial" w:cs="Arial" w:eastAsia="Arial" w:hAnsi="Arial"/>
          <w:sz w:val="22"/>
          <w:szCs w:val="22"/>
        </w:rPr>
        <w:t xml:space="preserve">Left column: upcoming events calendar (workshops, seminars, CFP deadlines, vacancies) as a compact list, 5 items max, with a 'View all' link. Right column: Contemporary Developments feed in 4 sub-tabs (Vacancies / Workshops / Seminars / Journals), showing 3 items per active tab. Both columns refresh from the same CMS source.</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5 — PUBLICATIONS SPOTLIGHT</w:t>
      </w:r>
    </w:p>
    <w:p>
      <w:pPr>
        <w:spacing w:after="120" w:before="60"/>
      </w:pPr>
      <w:r>
        <w:rPr>
          <w:rFonts w:ascii="Arial" w:cs="Arial" w:eastAsia="Arial" w:hAnsi="Arial"/>
          <w:sz w:val="22"/>
          <w:szCs w:val="22"/>
        </w:rPr>
        <w:t xml:space="preserve">Featuring the annual journal's latest issue (or upcoming issue with submission CTA if pre-publication). One featured article highlighted with pull-quote. Newsletter sign-up form (email field + subscribe button). Amber/gold accent colour for this zone to differentiate from the teal-dominant zones above.</w:t>
      </w:r>
    </w:p>
    <w:p>
      <w:pPr>
        <w:spacing w:after="60" w:before="60"/>
      </w:pPr>
      <w:r>
        <w:rPr>
          <w:rFonts w:ascii="Arial" w:cs="Arial" w:eastAsia="Arial" w:hAnsi="Arial"/>
          <w:sz w:val="22"/>
          <w:szCs w:val="22"/>
        </w:rPr>
        <w:t xml:space="preserve"/>
      </w:r>
    </w:p>
    <w:p>
      <w:pPr>
        <w:spacing w:after="60" w:before="120"/>
      </w:pPr>
      <w:r>
        <w:rPr>
          <w:rFonts w:ascii="Arial" w:cs="Arial" w:eastAsia="Arial" w:hAnsi="Arial"/>
          <w:b/>
          <w:bCs/>
          <w:color w:val="5F5E5A"/>
          <w:spacing w:val="40"/>
          <w:sz w:val="18"/>
          <w:szCs w:val="18"/>
        </w:rPr>
        <w:t xml:space="preserve">ZONE 6 — COMMUNITY SPOTLIGHT</w:t>
      </w:r>
    </w:p>
    <w:p>
      <w:pPr>
        <w:spacing w:after="120" w:before="60"/>
      </w:pPr>
      <w:r>
        <w:rPr>
          <w:rFonts w:ascii="Arial" w:cs="Arial" w:eastAsia="Arial" w:hAnsi="Arial"/>
          <w:sz w:val="22"/>
          <w:szCs w:val="22"/>
        </w:rPr>
        <w:t xml:space="preserve">Three rotating contributor profile chips (scholar name, institution, specialisation, contribution count, role badge). A 'Write for us' and 'Volunteer / Become an Ambassador' CTA. This zone realises the founder's community-first philosophy and must be non-optional — it is not a 'nice to have' deferred to Phase 2.</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7.2 Repository Listing Page — Layout</w:t>
      </w:r>
    </w:p>
    <w:p>
      <w:pPr>
        <w:pStyle w:val="ListParagraph"/>
        <w:numPr>
          <w:ilvl w:val="0"/>
          <w:numId w:val="2"/>
        </w:numPr>
        <w:spacing w:after="60" w:before="40"/>
      </w:pPr>
      <w:r>
        <w:rPr>
          <w:rFonts w:ascii="Arial" w:cs="Arial" w:eastAsia="Arial" w:hAnsi="Arial"/>
          <w:sz w:val="22"/>
          <w:szCs w:val="22"/>
        </w:rPr>
        <w:t xml:space="preserve">Persistent filter sidebar (220px, left): Type / Period / Region / Language / Script / Institution / Year / Access level / Full-text search within repository</w:t>
      </w:r>
    </w:p>
    <w:p>
      <w:pPr>
        <w:pStyle w:val="ListParagraph"/>
        <w:numPr>
          <w:ilvl w:val="0"/>
          <w:numId w:val="2"/>
        </w:numPr>
        <w:spacing w:after="60" w:before="40"/>
      </w:pPr>
      <w:r>
        <w:rPr>
          <w:rFonts w:ascii="Arial" w:cs="Arial" w:eastAsia="Arial" w:hAnsi="Arial"/>
          <w:sz w:val="22"/>
          <w:szCs w:val="22"/>
        </w:rPr>
        <w:t xml:space="preserve">Results area: sort bar (newest / oldest / most cited) + result count + card grid (1 col mobile, 2 col desktop) + pagination or infinite scroll</w:t>
      </w:r>
    </w:p>
    <w:p>
      <w:pPr>
        <w:pStyle w:val="ListParagraph"/>
        <w:numPr>
          <w:ilvl w:val="0"/>
          <w:numId w:val="2"/>
        </w:numPr>
        <w:spacing w:after="60" w:before="40"/>
      </w:pPr>
      <w:r>
        <w:rPr>
          <w:rFonts w:ascii="Arial" w:cs="Arial" w:eastAsia="Arial" w:hAnsi="Arial"/>
          <w:sz w:val="22"/>
          <w:szCs w:val="22"/>
        </w:rPr>
        <w:t xml:space="preserve">Export all results: CSV / BibTeX buttons above result grid</w:t>
      </w:r>
    </w:p>
    <w:p>
      <w:pPr>
        <w:pStyle w:val="ListParagraph"/>
        <w:numPr>
          <w:ilvl w:val="0"/>
          <w:numId w:val="2"/>
        </w:numPr>
        <w:spacing w:after="60" w:before="40"/>
      </w:pPr>
      <w:r>
        <w:rPr>
          <w:rFonts w:ascii="Arial" w:cs="Arial" w:eastAsia="Arial" w:hAnsi="Arial"/>
          <w:sz w:val="22"/>
          <w:szCs w:val="22"/>
        </w:rPr>
        <w:t xml:space="preserve">Map view toggle (Phase 2, Epigraphic repository only): switches from card grid to choropleth map</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7.3 Article / Publication Reading Page — Layout</w:t>
      </w:r>
    </w:p>
    <w:p>
      <w:pPr>
        <w:pStyle w:val="ListParagraph"/>
        <w:numPr>
          <w:ilvl w:val="0"/>
          <w:numId w:val="2"/>
        </w:numPr>
        <w:spacing w:after="60" w:before="40"/>
      </w:pPr>
      <w:r>
        <w:rPr>
          <w:rFonts w:ascii="Arial" w:cs="Arial" w:eastAsia="Arial" w:hAnsi="Arial"/>
          <w:sz w:val="22"/>
          <w:szCs w:val="22"/>
        </w:rPr>
        <w:t xml:space="preserve">Header: Title (Cormorant 32px) · Author + affiliation + date · Tags · Estimated reading time · Reading mode toggle (Light / Sepia / Dark) + font size A- / A+</w:t>
      </w:r>
    </w:p>
    <w:p>
      <w:pPr>
        <w:pStyle w:val="ListParagraph"/>
        <w:numPr>
          <w:ilvl w:val="0"/>
          <w:numId w:val="2"/>
        </w:numPr>
        <w:spacing w:after="60" w:before="40"/>
      </w:pPr>
      <w:r>
        <w:rPr>
          <w:rFonts w:ascii="Arial" w:cs="Arial" w:eastAsia="Arial" w:hAnsi="Arial"/>
          <w:sz w:val="22"/>
          <w:szCs w:val="22"/>
        </w:rPr>
        <w:t xml:space="preserve">Body: Max-width 680px centred · Source Serif 4 17px / 1.85 lh · Drop cap on first paragraph · Pull quotes with 3px teal left border · Inline Sanskrit in Shobhika 20px · Footnotes as expandable side-notes on desktop, inline on mobile</w:t>
      </w:r>
    </w:p>
    <w:p>
      <w:pPr>
        <w:pStyle w:val="ListParagraph"/>
        <w:numPr>
          <w:ilvl w:val="0"/>
          <w:numId w:val="2"/>
        </w:numPr>
        <w:spacing w:after="60" w:before="40"/>
      </w:pPr>
      <w:r>
        <w:rPr>
          <w:rFonts w:ascii="Arial" w:cs="Arial" w:eastAsia="Arial" w:hAnsi="Arial"/>
          <w:sz w:val="22"/>
          <w:szCs w:val="22"/>
        </w:rPr>
        <w:t xml:space="preserve">Sticky sidebar (desktop only): Table of contents · Article progress indicator (%) · Share + Cite buttons · 'Back to repository' breadcrumb</w:t>
      </w:r>
    </w:p>
    <w:p>
      <w:pPr>
        <w:pStyle w:val="ListParagraph"/>
        <w:numPr>
          <w:ilvl w:val="0"/>
          <w:numId w:val="2"/>
        </w:numPr>
        <w:spacing w:after="60" w:before="40"/>
      </w:pPr>
      <w:r>
        <w:rPr>
          <w:rFonts w:ascii="Arial" w:cs="Arial" w:eastAsia="Arial" w:hAnsi="Arial"/>
          <w:sz w:val="22"/>
          <w:szCs w:val="22"/>
        </w:rPr>
        <w:t xml:space="preserve">Footer: Full citation block (click to copy) · Download PDF + EPUB · Author bio chip · 3 related articles</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8 — UX Enhancements &amp; Feature Innovations</w:t>
      </w:r>
    </w:p>
    <w:p>
      <w:pPr>
        <w:spacing w:after="120" w:before="60"/>
      </w:pPr>
      <w:r>
        <w:rPr>
          <w:rFonts w:ascii="Arial" w:cs="Arial" w:eastAsia="Arial" w:hAnsi="Arial"/>
          <w:sz w:val="22"/>
          <w:szCs w:val="22"/>
        </w:rPr>
        <w:t xml:space="preserve">The following enhancements have been identified through competitive analysis as high-value differentiators — features absent from all benchmarked sites that would meaningfully improve the experience for the platform's target audience of Sanskrit scholars, students, and the general public interested in Indian classical knowledge systems.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1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9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Justification &amp; 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Script toggle — site-wide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Zero benchmarked competitors offer a site-wide Devanāgarī ↔ IAST ↔ Roman toggle. Removes the #1 friction point for multilingual Sanskrit scholars. Preference persisted in localStorage and user account.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Citation copier with 5 formats</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A32D2D"/>
                <w:sz w:val="19"/>
                <w:szCs w:val="19"/>
              </w:rPr>
              <w:t xml:space="preserve">Critical</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APA / Chicago / MLA / BibTeX / TEI-XML in a single modal. Removes the top friction point for academic users citing from the platform. One-click per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CFP (Call for Papers) tracker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Sortable, filterable table of open calls for submissions in Sanskrit and Indic studies journals. Email alerts by subject area. No other Sanskrit platform offers this.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Contributor authoring flow</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19"/>
                <w:szCs w:val="19"/>
              </w:rPr>
              <w:t xml:space="preserve">High</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Lightweight structured editor with Devanāgarī input, auto-filled citation block, category tagging, and preview-before-submit. Realises founder's philosophy: 'contributors write for themselves, we are the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Inscription choropleth map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19"/>
                <w:szCs w:val="19"/>
              </w:rPr>
              <w:t xml:space="preserve">Medium (Phase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Leaflet.js map view of the epigraphic repository. Click any region of India (or SE Asia) and see all inscriptions from that location. Makes the repository visually browsable and shareable.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Dual-audience entry paths</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19"/>
                <w:szCs w:val="19"/>
              </w:rPr>
              <w:t xml:space="preserve">High</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Adopt 84000's Reading Room / Scholar's Room model as: General Reader (curated paths, plain-language intros, newsletter) vs Scholar's Access (full repo, TEI/XML downloads, API, advanced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Reading mode (Light/Sepia/Dark)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9"/>
                <w:szCs w:val="19"/>
              </w:rPr>
              <w:t xml:space="preserve">Critical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Absent in all 6 benchmark sites despite all hosting long-form content. Sepia (#F5EDDC) is the most requested feature in Sanskrit digital humanities. Launched at v1, not deferred.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Zero-state search page</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19"/>
                <w:szCs w:val="19"/>
              </w:rPr>
              <w:t xml:space="preserve">Medium</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When search returns no results: suggested related terms + 'contribute a record' CTA + link to most relevant repository section. Never a blank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EPUB + PDF download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19"/>
                <w:szCs w:val="19"/>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Every article, thesis record, and inscription page offers EPUB + PDF download. Lotsawa House's most-praised feature. Essential for scholars working offline.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Sanskrit sandhi-aware search</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54F0B"/>
                <w:sz w:val="19"/>
                <w:szCs w:val="19"/>
              </w:rPr>
              <w:t xml:space="preserve">High (Phase 2)</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Search engine handles Sanskrit sandhi — searching 'dharma' also surfaces 'dharmam', 'dharmāya' etc. Use IIT Kanpur SanskritShala API for stemming, or a dictionary-based fallback.</w:t>
            </w:r>
          </w:p>
        </w:tc>
      </w:tr>
    </w:tbl>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9 — Motion &amp; Interaction Design</w:t>
      </w:r>
    </w:p>
    <w:p>
      <w:pPr>
        <w:pStyle w:val="Heading2"/>
        <w:spacing w:after="120" w:before="300"/>
      </w:pPr>
      <w:r>
        <w:rPr>
          <w:rFonts w:ascii="Arial" w:cs="Arial" w:eastAsia="Arial" w:hAnsi="Arial"/>
          <w:b/>
          <w:bCs/>
          <w:color w:val="0F6E56"/>
          <w:sz w:val="30"/>
          <w:szCs w:val="30"/>
        </w:rPr>
        <w:t xml:space="preserve">9.1 Animation Principles</w:t>
      </w:r>
    </w:p>
    <w:p>
      <w:pPr>
        <w:spacing w:after="120" w:before="60"/>
      </w:pPr>
      <w:r>
        <w:rPr>
          <w:rFonts w:ascii="Arial" w:cs="Arial" w:eastAsia="Arial" w:hAnsi="Arial"/>
          <w:b/>
          <w:bCs/>
          <w:sz w:val="22"/>
          <w:szCs w:val="22"/>
        </w:rPr>
        <w:t xml:space="preserve">Principle 1 — Deference: </w:t>
      </w:r>
      <w:r>
        <w:rPr>
          <w:rFonts w:ascii="Arial" w:cs="Arial" w:eastAsia="Arial" w:hAnsi="Arial"/>
          <w:sz w:val="22"/>
          <w:szCs w:val="22"/>
        </w:rPr>
        <w:t xml:space="preserve">Animations defer to content. A manuscript platform is not a product launch. Motion should feel like turning a page, not launching a rocket. Duration budget: 200–400ms for UI transitions, 500–700ms for entrance animations.</w:t>
      </w:r>
    </w:p>
    <w:p>
      <w:pPr>
        <w:spacing w:after="120" w:before="60"/>
      </w:pPr>
      <w:r>
        <w:rPr>
          <w:rFonts w:ascii="Arial" w:cs="Arial" w:eastAsia="Arial" w:hAnsi="Arial"/>
          <w:b/>
          <w:bCs/>
          <w:sz w:val="22"/>
          <w:szCs w:val="22"/>
        </w:rPr>
        <w:t xml:space="preserve">Principle 2 — Meaning: </w:t>
      </w:r>
      <w:r>
        <w:rPr>
          <w:rFonts w:ascii="Arial" w:cs="Arial" w:eastAsia="Arial" w:hAnsi="Arial"/>
          <w:sz w:val="22"/>
          <w:szCs w:val="22"/>
        </w:rPr>
        <w:t xml:space="preserve">Every animation must answer the question 'why does this move?' Card lift = clickable and elevated. Fade-in = new content arriving. Slide from right = navigating forward. Slide from left = navigating back. Never animate purely for decoration.</w:t>
      </w:r>
    </w:p>
    <w:p>
      <w:pPr>
        <w:spacing w:after="120" w:before="60"/>
      </w:pPr>
      <w:r>
        <w:rPr>
          <w:rFonts w:ascii="Arial" w:cs="Arial" w:eastAsia="Arial" w:hAnsi="Arial"/>
          <w:b/>
          <w:bCs/>
          <w:sz w:val="22"/>
          <w:szCs w:val="22"/>
        </w:rPr>
        <w:t xml:space="preserve">Principle 3 — Reduced Motion: </w:t>
      </w:r>
      <w:r>
        <w:rPr>
          <w:rFonts w:ascii="Arial" w:cs="Arial" w:eastAsia="Arial" w:hAnsi="Arial"/>
          <w:sz w:val="22"/>
          <w:szCs w:val="22"/>
        </w:rPr>
        <w:t xml:space="preserve">All animations are wrapped in @media (prefers-reduced-motion: reduce). The platform serves scholars with visual impairments. This is a launch requirement, not a post-launch accessibility retrofit.</w:t>
      </w:r>
    </w:p>
    <w:p>
      <w:pPr>
        <w:spacing w:after="120" w:before="60"/>
      </w:pPr>
      <w:r>
        <w:rPr>
          <w:rFonts w:ascii="Arial" w:cs="Arial" w:eastAsia="Arial" w:hAnsi="Arial"/>
          <w:b/>
          <w:bCs/>
          <w:sz w:val="22"/>
          <w:szCs w:val="22"/>
        </w:rPr>
        <w:t xml:space="preserve">Principle 4 — Domain Appropriateness: </w:t>
      </w:r>
      <w:r>
        <w:rPr>
          <w:rFonts w:ascii="Arial" w:cs="Arial" w:eastAsia="Arial" w:hAnsi="Arial"/>
          <w:sz w:val="22"/>
          <w:szCs w:val="22"/>
        </w:rPr>
        <w:t xml:space="preserve">The aesthetic register of classical Sanskrit scholarship is not Silicon Valley SaaS. Avoid: bouncing loaders, confetti, progress celebrations, neon glows. Prefer: clean fades, precise translations, restrained spring easing.</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9.2 Approved Interaction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1800"/>
        <w:gridCol w:w="2160"/>
      </w:tblGrid>
      <w:tr>
        <w:trPr>
          <w:tblHeader/>
        </w:trPr>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Interaction</w:t>
            </w:r>
          </w:p>
        </w:tc>
        <w:tc>
          <w:tcPr>
            <w:tcW w:type="dxa" w:w="24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Animation</w:t>
            </w:r>
          </w:p>
        </w:tc>
        <w:tc>
          <w:tcPr>
            <w:tcW w:type="dxa" w:w="1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18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Easing</w:t>
            </w:r>
          </w:p>
        </w:tc>
        <w:tc>
          <w:tcPr>
            <w:tcW w:type="dxa" w:w="21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Page section entrance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fade + translateY(20px →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550ms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IntersectionObserver trigger on scroll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Card hover lift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translateY(0 → -4px)</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250ms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cubic-bezier(.34,1.56,.64,1)</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Signals clickability; spring feel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Card border on hover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border-color → #0F6E56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200ms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Paired with lift; same duration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Nav link underline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scaleX(0 → 1) from left</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200ms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Clean directional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Page / route transition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opacity 1→0→1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300ms / 150ms delay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Cross-fade; no slide on desktop</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Reading mode switch</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background-color transition</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400ms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Smooth, not jarring to eye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Script toggle (Dev ↔ IAST)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fade old → fade new 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300ms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Prevents jarring layout shift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Timeline milestone expand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slide-down + fade-in</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400ms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ease-out</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Expands card below milestone chip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5041"/>
                <w:sz w:val="19"/>
                <w:szCs w:val="19"/>
              </w:rPr>
              <w:t xml:space="preserve">Tag / filter select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scale 0.98 → 1.02 →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200ms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F5E5A"/>
                <w:sz w:val="19"/>
                <w:szCs w:val="19"/>
              </w:rPr>
              <w:t xml:space="preserve">spring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1"/>
                <w:sz w:val="19"/>
                <w:szCs w:val="19"/>
              </w:rPr>
              <w:t xml:space="preserve">Tactile confirm; not jumpy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85041"/>
                <w:sz w:val="19"/>
                <w:szCs w:val="19"/>
              </w:rPr>
              <w:t xml:space="preserve">Button press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scale(0.98)</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100ms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19"/>
                <w:szCs w:val="19"/>
              </w:rPr>
              <w:t xml:space="preserve">ease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Subtle; confirms tap/click</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9.3 Rejected Motion Patterns</w:t>
      </w:r>
    </w:p>
    <w:p>
      <w:pPr>
        <w:spacing w:after="120" w:before="60"/>
      </w:pPr>
      <w:r>
        <w:rPr>
          <w:rFonts w:ascii="Arial" w:cs="Arial" w:eastAsia="Arial" w:hAnsi="Arial"/>
          <w:sz w:val="22"/>
          <w:szCs w:val="22"/>
        </w:rPr>
        <w:t xml:space="preserve">The following patterns are explicitly banned from the platform and must not appear in any design deliverable or production build:</w:t>
      </w:r>
    </w:p>
    <w:p>
      <w:pPr>
        <w:pStyle w:val="ListParagraph"/>
        <w:numPr>
          <w:ilvl w:val="0"/>
          <w:numId w:val="2"/>
        </w:numPr>
        <w:spacing w:after="60" w:before="40"/>
      </w:pPr>
      <w:r>
        <w:rPr>
          <w:rFonts w:ascii="Arial" w:cs="Arial" w:eastAsia="Arial" w:hAnsi="Arial"/>
          <w:sz w:val="22"/>
          <w:szCs w:val="22"/>
        </w:rPr>
        <w:t xml:space="preserve">Particle / canvas backgrounds of any kind</w:t>
      </w:r>
    </w:p>
    <w:p>
      <w:pPr>
        <w:pStyle w:val="ListParagraph"/>
        <w:numPr>
          <w:ilvl w:val="0"/>
          <w:numId w:val="2"/>
        </w:numPr>
        <w:spacing w:after="60" w:before="40"/>
      </w:pPr>
      <w:r>
        <w:rPr>
          <w:rFonts w:ascii="Arial" w:cs="Arial" w:eastAsia="Arial" w:hAnsi="Arial"/>
          <w:sz w:val="22"/>
          <w:szCs w:val="22"/>
        </w:rPr>
        <w:t xml:space="preserve">Spinning or rotating 3D objects</w:t>
      </w:r>
    </w:p>
    <w:p>
      <w:pPr>
        <w:pStyle w:val="ListParagraph"/>
        <w:numPr>
          <w:ilvl w:val="0"/>
          <w:numId w:val="2"/>
        </w:numPr>
        <w:spacing w:after="60" w:before="40"/>
      </w:pPr>
      <w:r>
        <w:rPr>
          <w:rFonts w:ascii="Arial" w:cs="Arial" w:eastAsia="Arial" w:hAnsi="Arial"/>
          <w:sz w:val="22"/>
          <w:szCs w:val="22"/>
        </w:rPr>
        <w:t xml:space="preserve">Parallax scrolling text or image layers</w:t>
      </w:r>
    </w:p>
    <w:p>
      <w:pPr>
        <w:pStyle w:val="ListParagraph"/>
        <w:numPr>
          <w:ilvl w:val="0"/>
          <w:numId w:val="2"/>
        </w:numPr>
        <w:spacing w:after="60" w:before="40"/>
      </w:pPr>
      <w:r>
        <w:rPr>
          <w:rFonts w:ascii="Arial" w:cs="Arial" w:eastAsia="Arial" w:hAnsi="Arial"/>
          <w:sz w:val="22"/>
          <w:szCs w:val="22"/>
        </w:rPr>
        <w:t xml:space="preserve">Autoplay video or audio in any section</w:t>
      </w:r>
    </w:p>
    <w:p>
      <w:pPr>
        <w:pStyle w:val="ListParagraph"/>
        <w:numPr>
          <w:ilvl w:val="0"/>
          <w:numId w:val="2"/>
        </w:numPr>
        <w:spacing w:after="60" w:before="40"/>
      </w:pPr>
      <w:r>
        <w:rPr>
          <w:rFonts w:ascii="Arial" w:cs="Arial" w:eastAsia="Arial" w:hAnsi="Arial"/>
          <w:sz w:val="22"/>
          <w:szCs w:val="22"/>
        </w:rPr>
        <w:t xml:space="preserve">Bounce easing on text or heading elements</w:t>
      </w:r>
    </w:p>
    <w:p>
      <w:pPr>
        <w:pStyle w:val="ListParagraph"/>
        <w:numPr>
          <w:ilvl w:val="0"/>
          <w:numId w:val="2"/>
        </w:numPr>
        <w:spacing w:after="60" w:before="40"/>
      </w:pPr>
      <w:r>
        <w:rPr>
          <w:rFonts w:ascii="Arial" w:cs="Arial" w:eastAsia="Arial" w:hAnsi="Arial"/>
          <w:sz w:val="22"/>
          <w:szCs w:val="22"/>
        </w:rPr>
        <w:t xml:space="preserve">Neon glow, drop shadows, or blur filters</w:t>
      </w:r>
    </w:p>
    <w:p>
      <w:pPr>
        <w:pStyle w:val="ListParagraph"/>
        <w:numPr>
          <w:ilvl w:val="0"/>
          <w:numId w:val="2"/>
        </w:numPr>
        <w:spacing w:after="60" w:before="40"/>
      </w:pPr>
      <w:r>
        <w:rPr>
          <w:rFonts w:ascii="Arial" w:cs="Arial" w:eastAsia="Arial" w:hAnsi="Arial"/>
          <w:sz w:val="22"/>
          <w:szCs w:val="22"/>
        </w:rPr>
        <w:t xml:space="preserve">Animations exceeding 700ms duration</w:t>
      </w:r>
    </w:p>
    <w:p>
      <w:pPr>
        <w:pStyle w:val="ListParagraph"/>
        <w:numPr>
          <w:ilvl w:val="0"/>
          <w:numId w:val="2"/>
        </w:numPr>
        <w:spacing w:after="60" w:before="40"/>
      </w:pPr>
      <w:r>
        <w:rPr>
          <w:rFonts w:ascii="Arial" w:cs="Arial" w:eastAsia="Arial" w:hAnsi="Arial"/>
          <w:sz w:val="22"/>
          <w:szCs w:val="22"/>
        </w:rPr>
        <w:t xml:space="preserve">Loading spinners on navigation transitions</w:t>
      </w:r>
    </w:p>
    <w:p>
      <w:pPr>
        <w:pStyle w:val="ListParagraph"/>
        <w:numPr>
          <w:ilvl w:val="0"/>
          <w:numId w:val="2"/>
        </w:numPr>
        <w:spacing w:after="60" w:before="40"/>
      </w:pPr>
      <w:r>
        <w:rPr>
          <w:rFonts w:ascii="Arial" w:cs="Arial" w:eastAsia="Arial" w:hAnsi="Arial"/>
          <w:sz w:val="22"/>
          <w:szCs w:val="22"/>
        </w:rPr>
        <w:t xml:space="preserve">Staggered letter-by-letter text reveal animations</w:t>
      </w:r>
    </w:p>
    <w:p>
      <w:pPr>
        <w:pStyle w:val="ListParagraph"/>
        <w:numPr>
          <w:ilvl w:val="0"/>
          <w:numId w:val="2"/>
        </w:numPr>
        <w:spacing w:after="60" w:before="40"/>
      </w:pPr>
      <w:r>
        <w:rPr>
          <w:rFonts w:ascii="Arial" w:cs="Arial" w:eastAsia="Arial" w:hAnsi="Arial"/>
          <w:sz w:val="22"/>
          <w:szCs w:val="22"/>
        </w:rPr>
        <w:t xml:space="preserve">Scroll-jacking (overriding native browser scroll behaviour)</w:t>
      </w:r>
    </w:p>
    <w:p>
      <w:pPr>
        <w:pStyle w:val="ListParagraph"/>
        <w:numPr>
          <w:ilvl w:val="0"/>
          <w:numId w:val="2"/>
        </w:numPr>
        <w:spacing w:after="60" w:before="40"/>
      </w:pPr>
      <w:r>
        <w:rPr>
          <w:rFonts w:ascii="Arial" w:cs="Arial" w:eastAsia="Arial" w:hAnsi="Arial"/>
          <w:sz w:val="22"/>
          <w:szCs w:val="22"/>
        </w:rPr>
        <w:t xml:space="preserve">Animated hero gradients or colour-shifting backgrounds</w:t>
      </w:r>
    </w:p>
    <w:p>
      <w:pPr>
        <w:pBdr>
          <w:bottom w:val="single" w:color="1D9E75" w:sz="6" w:space="1"/>
        </w:pBdr>
        <w:spacing w:after="200" w:before="200"/>
      </w:pPr>
    </w:p>
    <w:p>
      <w:r>
        <w:br w:type="page"/>
      </w:r>
    </w:p>
    <w:p>
      <w:pPr>
        <w:pStyle w:val="Heading1"/>
        <w:spacing w:after="180" w:before="420"/>
      </w:pPr>
      <w:r>
        <w:rPr>
          <w:rFonts w:ascii="Arial" w:cs="Arial" w:eastAsia="Arial" w:hAnsi="Arial"/>
          <w:b/>
          <w:bCs/>
          <w:color w:val="0F6E56"/>
          <w:sz w:val="40"/>
          <w:szCs w:val="40"/>
        </w:rPr>
        <w:t xml:space="preserve">Section 10 — Implementation Roadmap &amp; Priority Stack</w:t>
      </w:r>
    </w:p>
    <w:p>
      <w:pPr>
        <w:pStyle w:val="Heading2"/>
        <w:spacing w:after="120" w:before="300"/>
      </w:pPr>
      <w:r>
        <w:rPr>
          <w:rFonts w:ascii="Arial" w:cs="Arial" w:eastAsia="Arial" w:hAnsi="Arial"/>
          <w:b/>
          <w:bCs/>
          <w:color w:val="0F6E56"/>
          <w:sz w:val="30"/>
          <w:szCs w:val="30"/>
        </w:rPr>
        <w:t xml:space="preserve">10.1 Phase 1 — Foundation (Launch)</w:t>
      </w:r>
    </w:p>
    <w:p>
      <w:pPr>
        <w:spacing w:after="120" w:before="60"/>
      </w:pPr>
      <w:r>
        <w:rPr>
          <w:rFonts w:ascii="Arial" w:cs="Arial" w:eastAsia="Arial" w:hAnsi="Arial"/>
          <w:sz w:val="22"/>
          <w:szCs w:val="22"/>
        </w:rPr>
        <w:t xml:space="preserve">The following constitute the minimum viable design system for the platform launch. Nothing in this list is optional.</w:t>
      </w:r>
    </w:p>
    <w:p>
      <w:pPr>
        <w:pStyle w:val="ListParagraph"/>
        <w:numPr>
          <w:ilvl w:val="0"/>
          <w:numId w:val="3"/>
        </w:numPr>
        <w:spacing w:after="60" w:before="40"/>
      </w:pPr>
      <w:r>
        <w:rPr>
          <w:rFonts w:ascii="Arial" w:cs="Arial" w:eastAsia="Arial" w:hAnsi="Arial"/>
          <w:sz w:val="22"/>
          <w:szCs w:val="22"/>
        </w:rPr>
        <w:t xml:space="preserve">Design token file (CSS custom properties) for all colour, typography, and spacing tokens</w:t>
      </w:r>
    </w:p>
    <w:p>
      <w:pPr>
        <w:pStyle w:val="ListParagraph"/>
        <w:numPr>
          <w:ilvl w:val="0"/>
          <w:numId w:val="3"/>
        </w:numPr>
        <w:spacing w:after="60" w:before="40"/>
      </w:pPr>
      <w:r>
        <w:rPr>
          <w:rFonts w:ascii="Arial" w:cs="Arial" w:eastAsia="Arial" w:hAnsi="Arial"/>
          <w:sz w:val="22"/>
          <w:szCs w:val="22"/>
        </w:rPr>
        <w:t xml:space="preserve">Webfont stack: Cormorant Garamond (headings) + Source Serif 4 (body) + Inter (UI) + Shobhika (Devanāgarī) — preloaded for first 2, conditional for Shobhika</w:t>
      </w:r>
    </w:p>
    <w:p>
      <w:pPr>
        <w:pStyle w:val="ListParagraph"/>
        <w:numPr>
          <w:ilvl w:val="0"/>
          <w:numId w:val="3"/>
        </w:numPr>
        <w:spacing w:after="60" w:before="40"/>
      </w:pPr>
      <w:r>
        <w:rPr>
          <w:rFonts w:ascii="Arial" w:cs="Arial" w:eastAsia="Arial" w:hAnsi="Arial"/>
          <w:sz w:val="22"/>
          <w:szCs w:val="22"/>
        </w:rPr>
        <w:t xml:space="preserve">Homepage — all 6 zones with real content</w:t>
      </w:r>
    </w:p>
    <w:p>
      <w:pPr>
        <w:pStyle w:val="ListParagraph"/>
        <w:numPr>
          <w:ilvl w:val="0"/>
          <w:numId w:val="3"/>
        </w:numPr>
        <w:spacing w:after="60" w:before="40"/>
      </w:pPr>
      <w:r>
        <w:rPr>
          <w:rFonts w:ascii="Arial" w:cs="Arial" w:eastAsia="Arial" w:hAnsi="Arial"/>
          <w:sz w:val="22"/>
          <w:szCs w:val="22"/>
        </w:rPr>
        <w:t xml:space="preserve">Repository landing pages — all 3 (Thesis, Epigraphical, Literary History)</w:t>
      </w:r>
    </w:p>
    <w:p>
      <w:pPr>
        <w:pStyle w:val="ListParagraph"/>
        <w:numPr>
          <w:ilvl w:val="0"/>
          <w:numId w:val="3"/>
        </w:numPr>
        <w:spacing w:after="60" w:before="40"/>
      </w:pPr>
      <w:r>
        <w:rPr>
          <w:rFonts w:ascii="Arial" w:cs="Arial" w:eastAsia="Arial" w:hAnsi="Arial"/>
          <w:sz w:val="22"/>
          <w:szCs w:val="22"/>
        </w:rPr>
        <w:t xml:space="preserve">Repository entry card component with all mandatory fields</w:t>
      </w:r>
    </w:p>
    <w:p>
      <w:pPr>
        <w:pStyle w:val="ListParagraph"/>
        <w:numPr>
          <w:ilvl w:val="0"/>
          <w:numId w:val="3"/>
        </w:numPr>
        <w:spacing w:after="60" w:before="40"/>
      </w:pPr>
      <w:r>
        <w:rPr>
          <w:rFonts w:ascii="Arial" w:cs="Arial" w:eastAsia="Arial" w:hAnsi="Arial"/>
          <w:sz w:val="22"/>
          <w:szCs w:val="22"/>
        </w:rPr>
        <w:t xml:space="preserve">Reading mode component (Light / Sepia / Dark) — persistent</w:t>
      </w:r>
    </w:p>
    <w:p>
      <w:pPr>
        <w:pStyle w:val="ListParagraph"/>
        <w:numPr>
          <w:ilvl w:val="0"/>
          <w:numId w:val="3"/>
        </w:numPr>
        <w:spacing w:after="60" w:before="40"/>
      </w:pPr>
      <w:r>
        <w:rPr>
          <w:rFonts w:ascii="Arial" w:cs="Arial" w:eastAsia="Arial" w:hAnsi="Arial"/>
          <w:sz w:val="22"/>
          <w:szCs w:val="22"/>
        </w:rPr>
        <w:t xml:space="preserve">Script toggle component (Devanāgarī / IAST / Roman) — site-wide, persistent</w:t>
      </w:r>
    </w:p>
    <w:p>
      <w:pPr>
        <w:pStyle w:val="ListParagraph"/>
        <w:numPr>
          <w:ilvl w:val="0"/>
          <w:numId w:val="3"/>
        </w:numPr>
        <w:spacing w:after="60" w:before="40"/>
      </w:pPr>
      <w:r>
        <w:rPr>
          <w:rFonts w:ascii="Arial" w:cs="Arial" w:eastAsia="Arial" w:hAnsi="Arial"/>
          <w:sz w:val="22"/>
          <w:szCs w:val="22"/>
        </w:rPr>
        <w:t xml:space="preserve">Global search bar — basic text search with script normalisation</w:t>
      </w:r>
    </w:p>
    <w:p>
      <w:pPr>
        <w:pStyle w:val="ListParagraph"/>
        <w:numPr>
          <w:ilvl w:val="0"/>
          <w:numId w:val="3"/>
        </w:numPr>
        <w:spacing w:after="60" w:before="40"/>
      </w:pPr>
      <w:r>
        <w:rPr>
          <w:rFonts w:ascii="Arial" w:cs="Arial" w:eastAsia="Arial" w:hAnsi="Arial"/>
          <w:sz w:val="22"/>
          <w:szCs w:val="22"/>
        </w:rPr>
        <w:t xml:space="preserve">Event / Workshop card component</w:t>
      </w:r>
    </w:p>
    <w:p>
      <w:pPr>
        <w:pStyle w:val="ListParagraph"/>
        <w:numPr>
          <w:ilvl w:val="0"/>
          <w:numId w:val="3"/>
        </w:numPr>
        <w:spacing w:after="60" w:before="40"/>
      </w:pPr>
      <w:r>
        <w:rPr>
          <w:rFonts w:ascii="Arial" w:cs="Arial" w:eastAsia="Arial" w:hAnsi="Arial"/>
          <w:sz w:val="22"/>
          <w:szCs w:val="22"/>
        </w:rPr>
        <w:t xml:space="preserve">Contemporary Developments page — all 4 sub-tabs</w:t>
      </w:r>
    </w:p>
    <w:p>
      <w:pPr>
        <w:pStyle w:val="ListParagraph"/>
        <w:numPr>
          <w:ilvl w:val="0"/>
          <w:numId w:val="3"/>
        </w:numPr>
        <w:spacing w:after="60" w:before="40"/>
      </w:pPr>
      <w:r>
        <w:rPr>
          <w:rFonts w:ascii="Arial" w:cs="Arial" w:eastAsia="Arial" w:hAnsi="Arial"/>
          <w:sz w:val="22"/>
          <w:szCs w:val="22"/>
        </w:rPr>
        <w:t xml:space="preserve">About page with interactive timeline</w:t>
      </w:r>
    </w:p>
    <w:p>
      <w:pPr>
        <w:pStyle w:val="ListParagraph"/>
        <w:numPr>
          <w:ilvl w:val="0"/>
          <w:numId w:val="3"/>
        </w:numPr>
        <w:spacing w:after="60" w:before="40"/>
      </w:pPr>
      <w:r>
        <w:rPr>
          <w:rFonts w:ascii="Arial" w:cs="Arial" w:eastAsia="Arial" w:hAnsi="Arial"/>
          <w:sz w:val="22"/>
          <w:szCs w:val="22"/>
        </w:rPr>
        <w:t xml:space="preserve">Contact page + newsletter signup</w:t>
      </w:r>
    </w:p>
    <w:p>
      <w:pPr>
        <w:pStyle w:val="ListParagraph"/>
        <w:numPr>
          <w:ilvl w:val="0"/>
          <w:numId w:val="3"/>
        </w:numPr>
        <w:spacing w:after="60" w:before="40"/>
      </w:pPr>
      <w:r>
        <w:rPr>
          <w:rFonts w:ascii="Arial" w:cs="Arial" w:eastAsia="Arial" w:hAnsi="Arial"/>
          <w:sz w:val="22"/>
          <w:szCs w:val="22"/>
        </w:rPr>
        <w:t xml:space="preserve">Mobile-responsive navigation (bottom nav bar on mobile)</w:t>
      </w:r>
    </w:p>
    <w:p>
      <w:pPr>
        <w:pStyle w:val="ListParagraph"/>
        <w:numPr>
          <w:ilvl w:val="0"/>
          <w:numId w:val="3"/>
        </w:numPr>
        <w:spacing w:after="60" w:before="40"/>
      </w:pPr>
      <w:r>
        <w:rPr>
          <w:rFonts w:ascii="Arial" w:cs="Arial" w:eastAsia="Arial" w:hAnsi="Arial"/>
          <w:sz w:val="22"/>
          <w:szCs w:val="22"/>
        </w:rPr>
        <w:t xml:space="preserve">Dark mode for all components — no exceptions</w:t>
      </w:r>
    </w:p>
    <w:p>
      <w:pPr>
        <w:pStyle w:val="ListParagraph"/>
        <w:numPr>
          <w:ilvl w:val="0"/>
          <w:numId w:val="3"/>
        </w:numPr>
        <w:spacing w:after="60" w:before="40"/>
      </w:pPr>
      <w:r>
        <w:rPr>
          <w:rFonts w:ascii="Arial" w:cs="Arial" w:eastAsia="Arial" w:hAnsi="Arial"/>
          <w:sz w:val="22"/>
          <w:szCs w:val="22"/>
        </w:rPr>
        <w:t xml:space="preserve">WCAG AA compliance — AAA for article body text</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10.2 Phase 2 — Scholar Tools</w:t>
      </w:r>
    </w:p>
    <w:p>
      <w:pPr>
        <w:pStyle w:val="ListParagraph"/>
        <w:numPr>
          <w:ilvl w:val="0"/>
          <w:numId w:val="2"/>
        </w:numPr>
        <w:spacing w:after="60" w:before="40"/>
      </w:pPr>
      <w:r>
        <w:rPr>
          <w:rFonts w:ascii="Arial" w:cs="Arial" w:eastAsia="Arial" w:hAnsi="Arial"/>
          <w:sz w:val="22"/>
          <w:szCs w:val="22"/>
        </w:rPr>
        <w:t xml:space="preserve">Individual thesis, inscription, and literary history record detail pages</w:t>
      </w:r>
    </w:p>
    <w:p>
      <w:pPr>
        <w:pStyle w:val="ListParagraph"/>
        <w:numPr>
          <w:ilvl w:val="0"/>
          <w:numId w:val="2"/>
        </w:numPr>
        <w:spacing w:after="60" w:before="40"/>
      </w:pPr>
      <w:r>
        <w:rPr>
          <w:rFonts w:ascii="Arial" w:cs="Arial" w:eastAsia="Arial" w:hAnsi="Arial"/>
          <w:sz w:val="22"/>
          <w:szCs w:val="22"/>
        </w:rPr>
        <w:t xml:space="preserve">Article reading view with table of contents sidebar + progress indicator</w:t>
      </w:r>
    </w:p>
    <w:p>
      <w:pPr>
        <w:pStyle w:val="ListParagraph"/>
        <w:numPr>
          <w:ilvl w:val="0"/>
          <w:numId w:val="2"/>
        </w:numPr>
        <w:spacing w:after="60" w:before="40"/>
      </w:pPr>
      <w:r>
        <w:rPr>
          <w:rFonts w:ascii="Arial" w:cs="Arial" w:eastAsia="Arial" w:hAnsi="Arial"/>
          <w:sz w:val="22"/>
          <w:szCs w:val="22"/>
        </w:rPr>
        <w:t xml:space="preserve">Citation copier modal (5 formats: APA / Chicago / MLA / BibTeX / TEI-XML)</w:t>
      </w:r>
    </w:p>
    <w:p>
      <w:pPr>
        <w:pStyle w:val="ListParagraph"/>
        <w:numPr>
          <w:ilvl w:val="0"/>
          <w:numId w:val="2"/>
        </w:numPr>
        <w:spacing w:after="60" w:before="40"/>
      </w:pPr>
      <w:r>
        <w:rPr>
          <w:rFonts w:ascii="Arial" w:cs="Arial" w:eastAsia="Arial" w:hAnsi="Arial"/>
          <w:sz w:val="22"/>
          <w:szCs w:val="22"/>
        </w:rPr>
        <w:t xml:space="preserve">Scholar profile pages with contribution history</w:t>
      </w:r>
    </w:p>
    <w:p>
      <w:pPr>
        <w:pStyle w:val="ListParagraph"/>
        <w:numPr>
          <w:ilvl w:val="0"/>
          <w:numId w:val="2"/>
        </w:numPr>
        <w:spacing w:after="60" w:before="40"/>
      </w:pPr>
      <w:r>
        <w:rPr>
          <w:rFonts w:ascii="Arial" w:cs="Arial" w:eastAsia="Arial" w:hAnsi="Arial"/>
          <w:sz w:val="22"/>
          <w:szCs w:val="22"/>
        </w:rPr>
        <w:t xml:space="preserve">Faceted filter sidebar on repository listing pages</w:t>
      </w:r>
    </w:p>
    <w:p>
      <w:pPr>
        <w:pStyle w:val="ListParagraph"/>
        <w:numPr>
          <w:ilvl w:val="0"/>
          <w:numId w:val="2"/>
        </w:numPr>
        <w:spacing w:after="60" w:before="40"/>
      </w:pPr>
      <w:r>
        <w:rPr>
          <w:rFonts w:ascii="Arial" w:cs="Arial" w:eastAsia="Arial" w:hAnsi="Arial"/>
          <w:sz w:val="22"/>
          <w:szCs w:val="22"/>
        </w:rPr>
        <w:t xml:space="preserve">EPUB + PDF download for all publications</w:t>
      </w:r>
    </w:p>
    <w:p>
      <w:pPr>
        <w:pStyle w:val="ListParagraph"/>
        <w:numPr>
          <w:ilvl w:val="0"/>
          <w:numId w:val="2"/>
        </w:numPr>
        <w:spacing w:after="60" w:before="40"/>
      </w:pPr>
      <w:r>
        <w:rPr>
          <w:rFonts w:ascii="Arial" w:cs="Arial" w:eastAsia="Arial" w:hAnsi="Arial"/>
          <w:sz w:val="22"/>
          <w:szCs w:val="22"/>
        </w:rPr>
        <w:t xml:space="preserve">CFP tracker table with sortable deadlines</w:t>
      </w:r>
    </w:p>
    <w:p>
      <w:pPr>
        <w:pStyle w:val="ListParagraph"/>
        <w:numPr>
          <w:ilvl w:val="0"/>
          <w:numId w:val="2"/>
        </w:numPr>
        <w:spacing w:after="60" w:before="40"/>
      </w:pPr>
      <w:r>
        <w:rPr>
          <w:rFonts w:ascii="Arial" w:cs="Arial" w:eastAsia="Arial" w:hAnsi="Arial"/>
          <w:sz w:val="22"/>
          <w:szCs w:val="22"/>
        </w:rPr>
        <w:t xml:space="preserve">Inscription choropleth map (Leaflet.js + OpenStreetMap)</w:t>
      </w:r>
    </w:p>
    <w:p>
      <w:pPr>
        <w:pStyle w:val="ListParagraph"/>
        <w:numPr>
          <w:ilvl w:val="0"/>
          <w:numId w:val="2"/>
        </w:numPr>
        <w:spacing w:after="60" w:before="40"/>
      </w:pPr>
      <w:r>
        <w:rPr>
          <w:rFonts w:ascii="Arial" w:cs="Arial" w:eastAsia="Arial" w:hAnsi="Arial"/>
          <w:sz w:val="22"/>
          <w:szCs w:val="22"/>
        </w:rPr>
        <w:t xml:space="preserve">Annual journal issue viewer</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0F6E56"/>
          <w:sz w:val="30"/>
          <w:szCs w:val="30"/>
        </w:rPr>
        <w:t xml:space="preserve">10.3 Phase 3 — Community &amp; Intelligence</w:t>
      </w:r>
    </w:p>
    <w:p>
      <w:pPr>
        <w:pStyle w:val="ListParagraph"/>
        <w:numPr>
          <w:ilvl w:val="0"/>
          <w:numId w:val="2"/>
        </w:numPr>
        <w:spacing w:after="60" w:before="40"/>
      </w:pPr>
      <w:r>
        <w:rPr>
          <w:rFonts w:ascii="Arial" w:cs="Arial" w:eastAsia="Arial" w:hAnsi="Arial"/>
          <w:sz w:val="22"/>
          <w:szCs w:val="22"/>
        </w:rPr>
        <w:t xml:space="preserve">Contributor authoring flow (Markdown editor with Devanāgarī input + preview)</w:t>
      </w:r>
    </w:p>
    <w:p>
      <w:pPr>
        <w:pStyle w:val="ListParagraph"/>
        <w:numPr>
          <w:ilvl w:val="0"/>
          <w:numId w:val="2"/>
        </w:numPr>
        <w:spacing w:after="60" w:before="40"/>
      </w:pPr>
      <w:r>
        <w:rPr>
          <w:rFonts w:ascii="Arial" w:cs="Arial" w:eastAsia="Arial" w:hAnsi="Arial"/>
          <w:sz w:val="22"/>
          <w:szCs w:val="22"/>
        </w:rPr>
        <w:t xml:space="preserve">Volunteer and Ambassador portal with contribution dashboard</w:t>
      </w:r>
    </w:p>
    <w:p>
      <w:pPr>
        <w:pStyle w:val="ListParagraph"/>
        <w:numPr>
          <w:ilvl w:val="0"/>
          <w:numId w:val="2"/>
        </w:numPr>
        <w:spacing w:after="60" w:before="40"/>
      </w:pPr>
      <w:r>
        <w:rPr>
          <w:rFonts w:ascii="Arial" w:cs="Arial" w:eastAsia="Arial" w:hAnsi="Arial"/>
          <w:sz w:val="22"/>
          <w:szCs w:val="22"/>
        </w:rPr>
        <w:t xml:space="preserve">Sanskrit sandhi-aware search (IIT Kanpur SanskritShala API integration)</w:t>
      </w:r>
    </w:p>
    <w:p>
      <w:pPr>
        <w:pStyle w:val="ListParagraph"/>
        <w:numPr>
          <w:ilvl w:val="0"/>
          <w:numId w:val="2"/>
        </w:numPr>
        <w:spacing w:after="60" w:before="40"/>
      </w:pPr>
      <w:r>
        <w:rPr>
          <w:rFonts w:ascii="Arial" w:cs="Arial" w:eastAsia="Arial" w:hAnsi="Arial"/>
          <w:sz w:val="22"/>
          <w:szCs w:val="22"/>
        </w:rPr>
        <w:t xml:space="preserve">CFP email alert subscriptions by subject area</w:t>
      </w:r>
    </w:p>
    <w:p>
      <w:pPr>
        <w:pStyle w:val="ListParagraph"/>
        <w:numPr>
          <w:ilvl w:val="0"/>
          <w:numId w:val="2"/>
        </w:numPr>
        <w:spacing w:after="60" w:before="40"/>
      </w:pPr>
      <w:r>
        <w:rPr>
          <w:rFonts w:ascii="Arial" w:cs="Arial" w:eastAsia="Arial" w:hAnsi="Arial"/>
          <w:sz w:val="22"/>
          <w:szCs w:val="22"/>
        </w:rPr>
        <w:t xml:space="preserve">Community feed with contributor spotlight rotation</w:t>
      </w:r>
    </w:p>
    <w:p>
      <w:pPr>
        <w:pStyle w:val="ListParagraph"/>
        <w:numPr>
          <w:ilvl w:val="0"/>
          <w:numId w:val="2"/>
        </w:numPr>
        <w:spacing w:after="60" w:before="40"/>
      </w:pPr>
      <w:r>
        <w:rPr>
          <w:rFonts w:ascii="Arial" w:cs="Arial" w:eastAsia="Arial" w:hAnsi="Arial"/>
          <w:sz w:val="22"/>
          <w:szCs w:val="22"/>
        </w:rPr>
        <w:t xml:space="preserve">Multilingual interface (Hindi, Sanskrit, English)</w:t>
      </w:r>
    </w:p>
    <w:p>
      <w:pPr>
        <w:pStyle w:val="ListParagraph"/>
        <w:numPr>
          <w:ilvl w:val="0"/>
          <w:numId w:val="2"/>
        </w:numPr>
        <w:spacing w:after="60" w:before="40"/>
      </w:pPr>
      <w:r>
        <w:rPr>
          <w:rFonts w:ascii="Arial" w:cs="Arial" w:eastAsia="Arial" w:hAnsi="Arial"/>
          <w:sz w:val="22"/>
          <w:szCs w:val="22"/>
        </w:rPr>
        <w:t xml:space="preserve">User account system with saved searches and reading lists</w:t>
      </w:r>
    </w:p>
    <w:p>
      <w:pPr>
        <w:pBdr>
          <w:bottom w:val="single" w:color="1D9E75" w:sz="6" w:space="1"/>
        </w:pBdr>
        <w:spacing w:after="200" w:before="200"/>
      </w:pPr>
    </w:p>
    <w:p>
      <w:pPr>
        <w:spacing w:after="60" w:before="60"/>
      </w:pPr>
      <w:r>
        <w:rPr>
          <w:rFonts w:ascii="Arial" w:cs="Arial" w:eastAsia="Arial" w:hAnsi="Arial"/>
          <w:sz w:val="22"/>
          <w:szCs w:val="22"/>
        </w:rPr>
        <w:t xml:space="preserve"/>
      </w:r>
    </w:p>
    <w:p>
      <w:pPr>
        <w:pStyle w:val="Heading1"/>
        <w:spacing w:after="180" w:before="420"/>
      </w:pPr>
      <w:r>
        <w:rPr>
          <w:rFonts w:ascii="Arial" w:cs="Arial" w:eastAsia="Arial" w:hAnsi="Arial"/>
          <w:b/>
          <w:bCs/>
          <w:color w:val="0F6E56"/>
          <w:sz w:val="40"/>
          <w:szCs w:val="40"/>
        </w:rPr>
        <w:t xml:space="preserve">Document Control</w:t>
      </w:r>
    </w:p>
    <w:p>
      <w:pPr>
        <w:spacing w:after="120" w:before="60"/>
      </w:pPr>
      <w:r>
        <w:rPr>
          <w:rFonts w:ascii="Arial" w:cs="Arial" w:eastAsia="Arial" w:hAnsi="Arial"/>
          <w:sz w:val="22"/>
          <w:szCs w:val="22"/>
        </w:rPr>
        <w:t xml:space="preserve">This document is Version 1.0 of the Sanskrit Higher Education Platform Design System. It supersedes all prior informal design discussions and should be treated as the reference document for all design, development, and content decisions.</w:t>
      </w:r>
    </w:p>
    <w:p>
      <w:pPr>
        <w:spacing w:after="60" w:before="60"/>
      </w:pPr>
      <w:r>
        <w:rPr>
          <w:rFonts w:ascii="Arial" w:cs="Arial" w:eastAsia="Arial" w:hAnsi="Arial"/>
          <w:sz w:val="22"/>
          <w:szCs w:val="22"/>
        </w:rPr>
        <w:t xml:space="preserve"/>
      </w:r>
    </w:p>
    <w:p>
      <w:pPr>
        <w:spacing w:after="120" w:before="60"/>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120" w:before="60"/>
      </w:pPr>
      <w:r>
        <w:rPr>
          <w:rFonts w:ascii="Arial" w:cs="Arial" w:eastAsia="Arial" w:hAnsi="Arial"/>
          <w:b/>
          <w:bCs/>
          <w:sz w:val="22"/>
          <w:szCs w:val="22"/>
        </w:rPr>
        <w:t xml:space="preserve">Date: </w:t>
      </w:r>
      <w:r>
        <w:rPr>
          <w:rFonts w:ascii="Arial" w:cs="Arial" w:eastAsia="Arial" w:hAnsi="Arial"/>
          <w:sz w:val="22"/>
          <w:szCs w:val="22"/>
        </w:rPr>
        <w:t xml:space="preserve">June 2026</w:t>
      </w:r>
    </w:p>
    <w:p>
      <w:pPr>
        <w:spacing w:after="120" w:before="60"/>
      </w:pPr>
      <w:r>
        <w:rPr>
          <w:rFonts w:ascii="Arial" w:cs="Arial" w:eastAsia="Arial" w:hAnsi="Arial"/>
          <w:b/>
          <w:bCs/>
          <w:sz w:val="22"/>
          <w:szCs w:val="22"/>
        </w:rPr>
        <w:t xml:space="preserve">Prepared by: </w:t>
      </w:r>
      <w:r>
        <w:rPr>
          <w:rFonts w:ascii="Arial" w:cs="Arial" w:eastAsia="Arial" w:hAnsi="Arial"/>
          <w:sz w:val="22"/>
          <w:szCs w:val="22"/>
        </w:rPr>
        <w:t xml:space="preserve">Product Management &amp; Senior Design Review</w:t>
      </w:r>
    </w:p>
    <w:p>
      <w:pPr>
        <w:spacing w:after="120" w:before="60"/>
      </w:pPr>
      <w:r>
        <w:rPr>
          <w:rFonts w:ascii="Arial" w:cs="Arial" w:eastAsia="Arial" w:hAnsi="Arial"/>
          <w:b/>
          <w:bCs/>
          <w:sz w:val="22"/>
          <w:szCs w:val="22"/>
        </w:rPr>
        <w:t xml:space="preserve">Input sources: </w:t>
      </w:r>
      <w:r>
        <w:rPr>
          <w:rFonts w:ascii="Arial" w:cs="Arial" w:eastAsia="Arial" w:hAnsi="Arial"/>
          <w:sz w:val="22"/>
          <w:szCs w:val="22"/>
        </w:rPr>
        <w:t xml:space="preserve">Global Landscape Survey (50 institutions), competitive audit of 6 high-similarity websites, project founding transcript (audio), founder brief</w:t>
      </w:r>
    </w:p>
    <w:p>
      <w:pPr>
        <w:spacing w:after="120" w:before="60"/>
      </w:pPr>
      <w:r>
        <w:rPr>
          <w:rFonts w:ascii="Arial" w:cs="Arial" w:eastAsia="Arial" w:hAnsi="Arial"/>
          <w:b/>
          <w:bCs/>
          <w:sz w:val="22"/>
          <w:szCs w:val="22"/>
        </w:rPr>
        <w:t xml:space="preserve">Next review: </w:t>
      </w:r>
      <w:r>
        <w:rPr>
          <w:rFonts w:ascii="Arial" w:cs="Arial" w:eastAsia="Arial" w:hAnsi="Arial"/>
          <w:sz w:val="22"/>
          <w:szCs w:val="22"/>
        </w:rPr>
        <w:t xml:space="preserve">Upon completion of Phase 1 build — to incorporate user testing findings</w:t>
      </w:r>
    </w:p>
    <w:p>
      <w:pPr>
        <w:spacing w:after="120" w:before="60"/>
      </w:pPr>
      <w:r>
        <w:rPr>
          <w:rFonts w:ascii="Arial" w:cs="Arial" w:eastAsia="Arial" w:hAnsi="Arial"/>
          <w:b/>
          <w:bCs/>
          <w:sz w:val="22"/>
          <w:szCs w:val="22"/>
        </w:rPr>
        <w:t xml:space="preserve">Classification: </w:t>
      </w:r>
      <w:r>
        <w:rPr>
          <w:rFonts w:ascii="Arial" w:cs="Arial" w:eastAsia="Arial" w:hAnsi="Arial"/>
          <w:sz w:val="22"/>
          <w:szCs w:val="22"/>
        </w:rPr>
        <w:t xml:space="preserve">Internal Working Document</w:t>
      </w:r>
    </w:p>
    <w:p>
      <w:pPr>
        <w:spacing w:after="60" w:before="60"/>
      </w:pPr>
      <w:r>
        <w:rPr>
          <w:rFonts w:ascii="Arial" w:cs="Arial" w:eastAsia="Arial" w:hAnsi="Arial"/>
          <w:sz w:val="22"/>
          <w:szCs w:val="22"/>
        </w:rPr>
        <w:t xml:space="preserve"/>
      </w:r>
    </w:p>
    <w:p>
      <w:pPr>
        <w:spacing w:after="80" w:before="80"/>
      </w:pPr>
      <w:r>
        <w:rPr>
          <w:rFonts w:ascii="Arial" w:cs="Arial" w:eastAsia="Arial" w:hAnsi="Arial"/>
          <w:i/>
          <w:iCs/>
          <w:color w:val="B4B2A9"/>
          <w:sz w:val="18"/>
          <w:szCs w:val="18"/>
        </w:rPr>
        <w:t xml:space="preserve">—  End of Document  —</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spacing w:before="120"/>
      <w:jc w:val="right"/>
    </w:pPr>
    <w:r>
      <w:rPr>
        <w:rFonts w:ascii="Arial" w:cs="Arial" w:eastAsia="Arial" w:hAnsi="Arial"/>
        <w:color w:val="5F5E5A"/>
        <w:sz w:val="17"/>
        <w:szCs w:val="17"/>
      </w:rPr>
      <w:t xml:space="preserve">Page </w:t>
    </w:r>
    <w:r>
      <w:rPr>
        <w:rFonts w:ascii="Arial" w:cs="Arial" w:eastAsia="Arial" w:hAnsi="Arial"/>
        <w:color w:val="5F5E5A"/>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of </w:t>
    </w:r>
    <w:r>
      <w:rPr>
        <w:rFonts w:ascii="Arial" w:cs="Arial" w:eastAsia="Arial" w:hAnsi="Arial"/>
        <w:color w:val="5F5E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20" w:before="0"/>
    </w:pPr>
    <w:r>
      <w:rPr>
        <w:rFonts w:ascii="Arial" w:cs="Arial" w:eastAsia="Arial" w:hAnsi="Arial"/>
        <w:color w:val="5F5E5A"/>
        <w:sz w:val="17"/>
        <w:szCs w:val="17"/>
      </w:rPr>
      <w:t xml:space="preserve">Sanskrit Higher Education Platform  ·  Design System &amp; UX Guide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0F6E56"/>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2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2026-06-04T02:48:50.148Z</dcterms:created>
  <dcterms:modified xsi:type="dcterms:W3CDTF">2026-06-04T02:48:50.161Z</dcterms:modified>
</cp:coreProperties>
</file>

<file path=docProps/custom.xml><?xml version="1.0" encoding="utf-8"?>
<Properties xmlns="http://schemas.openxmlformats.org/officeDocument/2006/custom-properties" xmlns:vt="http://schemas.openxmlformats.org/officeDocument/2006/docPropsVTypes"/>
</file>