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Budget familial 2024 - prévisions validées en janvier.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Poste</w:t>
            </w:r>
          </w:p>
        </w:tc>
        <w:tc>
          <w:tcPr>
            <w:tcW w:type="dxa" w:w="4320"/>
          </w:tcPr>
          <w:p>
            <w:r>
              <w:t>Budget annuel (euros)</w:t>
            </w:r>
          </w:p>
        </w:tc>
      </w:tr>
      <w:tr>
        <w:tc>
          <w:tcPr>
            <w:tcW w:type="dxa" w:w="4320"/>
          </w:tcPr>
          <w:p>
            <w:r>
              <w:t>Vacances</w:t>
            </w:r>
          </w:p>
        </w:tc>
        <w:tc>
          <w:tcPr>
            <w:tcW w:type="dxa" w:w="4320"/>
          </w:tcPr>
          <w:p>
            <w:r>
              <w:t>1800</w:t>
            </w:r>
          </w:p>
        </w:tc>
      </w:tr>
      <w:tr>
        <w:tc>
          <w:tcPr>
            <w:tcW w:type="dxa" w:w="4320"/>
          </w:tcPr>
          <w:p>
            <w:r>
              <w:t>Loisirs des enfants</w:t>
            </w:r>
          </w:p>
        </w:tc>
        <w:tc>
          <w:tcPr>
            <w:tcW w:type="dxa" w:w="4320"/>
          </w:tcPr>
          <w:p>
            <w:r>
              <w:t>950</w:t>
            </w:r>
          </w:p>
        </w:tc>
      </w:tr>
      <w:tr>
        <w:tc>
          <w:tcPr>
            <w:tcW w:type="dxa" w:w="4320"/>
          </w:tcPr>
          <w:p>
            <w:r>
              <w:t>Cadeaux de Noël</w:t>
            </w:r>
          </w:p>
        </w:tc>
        <w:tc>
          <w:tcPr>
            <w:tcW w:type="dxa" w:w="4320"/>
          </w:tcPr>
          <w:p>
            <w:r>
              <w:t>600</w:t>
            </w:r>
          </w:p>
        </w:tc>
      </w:tr>
    </w:tbl>
    <w:p>
      <w:r>
        <w:t>Le budget sera révisé en juillet.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