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3A5C"/>
          <w:sz w:val="34"/>
          <w:szCs w:val="34"/>
        </w:rPr>
        <w:t xml:space="preserve">REPLICATION PACKAGE</w:t>
      </w:r>
    </w:p>
    <w:p>
      <w:pPr>
        <w:pBdr>
          <w:bottom w:val="single" w:color="2B4C7E" w:sz="6" w:space="8"/>
        </w:pBdr>
        <w:spacing w:after="40"/>
        <w:jc w:val="center"/>
      </w:pPr>
    </w:p>
    <w:p>
      <w:pPr>
        <w:spacing w:after="60" w:before="160"/>
        <w:jc w:val="center"/>
      </w:pPr>
      <w:r>
        <w:rPr>
          <w:rFonts w:ascii="Arial" w:cs="Arial" w:eastAsia="Arial" w:hAnsi="Arial"/>
          <w:i/>
          <w:iCs/>
          <w:color w:val="444444"/>
          <w:sz w:val="24"/>
          <w:szCs w:val="24"/>
        </w:rPr>
        <w:t xml:space="preserve">Generative AI and early suggestive evidence of hollowing out</w:t>
      </w:r>
    </w:p>
    <w:p>
      <w:pPr>
        <w:spacing w:after="300"/>
        <w:jc w:val="center"/>
      </w:pPr>
      <w:r>
        <w:rPr>
          <w:rFonts w:ascii="Arial" w:cs="Arial" w:eastAsia="Arial" w:hAnsi="Arial"/>
          <w:i/>
          <w:iCs/>
          <w:color w:val="444444"/>
          <w:sz w:val="24"/>
          <w:szCs w:val="24"/>
        </w:rPr>
        <w:t xml:space="preserve">in the nonmanagerial technical layer</w:t>
      </w:r>
    </w:p>
    <w:p>
      <w:pPr>
        <w:pStyle w:val="Heading1"/>
        <w:spacing w:after="200" w:before="360"/>
      </w:pPr>
      <w:r>
        <w:rPr>
          <w:rFonts w:ascii="Arial" w:cs="Arial" w:eastAsia="Arial" w:hAnsi="Arial"/>
          <w:b/>
          <w:bCs/>
          <w:color w:val="1A3A5C"/>
          <w:sz w:val="30"/>
          <w:szCs w:val="30"/>
        </w:rPr>
        <w:t xml:space="preserve">Overview</w:t>
      </w:r>
    </w:p>
    <w:p>
      <w:pPr>
        <w:spacing w:after="140" w:line="276"/>
      </w:pPr>
      <w:r>
        <w:rPr>
          <w:rFonts w:ascii="Arial" w:cs="Arial" w:eastAsia="Arial" w:hAnsi="Arial"/>
          <w:sz w:val="21"/>
          <w:szCs w:val="21"/>
        </w:rPr>
        <w:t xml:space="preserve">This package contains the data, code, and documentation needed to reproduce all tables and figures in the manuscript. The analysis uses U.S. Bureau of Labor Statistics Occupational Employment and Wage Statistics (OEWS) data from May 2015, 2016, 2017, 2018, 2021, 2022, 2023, and 2024. Years 2019 and 2020 are excluded because of the SOC reclassification transition and pandemic-period comparability break.</w:t>
      </w:r>
    </w:p>
    <w:p>
      <w:pPr>
        <w:pStyle w:val="Heading2"/>
        <w:spacing w:after="160" w:before="280"/>
      </w:pPr>
      <w:r>
        <w:rPr>
          <w:rFonts w:ascii="Arial" w:cs="Arial" w:eastAsia="Arial" w:hAnsi="Arial"/>
          <w:b/>
          <w:bCs/>
          <w:color w:val="2B4C7E"/>
          <w:sz w:val="24"/>
          <w:szCs w:val="24"/>
        </w:rPr>
        <w:t xml:space="preserve">SOC 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Occupation</w:t>
            </w:r>
          </w:p>
        </w:tc>
        <w:tc>
          <w:tcPr>
            <w:tcW w:type="dxa" w:w="30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2010 SOC</w:t>
            </w:r>
          </w:p>
        </w:tc>
        <w:tc>
          <w:tcPr>
            <w:tcW w:type="dxa" w:w="256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2018 SOC</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Software Developers (nonmanagerial, primary)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15-1132 + 15-1133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15-1252</w:t>
            </w:r>
          </w:p>
        </w:tc>
      </w:tr>
      <w:tr>
        <w:tc>
          <w:tcPr>
            <w:tcW w:type="dxa" w:w="3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Computer Programmers (nonmanagerial, secondary)</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15-1131</w:t>
            </w:r>
          </w:p>
        </w:tc>
        <w:tc>
          <w:tcPr>
            <w:tcW w:type="dxa" w:w="2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15-1251</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CIS Managers (managerial, both specs)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11-3021</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11-3021</w:t>
            </w:r>
          </w:p>
        </w:tc>
      </w:tr>
    </w:tbl>
    <w:p>
      <w:pPr>
        <w:spacing w:after="140" w:line="276"/>
      </w:pPr>
      <w:r>
        <w:rPr>
          <w:rFonts w:ascii="Arial" w:cs="Arial" w:eastAsia="Arial" w:hAnsi="Arial"/>
          <w:sz w:val="21"/>
          <w:szCs w:val="21"/>
        </w:rPr>
        <w:t xml:space="preserve"/>
      </w:r>
    </w:p>
    <w:p>
      <w:pPr>
        <w:pStyle w:val="Heading1"/>
        <w:spacing w:after="200" w:before="360"/>
      </w:pPr>
      <w:r>
        <w:rPr>
          <w:rFonts w:ascii="Arial" w:cs="Arial" w:eastAsia="Arial" w:hAnsi="Arial"/>
          <w:b/>
          <w:bCs/>
          <w:color w:val="1A3A5C"/>
          <w:sz w:val="30"/>
          <w:szCs w:val="30"/>
        </w:rPr>
        <w:t xml:space="preserve">Analysis-ready panel data</w:t>
      </w:r>
    </w:p>
    <w:p>
      <w:pPr>
        <w:spacing w:after="140" w:line="276"/>
      </w:pPr>
      <w:r>
        <w:rPr>
          <w:rFonts w:ascii="Arial" w:cs="Arial" w:eastAsia="Arial" w:hAnsi="Arial"/>
          <w:sz w:val="21"/>
          <w:szCs w:val="21"/>
        </w:rPr>
        <w:t xml:space="preserve">These are the primary inputs for replication. Each file contains one row per metropolitan area per one-year window, with all variables used in the regressions.</w:t>
      </w:r>
    </w:p>
    <w:p>
      <w:pPr>
        <w:spacing w:after="140" w:line="276"/>
      </w:pPr>
      <w:r>
        <w:rPr>
          <w:rFonts w:ascii="Arial" w:cs="Arial" w:eastAsia="Arial" w:hAnsi="Arial"/>
          <w:b/>
          <w:bCs/>
          <w:sz w:val="21"/>
          <w:szCs w:val="21"/>
        </w:rPr>
        <w:t xml:space="preserve">softwaredev_cismanager_panel.csv — </w:t>
      </w:r>
      <w:r>
        <w:rPr>
          <w:rFonts w:ascii="Arial" w:cs="Arial" w:eastAsia="Arial" w:hAnsi="Arial"/>
          <w:sz w:val="21"/>
          <w:szCs w:val="21"/>
        </w:rPr>
        <w:t xml:space="preserve">Primary specification. Software developers vs. CIS managers. 1,625 observations across 6 windows.</w:t>
      </w:r>
    </w:p>
    <w:p>
      <w:pPr>
        <w:spacing w:after="140" w:line="276"/>
      </w:pPr>
      <w:r>
        <w:rPr>
          <w:rFonts w:ascii="Arial" w:cs="Arial" w:eastAsia="Arial" w:hAnsi="Arial"/>
          <w:b/>
          <w:bCs/>
          <w:sz w:val="21"/>
          <w:szCs w:val="21"/>
        </w:rPr>
        <w:t xml:space="preserve">programmer_cismanager_panel.csv — </w:t>
      </w:r>
      <w:r>
        <w:rPr>
          <w:rFonts w:ascii="Arial" w:cs="Arial" w:eastAsia="Arial" w:hAnsi="Arial"/>
          <w:sz w:val="21"/>
          <w:szCs w:val="21"/>
        </w:rPr>
        <w:t xml:space="preserve">Secondary specification. Computer programmers vs. CIS managers. 1,325 observations across 6 windows.</w:t>
      </w:r>
    </w:p>
    <w:p>
      <w:pPr>
        <w:pStyle w:val="Heading2"/>
        <w:spacing w:after="160" w:before="280"/>
      </w:pPr>
      <w:r>
        <w:rPr>
          <w:rFonts w:ascii="Arial" w:cs="Arial" w:eastAsia="Arial" w:hAnsi="Arial"/>
          <w:b/>
          <w:bCs/>
          <w:color w:val="2B4C7E"/>
          <w:sz w:val="24"/>
          <w:szCs w:val="24"/>
        </w:rPr>
        <w:t xml:space="preserve">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616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window</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Year pair (e.g. 2015-2016)</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start_year / end_year</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Base year (t) and end year (t+1)</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role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 label (Pre-gAI, Early gAI diffusion, Broader gAI diffusion)</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area_code / area_name</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OEWS metropolitan area FIPS-based code and name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nonmgr_occ_code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SOC code for the nonmanagerial occupation</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mgr_occ_code</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SOC code for the managerial occupation (always 11-3021)</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nonmgr_emp_t / nonmgr_emp_t1</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Nonmanagerial employment at time t and t+1</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mgr_emp_t / mgr_emp_t1</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Managerial employment at time t and t+1</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dln_nonmgr_mgr_emp_ratio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Δ ln(Nonmgr Emp / Mgr Emp) = ln(nonmgr_t1/mgr_t1) − ln(nonmgr_t/mgr_t)</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weight</w:t>
            </w:r>
          </w:p>
        </w:tc>
        <w:tc>
          <w:tcPr>
            <w:tcW w:type="dxa" w:w="6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Base-year total employment = nonmgr_emp_t + mgr_emp_t</w:t>
            </w:r>
          </w:p>
        </w:tc>
      </w:tr>
    </w:tbl>
    <w:p>
      <w:pPr>
        <w:spacing w:after="140" w:line="276"/>
      </w:pPr>
      <w:r>
        <w:rPr>
          <w:rFonts w:ascii="Arial" w:cs="Arial" w:eastAsia="Arial" w:hAnsi="Arial"/>
          <w:sz w:val="21"/>
          <w:szCs w:val="21"/>
        </w:rPr>
        <w:t xml:space="preserve"/>
      </w:r>
    </w:p>
    <w:p>
      <w:pPr>
        <w:spacing w:after="140" w:line="276"/>
        <w:rPr>
          <w:i/>
          <w:iCs/>
        </w:rPr>
      </w:pPr>
      <w:r>
        <w:rPr>
          <w:rFonts w:ascii="Arial" w:cs="Arial" w:eastAsia="Arial" w:hAnsi="Arial"/>
          <w:i/>
          <w:iCs/>
          <w:sz w:val="21"/>
          <w:szCs w:val="21"/>
        </w:rPr>
        <w:t xml:space="preserve">The panel files also retain wage columns (nonmgr_wage_t, mgr_wage_t, and dln_nonmgr_mgr_wage_ratio) for completeness. No wage-based results are reported in the manuscript and those variables are not required to reproduce any table or figure.</w:t>
      </w:r>
    </w:p>
    <w:p>
      <w:pPr>
        <w:pStyle w:val="Heading2"/>
        <w:spacing w:after="160" w:before="280"/>
      </w:pPr>
      <w:r>
        <w:rPr>
          <w:rFonts w:ascii="Arial" w:cs="Arial" w:eastAsia="Arial" w:hAnsi="Arial"/>
          <w:b/>
          <w:bCs/>
          <w:color w:val="2B4C7E"/>
          <w:sz w:val="24"/>
          <w:szCs w:val="24"/>
        </w:rPr>
        <w:t xml:space="preserve">Panel construction</w:t>
      </w:r>
    </w:p>
    <w:p>
      <w:pPr>
        <w:pStyle w:val="ListParagraph"/>
        <w:numPr>
          <w:ilvl w:val="0"/>
          <w:numId w:val="2"/>
        </w:numPr>
        <w:spacing w:after="80"/>
      </w:pPr>
      <w:r>
        <w:rPr>
          <w:rFonts w:ascii="Arial" w:cs="Arial" w:eastAsia="Arial" w:hAnsi="Arial"/>
          <w:sz w:val="21"/>
          <w:szCs w:val="21"/>
        </w:rPr>
        <w:t xml:space="preserve">Filter raw OEWS data to metropolitan statistical areas (AREA_TYPE = 4) for the relevant SOC codes.</w:t>
      </w:r>
    </w:p>
    <w:p>
      <w:pPr>
        <w:pStyle w:val="ListParagraph"/>
        <w:numPr>
          <w:ilvl w:val="0"/>
          <w:numId w:val="2"/>
        </w:numPr>
        <w:spacing w:after="80"/>
      </w:pPr>
      <w:r>
        <w:rPr>
          <w:rFonts w:ascii="Arial" w:cs="Arial" w:eastAsia="Arial" w:hAnsi="Arial"/>
          <w:sz w:val="21"/>
          <w:szCs w:val="21"/>
        </w:rPr>
        <w:t xml:space="preserve">For each one-year window, retain only MSAs present in both years for both the nonmanagerial and managerial occupation.</w:t>
      </w:r>
    </w:p>
    <w:p>
      <w:pPr>
        <w:pStyle w:val="ListParagraph"/>
        <w:numPr>
          <w:ilvl w:val="0"/>
          <w:numId w:val="2"/>
        </w:numPr>
        <w:spacing w:after="80"/>
      </w:pPr>
      <w:r>
        <w:rPr>
          <w:rFonts w:ascii="Arial" w:cs="Arial" w:eastAsia="Arial" w:hAnsi="Arial"/>
          <w:sz w:val="21"/>
          <w:szCs w:val="21"/>
        </w:rPr>
        <w:t xml:space="preserve">Drop MSAs where OEWS employment estimates are suppressed or flagged as unreliable.</w:t>
      </w:r>
    </w:p>
    <w:p>
      <w:pPr>
        <w:pStyle w:val="ListParagraph"/>
        <w:numPr>
          <w:ilvl w:val="0"/>
          <w:numId w:val="2"/>
        </w:numPr>
        <w:spacing w:after="80"/>
      </w:pPr>
      <w:r>
        <w:rPr>
          <w:rFonts w:ascii="Arial" w:cs="Arial" w:eastAsia="Arial" w:hAnsi="Arial"/>
          <w:sz w:val="21"/>
          <w:szCs w:val="21"/>
        </w:rPr>
        <w:t xml:space="preserve">The resulting set constitutes the window-specific balanced analytic sample.</w:t>
      </w:r>
    </w:p>
    <w:p>
      <w:pPr>
        <w:pStyle w:val="Heading1"/>
        <w:spacing w:after="200" w:before="360"/>
      </w:pPr>
      <w:r>
        <w:rPr>
          <w:rFonts w:ascii="Arial" w:cs="Arial" w:eastAsia="Arial" w:hAnsi="Arial"/>
          <w:b/>
          <w:bCs/>
          <w:color w:val="1A3A5C"/>
          <w:sz w:val="30"/>
          <w:szCs w:val="30"/>
        </w:rPr>
        <w:t xml:space="preserve">Figure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c>
          <w:tcPr>
            <w:tcW w:type="dxa" w:w="46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9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Fig.</w:t>
            </w:r>
          </w:p>
        </w:tc>
        <w:tc>
          <w:tcPr>
            <w:tcW w:type="dxa" w:w="386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figure1_softwaredev_annual_summary.csv</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Regime-consistent total employment and nonmgr/mgr ratio for software developers and CIS managers</w:t>
            </w:r>
          </w:p>
        </w:tc>
      </w:tr>
      <w:tr>
        <w:tc>
          <w:tcPr>
            <w:tcW w:type="dxa" w:w="4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figure2_programmer_annual_summary.csv</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w:t>
            </w:r>
          </w:p>
        </w:tc>
        <w:tc>
          <w:tcPr>
            <w:tcW w:type="dxa" w:w="3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Same for computer programmers</w:t>
            </w:r>
          </w:p>
        </w:tc>
      </w:tr>
      <w:tr>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figure3_4_softwaredev_quadrant_shares.csv</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Employment-weighted quadrant decomposition for software developers</w:t>
            </w:r>
          </w:p>
        </w:tc>
      </w:tr>
      <w:tr>
        <w:tc>
          <w:tcPr>
            <w:tcW w:type="dxa" w:w="4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figure5_6_programmer_quadrant_shares.csv</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5–6</w:t>
            </w:r>
          </w:p>
        </w:tc>
        <w:tc>
          <w:tcPr>
            <w:tcW w:type="dxa" w:w="3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Same for computer programmers</w:t>
            </w:r>
          </w:p>
        </w:tc>
      </w:tr>
    </w:tbl>
    <w:p>
      <w:pPr>
        <w:spacing w:after="14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Figs. 1–2 use regime-consistent MSA sets: for each SOC coding regime, only MSAs present in all windows within that regime are included, ensuring comparable employment totals across years. Employment values are sums across all common MSAs. The nonmanagerial-to-managerial ratio is computed from these totals.</w:t>
      </w:r>
    </w:p>
    <w:p>
      <w:pPr>
        <w:spacing w:after="140" w:line="276"/>
      </w:pPr>
      <w:r>
        <w:rPr>
          <w:rFonts w:ascii="Arial" w:cs="Arial" w:eastAsia="Arial" w:hAnsi="Arial"/>
          <w:sz w:val="21"/>
          <w:szCs w:val="21"/>
        </w:rPr>
        <w:t xml:space="preserve">Figs. 3–6 quadrant labels: Parallel Growth (both ↑), Ratio Compression (nonmgr ↓ mgr ↑), Ratio Expansion (nonmgr ↑ mgr ↓), Parallel Contraction (both ↓). Shares are employment-weighted.</w:t>
      </w:r>
    </w:p>
    <w:p>
      <w:pPr>
        <w:pStyle w:val="Heading1"/>
        <w:spacing w:after="200" w:before="360"/>
      </w:pPr>
      <w:r>
        <w:rPr>
          <w:rFonts w:ascii="Arial" w:cs="Arial" w:eastAsia="Arial" w:hAnsi="Arial"/>
          <w:b/>
          <w:bCs/>
          <w:color w:val="1A3A5C"/>
          <w:sz w:val="30"/>
          <w:szCs w:val="30"/>
        </w:rPr>
        <w:t xml:space="preserve">Output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c>
          <w:tcPr>
            <w:tcW w:type="dxa" w:w="46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9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w:t>
            </w:r>
          </w:p>
        </w:tc>
        <w:tc>
          <w:tcPr>
            <w:tcW w:type="dxa" w:w="386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table1_softwaredev_emp_regression.csv</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WLS intercept-only: Δln(nonmgr/mgr employment ratio), software developers</w:t>
            </w:r>
          </w:p>
        </w:tc>
      </w:tr>
      <w:tr>
        <w:tc>
          <w:tcPr>
            <w:tcW w:type="dxa" w:w="4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table2_programmer_emp_regression.csv</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w:t>
            </w:r>
          </w:p>
        </w:tc>
        <w:tc>
          <w:tcPr>
            <w:tcW w:type="dxa" w:w="3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Same for computer programmers</w:t>
            </w:r>
          </w:p>
        </w:tc>
      </w:tr>
    </w:tbl>
    <w:p>
      <w:pPr>
        <w:pStyle w:val="Heading1"/>
        <w:spacing w:after="200" w:before="360"/>
      </w:pPr>
      <w:r>
        <w:rPr>
          <w:rFonts w:ascii="Arial" w:cs="Arial" w:eastAsia="Arial" w:hAnsi="Arial"/>
          <w:b/>
          <w:bCs/>
          <w:color w:val="1A3A5C"/>
          <w:sz w:val="30"/>
          <w:szCs w:val="30"/>
        </w:rPr>
        <w:t xml:space="preserve">Replication code</w:t>
      </w:r>
    </w:p>
    <w:p>
      <w:pPr>
        <w:pStyle w:val="Heading2"/>
        <w:spacing w:after="160" w:before="280"/>
      </w:pPr>
      <w:r>
        <w:rPr>
          <w:rFonts w:ascii="Arial" w:cs="Arial" w:eastAsia="Arial" w:hAnsi="Arial"/>
          <w:b/>
          <w:bCs/>
          <w:color w:val="2B4C7E"/>
          <w:sz w:val="24"/>
          <w:szCs w:val="24"/>
        </w:rPr>
        <w:t xml:space="preserve">replicate.py</w:t>
      </w:r>
    </w:p>
    <w:p>
      <w:pPr>
        <w:spacing w:after="140" w:line="276"/>
      </w:pPr>
      <w:r>
        <w:rPr>
          <w:rFonts w:ascii="Arial" w:cs="Arial" w:eastAsia="Arial" w:hAnsi="Arial"/>
          <w:sz w:val="21"/>
          <w:szCs w:val="21"/>
        </w:rPr>
        <w:t xml:space="preserve">A single self-contained Python script that reproduces all tables and figures:</w:t>
      </w:r>
    </w:p>
    <w:p>
      <w:pPr>
        <w:pStyle w:val="ListParagraph"/>
        <w:numPr>
          <w:ilvl w:val="0"/>
          <w:numId w:val="3"/>
        </w:numPr>
        <w:spacing w:after="80"/>
      </w:pPr>
      <w:r>
        <w:rPr>
          <w:rFonts w:ascii="Arial" w:cs="Arial" w:eastAsia="Arial" w:hAnsi="Arial"/>
          <w:sz w:val="21"/>
          <w:szCs w:val="21"/>
        </w:rPr>
        <w:t xml:space="preserve">Loads the two panel CSVs.</w:t>
      </w:r>
    </w:p>
    <w:p>
      <w:pPr>
        <w:pStyle w:val="ListParagraph"/>
        <w:numPr>
          <w:ilvl w:val="0"/>
          <w:numId w:val="3"/>
        </w:numPr>
        <w:spacing w:after="80"/>
      </w:pPr>
      <w:r>
        <w:rPr>
          <w:rFonts w:ascii="Arial" w:cs="Arial" w:eastAsia="Arial" w:hAnsi="Arial"/>
          <w:sz w:val="21"/>
          <w:szCs w:val="21"/>
        </w:rPr>
        <w:t xml:space="preserve">Runs intercept-only WLS regressions of Δln(nonmgr/mgr employment ratio) on a constant, using base-year employment weights and HC1 robust standard errors.</w:t>
      </w:r>
    </w:p>
    <w:p>
      <w:pPr>
        <w:pStyle w:val="ListParagraph"/>
        <w:numPr>
          <w:ilvl w:val="0"/>
          <w:numId w:val="3"/>
        </w:numPr>
        <w:spacing w:after="80"/>
      </w:pPr>
      <w:r>
        <w:rPr>
          <w:rFonts w:ascii="Arial" w:cs="Arial" w:eastAsia="Arial" w:hAnsi="Arial"/>
          <w:sz w:val="21"/>
          <w:szCs w:val="21"/>
        </w:rPr>
        <w:t xml:space="preserve">Computes regime-consistent annual employment totals for Figs. 1–2.</w:t>
      </w:r>
    </w:p>
    <w:p>
      <w:pPr>
        <w:pStyle w:val="ListParagraph"/>
        <w:numPr>
          <w:ilvl w:val="0"/>
          <w:numId w:val="3"/>
        </w:numPr>
        <w:spacing w:after="80"/>
      </w:pPr>
      <w:r>
        <w:rPr>
          <w:rFonts w:ascii="Arial" w:cs="Arial" w:eastAsia="Arial" w:hAnsi="Arial"/>
          <w:sz w:val="21"/>
          <w:szCs w:val="21"/>
        </w:rPr>
        <w:t xml:space="preserve">Computes quadrant-decomposition shares for Figs. 3–6.</w:t>
      </w:r>
    </w:p>
    <w:p>
      <w:pPr>
        <w:pStyle w:val="ListParagraph"/>
        <w:numPr>
          <w:ilvl w:val="0"/>
          <w:numId w:val="3"/>
        </w:numPr>
        <w:spacing w:after="80"/>
      </w:pPr>
      <w:r>
        <w:rPr>
          <w:rFonts w:ascii="Arial" w:cs="Arial" w:eastAsia="Arial" w:hAnsi="Arial"/>
          <w:sz w:val="21"/>
          <w:szCs w:val="21"/>
        </w:rPr>
        <w:t xml:space="preserve">Generates Figs. 1–2 as PNG files.</w:t>
      </w:r>
    </w:p>
    <w:p>
      <w:pPr>
        <w:pStyle w:val="ListParagraph"/>
        <w:numPr>
          <w:ilvl w:val="0"/>
          <w:numId w:val="3"/>
        </w:numPr>
        <w:spacing w:after="80"/>
      </w:pPr>
      <w:r>
        <w:rPr>
          <w:rFonts w:ascii="Arial" w:cs="Arial" w:eastAsia="Arial" w:hAnsi="Arial"/>
          <w:sz w:val="21"/>
          <w:szCs w:val="21"/>
        </w:rPr>
        <w:t xml:space="preserve">Writes all output CSVs to ./output/ and prints verification checks against manuscript values.</w:t>
      </w:r>
    </w:p>
    <w:p>
      <w:pPr>
        <w:pStyle w:val="Heading2"/>
        <w:spacing w:after="160" w:before="280"/>
      </w:pPr>
      <w:r>
        <w:rPr>
          <w:rFonts w:ascii="Arial" w:cs="Arial" w:eastAsia="Arial" w:hAnsi="Arial"/>
          <w:b/>
          <w:bCs/>
          <w:color w:val="2B4C7E"/>
          <w:sz w:val="24"/>
          <w:szCs w:val="24"/>
        </w:rPr>
        <w:t xml:space="preserve">Requirements</w:t>
      </w:r>
    </w:p>
    <w:p>
      <w:pPr>
        <w:spacing w:after="80"/>
        <w:ind w:left="360"/>
      </w:pPr>
      <w:r>
        <w:rPr>
          <w:rFonts w:ascii="Courier New" w:cs="Courier New" w:eastAsia="Courier New" w:hAnsi="Courier New"/>
          <w:color w:val="333333"/>
          <w:sz w:val="19"/>
          <w:szCs w:val="19"/>
        </w:rPr>
        <w:t xml:space="preserve">pip install pandas numpy statsmodels matplotlib</w:t>
      </w:r>
    </w:p>
    <w:p>
      <w:pPr>
        <w:pStyle w:val="Heading2"/>
        <w:spacing w:after="160" w:before="280"/>
      </w:pPr>
      <w:r>
        <w:rPr>
          <w:rFonts w:ascii="Arial" w:cs="Arial" w:eastAsia="Arial" w:hAnsi="Arial"/>
          <w:b/>
          <w:bCs/>
          <w:color w:val="2B4C7E"/>
          <w:sz w:val="24"/>
          <w:szCs w:val="24"/>
        </w:rPr>
        <w:t xml:space="preserve">Usage</w:t>
      </w:r>
    </w:p>
    <w:p>
      <w:pPr>
        <w:spacing w:after="80"/>
        <w:ind w:left="360"/>
      </w:pPr>
      <w:r>
        <w:rPr>
          <w:rFonts w:ascii="Courier New" w:cs="Courier New" w:eastAsia="Courier New" w:hAnsi="Courier New"/>
          <w:color w:val="333333"/>
          <w:sz w:val="19"/>
          <w:szCs w:val="19"/>
        </w:rPr>
        <w:t xml:space="preserve">python replicate.py</w:t>
      </w:r>
    </w:p>
    <w:p>
      <w:pPr>
        <w:spacing w:after="140" w:line="276"/>
      </w:pPr>
      <w:r>
        <w:rPr>
          <w:rFonts w:ascii="Arial" w:cs="Arial" w:eastAsia="Arial" w:hAnsi="Arial"/>
          <w:sz w:val="21"/>
          <w:szCs w:val="21"/>
        </w:rPr>
        <w:t xml:space="preserve">All outputs are written to ./output/.</w:t>
      </w:r>
    </w:p>
    <w:p>
      <w:pPr>
        <w:pStyle w:val="Heading1"/>
        <w:spacing w:after="200" w:before="360"/>
      </w:pPr>
      <w:r>
        <w:rPr>
          <w:rFonts w:ascii="Arial" w:cs="Arial" w:eastAsia="Arial" w:hAnsi="Arial"/>
          <w:b/>
          <w:bCs/>
          <w:color w:val="1A3A5C"/>
          <w:sz w:val="30"/>
          <w:szCs w:val="30"/>
        </w:rPr>
        <w:t xml:space="preserve">Raw data sources</w:t>
      </w:r>
    </w:p>
    <w:p>
      <w:pPr>
        <w:spacing w:after="140" w:line="276"/>
      </w:pPr>
      <w:r>
        <w:rPr>
          <w:rFonts w:ascii="Arial" w:cs="Arial" w:eastAsia="Arial" w:hAnsi="Arial"/>
          <w:sz w:val="21"/>
          <w:szCs w:val="21"/>
        </w:rPr>
        <w:t xml:space="preserve">All raw data come from the OEWS program, publicly available from the BLS at https://www.bls.gov/oes/tables.htm. For each release year (May 2015–2018, 2021–2024), the metropolitan-level file was downloaded and filtered to the relevant SOC codes.</w:t>
      </w:r>
    </w:p>
    <w:p>
      <w:pPr>
        <w:pStyle w:val="Heading1"/>
        <w:spacing w:after="200" w:before="360"/>
      </w:pPr>
      <w:r>
        <w:rPr>
          <w:rFonts w:ascii="Arial" w:cs="Arial" w:eastAsia="Arial" w:hAnsi="Arial"/>
          <w:b/>
          <w:bCs/>
          <w:color w:val="1A3A5C"/>
          <w:sz w:val="30"/>
          <w:szCs w:val="30"/>
        </w:rPr>
        <w:t xml:space="preserve">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4160"/>
            <w:tcBorders>
              <w:top w:val="single" w:color="BBBBBB" w:sz="1"/>
              <w:left w:val="single" w:color="BBBBBB" w:sz="1"/>
              <w:bottom w:val="single" w:color="BBBBBB" w:sz="1"/>
              <w:right w:val="single" w:color="BBBBBB" w:sz="1"/>
            </w:tcBorders>
            <w:shd w:fill="2B4C7E"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README.docx</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This file</w:t>
            </w:r>
          </w:p>
        </w:tc>
      </w:tr>
      <w:tr>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replicate.py</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Replication code</w:t>
            </w:r>
          </w:p>
        </w:tc>
      </w:tr>
      <w:tr>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softwaredev_cismanager_panel.csv</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analysis panel</w:t>
            </w:r>
          </w:p>
        </w:tc>
      </w:tr>
      <w:tr>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programmer_cismanager_panel.csv</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Secondary analysis panel</w:t>
            </w:r>
          </w:p>
        </w:tc>
      </w:tr>
      <w:tr>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figure1_softwaredev_annual_summary.csv</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Fig. 1 source data</w:t>
            </w:r>
          </w:p>
        </w:tc>
      </w:tr>
      <w:tr>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figure2_programmer_annual_summary.csv</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Fig. 2 source data</w:t>
            </w:r>
          </w:p>
        </w:tc>
      </w:tr>
      <w:tr>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figure3_4_softwaredev_quadrant_shares.csv</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Figs. 3–4 source data</w:t>
            </w:r>
          </w:p>
        </w:tc>
      </w:tr>
      <w:tr>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figure5_6_programmer_quadrant_shares.csv</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Figs. 5–6 source data</w:t>
            </w:r>
          </w:p>
        </w:tc>
      </w:tr>
      <w:tr>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table1_softwaredev_emp_regression.csv</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Table 1 output</w:t>
            </w:r>
          </w:p>
        </w:tc>
      </w:tr>
      <w:tr>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table2_programmer_emp_regression.csv</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Table 2 output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B4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2026-04-05T14:50:57.422Z</dcterms:created>
  <dcterms:modified xsi:type="dcterms:W3CDTF">2026-04-05T14:50:57.423Z</dcterms:modified>
</cp:coreProperties>
</file>

<file path=docProps/custom.xml><?xml version="1.0" encoding="utf-8"?>
<Properties xmlns="http://schemas.openxmlformats.org/officeDocument/2006/custom-properties" xmlns:vt="http://schemas.openxmlformats.org/officeDocument/2006/docPropsVTypes"/>
</file>