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68"/>
        <w:jc w:val="center"/>
      </w:pPr>
      <w:r>
        <w:rPr>
          <w:b/>
          <w:color w:val="2E75B6"/>
          <w:sz w:val="32"/>
        </w:rPr>
        <w:t>RAPPORT DE PROJET</w:t>
      </w:r>
    </w:p>
    <w:p>
      <w:pPr>
        <w:jc w:val="center"/>
      </w:pPr>
      <w:r>
        <w:rPr>
          <w:b/>
          <w:color w:val="1F4E79"/>
          <w:sz w:val="56"/>
        </w:rPr>
        <w:t>Drone autonome pour le suivi du stress hydrique des plants de tomate</w:t>
      </w:r>
    </w:p>
    <w:p/>
    <w:p>
      <w:pPr>
        <w:jc w:val="center"/>
      </w:pPr>
      <w:r>
        <w:rPr>
          <w:sz w:val="28"/>
        </w:rPr>
        <w:t>Binôme A</w:t>
        <w:br/>
        <w:t>Projet de robot aérien autonome</w:t>
        <w:br/>
        <w:t>Antananarivo, août 2026</w:t>
      </w:r>
    </w:p>
    <w:p/>
    <w:p>
      <w:pPr>
        <w:spacing w:after="120"/>
      </w:pPr>
      <w:r>
        <w:rPr>
          <w:b/>
          <w:highlight w:val="yellow"/>
        </w:rPr>
        <w:t>À compléter avant envoi : noms des étudiants, établissement, encadrants, date officielle de remise.</w:t>
      </w:r>
    </w:p>
    <w:p>
      <w:r>
        <w:br w:type="page"/>
      </w:r>
    </w:p>
    <w:p>
      <w:pPr>
        <w:pStyle w:val="Heading1"/>
        <w:spacing w:before="240" w:after="120"/>
      </w:pPr>
      <w:r>
        <w:t>Résumé</w:t>
      </w:r>
    </w:p>
    <w:p>
      <w:pPr>
        <w:spacing w:after="100"/>
      </w:pPr>
      <w:r>
        <w:t>Ce projet étudie l'utilisation d'un micro-drone équipé d'une caméra OV2640 pour acquérir des images de plants de tomate et suivre des indicateurs visuels associés au stress hydrique. La démarche associe une simulation de trajectoire lawnmower, un prototype de vol basique, une chaîne de traitement d'images reposant sur ExG et GRVI, ainsi qu'un protocole de constitution d'une base annotée.</w:t>
      </w:r>
    </w:p>
    <w:p>
      <w:pPr>
        <w:spacing w:after="100"/>
      </w:pPr>
      <w:r>
        <w:t>Les résultats de simulation sont séparés des résultats expérimentaux. Le dataset actuellement stocké dans le dépôt est synthétique et sert à vérifier le fonctionnement logiciel. La validation scientifique du classificateur nécessite des images réelles, plusieurs prises de vue par plant et une annotation associée à l'humidité du sol.</w:t>
      </w:r>
    </w:p>
    <w:p>
      <w:pPr>
        <w:pStyle w:val="Heading2"/>
        <w:spacing w:before="240" w:after="120"/>
      </w:pPr>
      <w:r>
        <w:t>Mots clés</w:t>
      </w:r>
    </w:p>
    <w:p>
      <w:pPr>
        <w:spacing w:after="100"/>
      </w:pPr>
      <w:r>
        <w:t>Drone, agriculture de précision, stress hydrique, OV2640, ExG, GRVI, Random Forest, ArUco, IMU, trajectoire lawnmower.</w:t>
      </w:r>
    </w:p>
    <w:p>
      <w:r>
        <w:br w:type="page"/>
      </w:r>
    </w:p>
    <w:p>
      <w:pPr>
        <w:pStyle w:val="Heading1"/>
        <w:spacing w:before="240" w:after="120"/>
      </w:pPr>
      <w:r>
        <w:t>Table des matières</w:t>
      </w:r>
    </w:p>
    <w:p>
      <w:fldSimple w:instr="TOC \o &quot;1-3&quot; \h \z \u"/>
    </w:p>
    <w:p>
      <w:r>
        <w:rPr>
          <w:i/>
        </w:rPr>
        <w:t xml:space="preserve">Dans Word, cliquez avec le bouton droit sur cette table puis choisissez « Mettre à jour les champs ». </w:t>
      </w:r>
    </w:p>
    <w:p>
      <w:r>
        <w:br w:type="page"/>
      </w:r>
    </w:p>
    <w:p>
      <w:pPr>
        <w:pStyle w:val="Heading1"/>
        <w:spacing w:before="240" w:after="120"/>
      </w:pPr>
      <w:r>
        <w:t>1. Contexte et objectifs</w:t>
      </w:r>
    </w:p>
    <w:p>
      <w:pPr>
        <w:spacing w:after="100"/>
      </w:pPr>
      <w:r>
        <w:t>Le stress hydrique affecte la croissance des plantes et peut entraîner une baisse de rendement. Une observation visuelle répétée permet de détecter certains signes, mais elle est longue à effectuer manuellement. Le projet propose un dispositif expérimental compact qui combine acquisition aérienne, traitement d'image et suivi du substrat.</w:t>
      </w:r>
    </w:p>
    <w:p>
      <w:pPr>
        <w:pStyle w:val="Heading2"/>
        <w:spacing w:before="240" w:after="120"/>
      </w:pPr>
      <w:r>
        <w:t>1.1 Résultats attendus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948"/>
            <w:shd w:fill="1F4E79"/>
            <w:vAlign w:val="center"/>
          </w:tcPr>
          <w:p>
            <w:pPr>
              <w:jc w:val="center"/>
            </w:pPr>
            <w:r/>
            <w:r>
              <w:rPr>
                <w:b/>
                <w:color w:val="FFFFFF"/>
                <w:sz w:val="18"/>
              </w:rPr>
              <w:t>Résultat attendu</w:t>
            </w:r>
          </w:p>
        </w:tc>
        <w:tc>
          <w:tcPr>
            <w:tcW w:type="dxa" w:w="3969"/>
            <w:shd w:fill="1F4E79"/>
            <w:vAlign w:val="center"/>
          </w:tcPr>
          <w:p>
            <w:pPr>
              <w:jc w:val="center"/>
            </w:pPr>
            <w:r/>
            <w:r>
              <w:rPr>
                <w:b/>
                <w:color w:val="FFFFFF"/>
                <w:sz w:val="18"/>
              </w:rPr>
              <w:t>Élément produit</w:t>
            </w:r>
          </w:p>
        </w:tc>
        <w:tc>
          <w:tcPr>
            <w:tcW w:type="dxa" w:w="2268"/>
            <w:shd w:fill="1F4E79"/>
            <w:vAlign w:val="center"/>
          </w:tcPr>
          <w:p>
            <w:pPr>
              <w:jc w:val="center"/>
            </w:pPr>
            <w:r/>
            <w:r>
              <w:rPr>
                <w:b/>
                <w:color w:val="FFFFFF"/>
                <w:sz w:val="18"/>
              </w:rPr>
              <w:t>Niveau de validation</w:t>
            </w:r>
          </w:p>
        </w:tc>
      </w:tr>
      <w:tr>
        <w:tc>
          <w:tcPr>
            <w:tcW w:type="dxa" w:w="2948"/>
            <w:vAlign w:val="center"/>
          </w:tcPr>
          <w:p>
            <w:pPr>
              <w:jc w:val="center"/>
            </w:pPr>
            <w:r/>
            <w:r>
              <w:rPr>
                <w:b w:val="0"/>
                <w:sz w:val="18"/>
              </w:rPr>
              <w:t>Modèle de trajectoire</w:t>
            </w:r>
          </w:p>
        </w:tc>
        <w:tc>
          <w:tcPr>
            <w:tcW w:type="dxa" w:w="3969"/>
            <w:vAlign w:val="center"/>
          </w:tcPr>
          <w:p>
            <w:pPr>
              <w:jc w:val="center"/>
            </w:pPr>
            <w:r/>
            <w:r>
              <w:rPr>
                <w:b w:val="0"/>
                <w:sz w:val="18"/>
              </w:rPr>
              <w:t>Simulation lawnmower et optimisation</w:t>
            </w:r>
          </w:p>
        </w:tc>
        <w:tc>
          <w:tcPr>
            <w:tcW w:type="dxa" w:w="2268"/>
            <w:vAlign w:val="center"/>
          </w:tcPr>
          <w:p>
            <w:pPr>
              <w:jc w:val="center"/>
            </w:pPr>
            <w:r/>
            <w:r>
              <w:rPr>
                <w:b w:val="0"/>
                <w:sz w:val="18"/>
              </w:rPr>
              <w:t>Simulation</w:t>
            </w:r>
          </w:p>
        </w:tc>
      </w:tr>
      <w:tr>
        <w:tc>
          <w:tcPr>
            <w:tcW w:type="dxa" w:w="2948"/>
            <w:vAlign w:val="center"/>
            <w:shd w:fill="F2F2F2"/>
          </w:tcPr>
          <w:p>
            <w:pPr>
              <w:jc w:val="center"/>
            </w:pPr>
            <w:r/>
            <w:r>
              <w:rPr>
                <w:b w:val="0"/>
                <w:sz w:val="18"/>
              </w:rPr>
              <w:t>Prototype de vol</w:t>
            </w:r>
          </w:p>
        </w:tc>
        <w:tc>
          <w:tcPr>
            <w:tcW w:type="dxa" w:w="3969"/>
            <w:vAlign w:val="center"/>
            <w:shd w:fill="F2F2F2"/>
          </w:tcPr>
          <w:p>
            <w:pPr>
              <w:jc w:val="center"/>
            </w:pPr>
            <w:r/>
            <w:r>
              <w:rPr>
                <w:b w:val="0"/>
                <w:sz w:val="18"/>
              </w:rPr>
              <w:t>Décollage, stationnaire et atterrissage sécurisés</w:t>
            </w:r>
          </w:p>
        </w:tc>
        <w:tc>
          <w:tcPr>
            <w:tcW w:type="dxa" w:w="2268"/>
            <w:vAlign w:val="center"/>
            <w:shd w:fill="F2F2F2"/>
          </w:tcPr>
          <w:p>
            <w:pPr>
              <w:jc w:val="center"/>
            </w:pPr>
            <w:r/>
            <w:r>
              <w:rPr>
                <w:b w:val="0"/>
                <w:sz w:val="18"/>
              </w:rPr>
              <w:t>Essais à documenter</w:t>
            </w:r>
          </w:p>
        </w:tc>
      </w:tr>
      <w:tr>
        <w:tc>
          <w:tcPr>
            <w:tcW w:type="dxa" w:w="2948"/>
            <w:vAlign w:val="center"/>
          </w:tcPr>
          <w:p>
            <w:pPr>
              <w:jc w:val="center"/>
            </w:pPr>
            <w:r/>
            <w:r>
              <w:rPr>
                <w:b w:val="0"/>
                <w:sz w:val="18"/>
              </w:rPr>
              <w:t>Base d'images annotées</w:t>
            </w:r>
          </w:p>
        </w:tc>
        <w:tc>
          <w:tcPr>
            <w:tcW w:type="dxa" w:w="3969"/>
            <w:vAlign w:val="center"/>
          </w:tcPr>
          <w:p>
            <w:pPr>
              <w:jc w:val="center"/>
            </w:pPr>
            <w:r/>
            <w:r>
              <w:rPr>
                <w:b w:val="0"/>
                <w:sz w:val="18"/>
              </w:rPr>
              <w:t>Arborescence, métadonnées et fichier par plant</w:t>
            </w:r>
          </w:p>
        </w:tc>
        <w:tc>
          <w:tcPr>
            <w:tcW w:type="dxa" w:w="2268"/>
            <w:vAlign w:val="center"/>
          </w:tcPr>
          <w:p>
            <w:pPr>
              <w:jc w:val="center"/>
            </w:pPr>
            <w:r/>
            <w:r>
              <w:rPr>
                <w:b w:val="0"/>
                <w:sz w:val="18"/>
              </w:rPr>
              <w:t>Acquisition réelle en cours</w:t>
            </w:r>
          </w:p>
        </w:tc>
      </w:tr>
      <w:tr>
        <w:tc>
          <w:tcPr>
            <w:tcW w:type="dxa" w:w="2948"/>
            <w:vAlign w:val="center"/>
            <w:shd w:fill="F2F2F2"/>
          </w:tcPr>
          <w:p>
            <w:pPr>
              <w:jc w:val="center"/>
            </w:pPr>
            <w:r/>
            <w:r>
              <w:rPr>
                <w:b w:val="0"/>
                <w:sz w:val="18"/>
              </w:rPr>
              <w:t>Rapport et recommandations</w:t>
            </w:r>
          </w:p>
        </w:tc>
        <w:tc>
          <w:tcPr>
            <w:tcW w:type="dxa" w:w="3969"/>
            <w:vAlign w:val="center"/>
            <w:shd w:fill="F2F2F2"/>
          </w:tcPr>
          <w:p>
            <w:pPr>
              <w:jc w:val="center"/>
            </w:pPr>
            <w:r/>
            <w:r>
              <w:rPr>
                <w:b w:val="0"/>
                <w:sz w:val="18"/>
              </w:rPr>
              <w:t>Analyse, limites et suite Master</w:t>
            </w:r>
          </w:p>
        </w:tc>
        <w:tc>
          <w:tcPr>
            <w:tcW w:type="dxa" w:w="2268"/>
            <w:vAlign w:val="center"/>
            <w:shd w:fill="F2F2F2"/>
          </w:tcPr>
          <w:p>
            <w:pPr>
              <w:jc w:val="center"/>
            </w:pPr>
            <w:r/>
            <w:r>
              <w:rPr>
                <w:b w:val="0"/>
                <w:sz w:val="18"/>
              </w:rPr>
              <w:t>Document présent</w:t>
            </w:r>
          </w:p>
        </w:tc>
      </w:tr>
    </w:tbl>
    <w:p/>
    <w:p>
      <w:pPr>
        <w:pStyle w:val="Heading1"/>
        <w:spacing w:before="240" w:after="120"/>
      </w:pPr>
      <w:r>
        <w:t>2. Architecture générale du système</w:t>
      </w:r>
    </w:p>
    <w:tbl>
      <w:tblPr>
        <w:tblW w:type="auto" w:w="0"/>
        <w:jc w:val="center"/>
        <w:tblLayout w:type="autofit"/>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shd w:fill="D9EAF7"/>
            <w:vAlign w:val="center"/>
          </w:tcPr>
          <w:p>
            <w:pPr>
              <w:jc w:val="center"/>
            </w:pPr>
            <w:r/>
            <w:r>
              <w:rPr>
                <w:b/>
                <w:color w:val="1F4E79"/>
                <w:sz w:val="18"/>
              </w:rPr>
              <w:t>Drone et caméra</w:t>
            </w:r>
          </w:p>
        </w:tc>
        <w:tc>
          <w:tcPr>
            <w:tcW w:type="dxa" w:w="1083"/>
            <w:vAlign w:val="center"/>
          </w:tcPr>
          <w:p>
            <w:pPr>
              <w:jc w:val="center"/>
            </w:pPr>
            <w:r/>
            <w:r>
              <w:rPr>
                <w:b/>
                <w:color w:val="1F4E79"/>
                <w:sz w:val="18"/>
              </w:rPr>
              <w:t>&gt;</w:t>
            </w:r>
          </w:p>
        </w:tc>
        <w:tc>
          <w:tcPr>
            <w:tcW w:type="dxa" w:w="1083"/>
            <w:shd w:fill="D9EAF7"/>
            <w:vAlign w:val="center"/>
          </w:tcPr>
          <w:p>
            <w:pPr>
              <w:jc w:val="center"/>
            </w:pPr>
            <w:r/>
            <w:r>
              <w:rPr>
                <w:b/>
                <w:color w:val="1F4E79"/>
                <w:sz w:val="18"/>
              </w:rPr>
              <w:t>Acquisition</w:t>
            </w:r>
          </w:p>
        </w:tc>
        <w:tc>
          <w:tcPr>
            <w:tcW w:type="dxa" w:w="1083"/>
            <w:vAlign w:val="center"/>
          </w:tcPr>
          <w:p>
            <w:pPr>
              <w:jc w:val="center"/>
            </w:pPr>
            <w:r/>
            <w:r>
              <w:rPr>
                <w:b/>
                <w:color w:val="1F4E79"/>
                <w:sz w:val="18"/>
              </w:rPr>
              <w:t>&gt;</w:t>
            </w:r>
          </w:p>
        </w:tc>
        <w:tc>
          <w:tcPr>
            <w:tcW w:type="dxa" w:w="1083"/>
            <w:shd w:fill="D9EAF7"/>
            <w:vAlign w:val="center"/>
          </w:tcPr>
          <w:p>
            <w:pPr>
              <w:jc w:val="center"/>
            </w:pPr>
            <w:r/>
            <w:r>
              <w:rPr>
                <w:b/>
                <w:color w:val="1F4E79"/>
                <w:sz w:val="18"/>
              </w:rPr>
              <w:t>Indices ExG et GRVI</w:t>
            </w:r>
          </w:p>
        </w:tc>
        <w:tc>
          <w:tcPr>
            <w:tcW w:type="dxa" w:w="1083"/>
            <w:vAlign w:val="center"/>
          </w:tcPr>
          <w:p>
            <w:pPr>
              <w:jc w:val="center"/>
            </w:pPr>
            <w:r/>
            <w:r>
              <w:rPr>
                <w:b/>
                <w:color w:val="1F4E79"/>
                <w:sz w:val="18"/>
              </w:rPr>
              <w:t>&gt;</w:t>
            </w:r>
          </w:p>
        </w:tc>
        <w:tc>
          <w:tcPr>
            <w:tcW w:type="dxa" w:w="1083"/>
            <w:shd w:fill="D9EAF7"/>
            <w:vAlign w:val="center"/>
          </w:tcPr>
          <w:p>
            <w:pPr>
              <w:jc w:val="center"/>
            </w:pPr>
            <w:r/>
            <w:r>
              <w:rPr>
                <w:b/>
                <w:color w:val="1F4E79"/>
                <w:sz w:val="18"/>
              </w:rPr>
              <w:t>Classification</w:t>
            </w:r>
          </w:p>
        </w:tc>
        <w:tc>
          <w:tcPr>
            <w:tcW w:type="dxa" w:w="1083"/>
            <w:vAlign w:val="center"/>
          </w:tcPr>
          <w:p>
            <w:pPr>
              <w:jc w:val="center"/>
            </w:pPr>
            <w:r/>
            <w:r>
              <w:rPr>
                <w:b/>
                <w:color w:val="1F4E79"/>
                <w:sz w:val="18"/>
              </w:rPr>
              <w:t>&gt;</w:t>
            </w:r>
          </w:p>
        </w:tc>
        <w:tc>
          <w:tcPr>
            <w:tcW w:type="dxa" w:w="1083"/>
            <w:shd w:fill="D9EAF7"/>
            <w:vAlign w:val="center"/>
          </w:tcPr>
          <w:p>
            <w:pPr>
              <w:jc w:val="center"/>
            </w:pPr>
            <w:r/>
            <w:r>
              <w:rPr>
                <w:b/>
                <w:color w:val="1F4E79"/>
                <w:sz w:val="18"/>
              </w:rPr>
              <w:t>Rapport et suivi</w:t>
            </w:r>
          </w:p>
        </w:tc>
      </w:tr>
    </w:tbl>
    <w:p>
      <w:r>
        <w:t>Schéma modifiable : cliquez dans chaque bloc pour modifier le texte.</w:t>
      </w:r>
    </w:p>
    <w:p>
      <w:pPr>
        <w:spacing w:after="100"/>
      </w:pPr>
      <w:r>
        <w:t>Le traitement est conçu comme une chaîne modulaire. Les images sont d'abord acquises et annotées. Quatre variables sont extraites : moyenne et écart type de ExG, moyenne et écart type de GRVI. Elles sont ensuite utilisées dans une analyse exploratoire avec Random Forest.</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381"/>
            <w:shd w:fill="1F4E79"/>
            <w:vAlign w:val="center"/>
          </w:tcPr>
          <w:p>
            <w:pPr>
              <w:jc w:val="center"/>
            </w:pPr>
            <w:r/>
            <w:r>
              <w:rPr>
                <w:b/>
                <w:color w:val="FFFFFF"/>
                <w:sz w:val="18"/>
              </w:rPr>
              <w:t>Composant</w:t>
            </w:r>
          </w:p>
        </w:tc>
        <w:tc>
          <w:tcPr>
            <w:tcW w:type="dxa" w:w="3685"/>
            <w:shd w:fill="1F4E79"/>
            <w:vAlign w:val="center"/>
          </w:tcPr>
          <w:p>
            <w:pPr>
              <w:jc w:val="center"/>
            </w:pPr>
            <w:r/>
            <w:r>
              <w:rPr>
                <w:b/>
                <w:color w:val="FFFFFF"/>
                <w:sz w:val="18"/>
              </w:rPr>
              <w:t>Rôle</w:t>
            </w:r>
          </w:p>
        </w:tc>
        <w:tc>
          <w:tcPr>
            <w:tcW w:type="dxa" w:w="3118"/>
            <w:shd w:fill="1F4E79"/>
            <w:vAlign w:val="center"/>
          </w:tcPr>
          <w:p>
            <w:pPr>
              <w:jc w:val="center"/>
            </w:pPr>
            <w:r/>
            <w:r>
              <w:rPr>
                <w:b/>
                <w:color w:val="FFFFFF"/>
                <w:sz w:val="18"/>
              </w:rPr>
              <w:t>État à la date du rapport</w:t>
            </w:r>
          </w:p>
        </w:tc>
      </w:tr>
      <w:tr>
        <w:tc>
          <w:tcPr>
            <w:tcW w:type="dxa" w:w="2381"/>
            <w:vAlign w:val="center"/>
          </w:tcPr>
          <w:p>
            <w:pPr>
              <w:jc w:val="center"/>
            </w:pPr>
            <w:r/>
            <w:r>
              <w:rPr>
                <w:b w:val="0"/>
                <w:sz w:val="18"/>
              </w:rPr>
              <w:t>Pydrone ESP32-S3</w:t>
            </w:r>
          </w:p>
        </w:tc>
        <w:tc>
          <w:tcPr>
            <w:tcW w:type="dxa" w:w="3685"/>
            <w:vAlign w:val="center"/>
          </w:tcPr>
          <w:p>
            <w:pPr>
              <w:jc w:val="center"/>
            </w:pPr>
            <w:r/>
            <w:r>
              <w:rPr>
                <w:b w:val="0"/>
                <w:sz w:val="18"/>
              </w:rPr>
              <w:t>Plateforme de vol</w:t>
            </w:r>
          </w:p>
        </w:tc>
        <w:tc>
          <w:tcPr>
            <w:tcW w:type="dxa" w:w="3118"/>
            <w:vAlign w:val="center"/>
          </w:tcPr>
          <w:p>
            <w:pPr>
              <w:jc w:val="center"/>
            </w:pPr>
            <w:r/>
            <w:r>
              <w:rPr>
                <w:b w:val="0"/>
                <w:sz w:val="18"/>
              </w:rPr>
              <w:t>Prototype matériel</w:t>
            </w:r>
          </w:p>
        </w:tc>
      </w:tr>
      <w:tr>
        <w:tc>
          <w:tcPr>
            <w:tcW w:type="dxa" w:w="2381"/>
            <w:vAlign w:val="center"/>
            <w:shd w:fill="F2F2F2"/>
          </w:tcPr>
          <w:p>
            <w:pPr>
              <w:jc w:val="center"/>
            </w:pPr>
            <w:r/>
            <w:r>
              <w:rPr>
                <w:b w:val="0"/>
                <w:sz w:val="18"/>
              </w:rPr>
              <w:t>Caméra OV2640</w:t>
            </w:r>
          </w:p>
        </w:tc>
        <w:tc>
          <w:tcPr>
            <w:tcW w:type="dxa" w:w="3685"/>
            <w:vAlign w:val="center"/>
            <w:shd w:fill="F2F2F2"/>
          </w:tcPr>
          <w:p>
            <w:pPr>
              <w:jc w:val="center"/>
            </w:pPr>
            <w:r/>
            <w:r>
              <w:rPr>
                <w:b w:val="0"/>
                <w:sz w:val="18"/>
              </w:rPr>
              <w:t>Acquisition d'images</w:t>
            </w:r>
          </w:p>
        </w:tc>
        <w:tc>
          <w:tcPr>
            <w:tcW w:type="dxa" w:w="3118"/>
            <w:vAlign w:val="center"/>
            <w:shd w:fill="F2F2F2"/>
          </w:tcPr>
          <w:p>
            <w:pPr>
              <w:jc w:val="center"/>
            </w:pPr>
            <w:r/>
            <w:r>
              <w:rPr>
                <w:b w:val="0"/>
                <w:sz w:val="18"/>
              </w:rPr>
              <w:t>Paramètres à confirmer en essai</w:t>
            </w:r>
          </w:p>
        </w:tc>
      </w:tr>
      <w:tr>
        <w:tc>
          <w:tcPr>
            <w:tcW w:type="dxa" w:w="2381"/>
            <w:vAlign w:val="center"/>
          </w:tcPr>
          <w:p>
            <w:pPr>
              <w:jc w:val="center"/>
            </w:pPr>
            <w:r/>
            <w:r>
              <w:rPr>
                <w:b w:val="0"/>
                <w:sz w:val="18"/>
              </w:rPr>
              <w:t>IMU</w:t>
            </w:r>
          </w:p>
        </w:tc>
        <w:tc>
          <w:tcPr>
            <w:tcW w:type="dxa" w:w="3685"/>
            <w:vAlign w:val="center"/>
          </w:tcPr>
          <w:p>
            <w:pPr>
              <w:jc w:val="center"/>
            </w:pPr>
            <w:r/>
            <w:r>
              <w:rPr>
                <w:b w:val="0"/>
                <w:sz w:val="18"/>
              </w:rPr>
              <w:t>Mesure d'attitude</w:t>
            </w:r>
          </w:p>
        </w:tc>
        <w:tc>
          <w:tcPr>
            <w:tcW w:type="dxa" w:w="3118"/>
            <w:vAlign w:val="center"/>
          </w:tcPr>
          <w:p>
            <w:pPr>
              <w:jc w:val="center"/>
            </w:pPr>
            <w:r/>
            <w:r>
              <w:rPr>
                <w:b w:val="0"/>
                <w:sz w:val="18"/>
              </w:rPr>
              <w:t>Utilisée pour la stabilisation</w:t>
            </w:r>
          </w:p>
        </w:tc>
      </w:tr>
      <w:tr>
        <w:tc>
          <w:tcPr>
            <w:tcW w:type="dxa" w:w="2381"/>
            <w:vAlign w:val="center"/>
            <w:shd w:fill="F2F2F2"/>
          </w:tcPr>
          <w:p>
            <w:pPr>
              <w:jc w:val="center"/>
            </w:pPr>
            <w:r/>
            <w:r>
              <w:rPr>
                <w:b w:val="0"/>
                <w:sz w:val="18"/>
              </w:rPr>
              <w:t>Marqueurs ArUco</w:t>
            </w:r>
          </w:p>
        </w:tc>
        <w:tc>
          <w:tcPr>
            <w:tcW w:type="dxa" w:w="3685"/>
            <w:vAlign w:val="center"/>
            <w:shd w:fill="F2F2F2"/>
          </w:tcPr>
          <w:p>
            <w:pPr>
              <w:jc w:val="center"/>
            </w:pPr>
            <w:r/>
            <w:r>
              <w:rPr>
                <w:b w:val="0"/>
                <w:sz w:val="18"/>
              </w:rPr>
              <w:t>Correction visuelle envisagée</w:t>
            </w:r>
          </w:p>
        </w:tc>
        <w:tc>
          <w:tcPr>
            <w:tcW w:type="dxa" w:w="3118"/>
            <w:vAlign w:val="center"/>
            <w:shd w:fill="F2F2F2"/>
          </w:tcPr>
          <w:p>
            <w:pPr>
              <w:jc w:val="center"/>
            </w:pPr>
            <w:r/>
            <w:r>
              <w:rPr>
                <w:b w:val="0"/>
                <w:sz w:val="18"/>
              </w:rPr>
              <w:t>Proposition soumise aux encadrants</w:t>
            </w:r>
          </w:p>
        </w:tc>
      </w:tr>
      <w:tr>
        <w:tc>
          <w:tcPr>
            <w:tcW w:type="dxa" w:w="2381"/>
            <w:vAlign w:val="center"/>
          </w:tcPr>
          <w:p>
            <w:pPr>
              <w:jc w:val="center"/>
            </w:pPr>
            <w:r/>
            <w:r>
              <w:rPr>
                <w:b w:val="0"/>
                <w:sz w:val="18"/>
              </w:rPr>
              <w:t>Capteur d'humidité du sol</w:t>
            </w:r>
          </w:p>
        </w:tc>
        <w:tc>
          <w:tcPr>
            <w:tcW w:type="dxa" w:w="3685"/>
            <w:vAlign w:val="center"/>
          </w:tcPr>
          <w:p>
            <w:pPr>
              <w:jc w:val="center"/>
            </w:pPr>
            <w:r/>
            <w:r>
              <w:rPr>
                <w:b w:val="0"/>
                <w:sz w:val="18"/>
              </w:rPr>
              <w:t>Référence expérimentale du stress</w:t>
            </w:r>
          </w:p>
        </w:tc>
        <w:tc>
          <w:tcPr>
            <w:tcW w:type="dxa" w:w="3118"/>
            <w:vAlign w:val="center"/>
          </w:tcPr>
          <w:p>
            <w:pPr>
              <w:jc w:val="center"/>
            </w:pPr>
            <w:r/>
            <w:r>
              <w:rPr>
                <w:b w:val="0"/>
                <w:sz w:val="18"/>
              </w:rPr>
              <w:t>À étalonner et intégrer au suivi</w:t>
            </w:r>
          </w:p>
        </w:tc>
      </w:tr>
    </w:tbl>
    <w:p/>
    <w:p>
      <w:pPr>
        <w:pStyle w:val="Heading1"/>
        <w:spacing w:before="240" w:after="120"/>
      </w:pPr>
      <w:r>
        <w:t>3. Dispositif expérimental</w:t>
      </w:r>
    </w:p>
    <w:p>
      <w:pPr>
        <w:spacing w:after="100"/>
      </w:pPr>
      <w:r>
        <w:t>La parcelle retenue mesure 1 m par 2 m et accueille 12 pots selon une grille de trois colonnes et quatre rangées. Pour comparer un groupe témoin et un groupe test, deux parcelles ou deux ensembles comparables de 12 pots peuvent être utilisés. Les plants doivent être homogènes autant que possible : même espèce, variété, stade et substrat.</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4082"/>
            <w:shd w:fill="1F4E79"/>
            <w:vAlign w:val="center"/>
          </w:tcPr>
          <w:p>
            <w:pPr>
              <w:jc w:val="center"/>
            </w:pPr>
            <w:r/>
            <w:r>
              <w:rPr>
                <w:b/>
                <w:color w:val="FFFFFF"/>
                <w:sz w:val="18"/>
              </w:rPr>
              <w:t>Paramètre</w:t>
            </w:r>
          </w:p>
        </w:tc>
        <w:tc>
          <w:tcPr>
            <w:tcW w:type="dxa" w:w="2494"/>
            <w:shd w:fill="1F4E79"/>
            <w:vAlign w:val="center"/>
          </w:tcPr>
          <w:p>
            <w:pPr>
              <w:jc w:val="center"/>
            </w:pPr>
            <w:r/>
            <w:r>
              <w:rPr>
                <w:b/>
                <w:color w:val="FFFFFF"/>
                <w:sz w:val="18"/>
              </w:rPr>
              <w:t>Valeur</w:t>
            </w:r>
          </w:p>
        </w:tc>
        <w:tc>
          <w:tcPr>
            <w:tcW w:type="dxa" w:w="2608"/>
            <w:shd w:fill="1F4E79"/>
            <w:vAlign w:val="center"/>
          </w:tcPr>
          <w:p>
            <w:pPr>
              <w:jc w:val="center"/>
            </w:pPr>
            <w:r/>
            <w:r>
              <w:rPr>
                <w:b/>
                <w:color w:val="FFFFFF"/>
                <w:sz w:val="18"/>
              </w:rPr>
              <w:t>Statut</w:t>
            </w:r>
          </w:p>
        </w:tc>
      </w:tr>
      <w:tr>
        <w:tc>
          <w:tcPr>
            <w:tcW w:type="dxa" w:w="4082"/>
            <w:vAlign w:val="center"/>
          </w:tcPr>
          <w:p>
            <w:pPr>
              <w:jc w:val="center"/>
            </w:pPr>
            <w:r/>
            <w:r>
              <w:rPr>
                <w:b w:val="0"/>
                <w:sz w:val="18"/>
              </w:rPr>
              <w:t>Parcelle</w:t>
            </w:r>
          </w:p>
        </w:tc>
        <w:tc>
          <w:tcPr>
            <w:tcW w:type="dxa" w:w="2494"/>
            <w:vAlign w:val="center"/>
          </w:tcPr>
          <w:p>
            <w:pPr>
              <w:jc w:val="center"/>
            </w:pPr>
            <w:r/>
            <w:r>
              <w:rPr>
                <w:b w:val="0"/>
                <w:sz w:val="18"/>
              </w:rPr>
              <w:t>1 m x 2 m</w:t>
            </w:r>
          </w:p>
        </w:tc>
        <w:tc>
          <w:tcPr>
            <w:tcW w:type="dxa" w:w="2608"/>
            <w:vAlign w:val="center"/>
          </w:tcPr>
          <w:p>
            <w:pPr>
              <w:jc w:val="center"/>
            </w:pPr>
            <w:r/>
            <w:r>
              <w:rPr>
                <w:b w:val="0"/>
                <w:sz w:val="18"/>
              </w:rPr>
              <w:t>Retenu</w:t>
            </w:r>
          </w:p>
        </w:tc>
      </w:tr>
      <w:tr>
        <w:tc>
          <w:tcPr>
            <w:tcW w:type="dxa" w:w="4082"/>
            <w:vAlign w:val="center"/>
            <w:shd w:fill="F2F2F2"/>
          </w:tcPr>
          <w:p>
            <w:pPr>
              <w:jc w:val="center"/>
            </w:pPr>
            <w:r/>
            <w:r>
              <w:rPr>
                <w:b w:val="0"/>
                <w:sz w:val="18"/>
              </w:rPr>
              <w:t>Disposition</w:t>
            </w:r>
          </w:p>
        </w:tc>
        <w:tc>
          <w:tcPr>
            <w:tcW w:type="dxa" w:w="2494"/>
            <w:vAlign w:val="center"/>
            <w:shd w:fill="F2F2F2"/>
          </w:tcPr>
          <w:p>
            <w:pPr>
              <w:jc w:val="center"/>
            </w:pPr>
            <w:r/>
            <w:r>
              <w:rPr>
                <w:b w:val="0"/>
                <w:sz w:val="18"/>
              </w:rPr>
              <w:t>3 colonnes x 4 rangées</w:t>
            </w:r>
          </w:p>
        </w:tc>
        <w:tc>
          <w:tcPr>
            <w:tcW w:type="dxa" w:w="2608"/>
            <w:vAlign w:val="center"/>
            <w:shd w:fill="F2F2F2"/>
          </w:tcPr>
          <w:p>
            <w:pPr>
              <w:jc w:val="center"/>
            </w:pPr>
            <w:r/>
            <w:r>
              <w:rPr>
                <w:b w:val="0"/>
                <w:sz w:val="18"/>
              </w:rPr>
              <w:t>Retenu</w:t>
            </w:r>
          </w:p>
        </w:tc>
      </w:tr>
      <w:tr>
        <w:tc>
          <w:tcPr>
            <w:tcW w:type="dxa" w:w="4082"/>
            <w:vAlign w:val="center"/>
          </w:tcPr>
          <w:p>
            <w:pPr>
              <w:jc w:val="center"/>
            </w:pPr>
            <w:r/>
            <w:r>
              <w:rPr>
                <w:b w:val="0"/>
                <w:sz w:val="18"/>
              </w:rPr>
              <w:t>Nombre de pots par parcelle</w:t>
            </w:r>
          </w:p>
        </w:tc>
        <w:tc>
          <w:tcPr>
            <w:tcW w:type="dxa" w:w="2494"/>
            <w:vAlign w:val="center"/>
          </w:tcPr>
          <w:p>
            <w:pPr>
              <w:jc w:val="center"/>
            </w:pPr>
            <w:r/>
            <w:r>
              <w:rPr>
                <w:b w:val="0"/>
                <w:sz w:val="18"/>
              </w:rPr>
              <w:t>12</w:t>
            </w:r>
          </w:p>
        </w:tc>
        <w:tc>
          <w:tcPr>
            <w:tcW w:type="dxa" w:w="2608"/>
            <w:vAlign w:val="center"/>
          </w:tcPr>
          <w:p>
            <w:pPr>
              <w:jc w:val="center"/>
            </w:pPr>
            <w:r/>
            <w:r>
              <w:rPr>
                <w:b w:val="0"/>
                <w:sz w:val="18"/>
              </w:rPr>
              <w:t>Retenu</w:t>
            </w:r>
          </w:p>
        </w:tc>
      </w:tr>
      <w:tr>
        <w:tc>
          <w:tcPr>
            <w:tcW w:type="dxa" w:w="4082"/>
            <w:vAlign w:val="center"/>
            <w:shd w:fill="F2F2F2"/>
          </w:tcPr>
          <w:p>
            <w:pPr>
              <w:jc w:val="center"/>
            </w:pPr>
            <w:r/>
            <w:r>
              <w:rPr>
                <w:b w:val="0"/>
                <w:sz w:val="18"/>
              </w:rPr>
              <w:t>Altitude nominale de prise de vue</w:t>
            </w:r>
          </w:p>
        </w:tc>
        <w:tc>
          <w:tcPr>
            <w:tcW w:type="dxa" w:w="2494"/>
            <w:vAlign w:val="center"/>
            <w:shd w:fill="F2F2F2"/>
          </w:tcPr>
          <w:p>
            <w:pPr>
              <w:jc w:val="center"/>
            </w:pPr>
            <w:r/>
            <w:r>
              <w:rPr>
                <w:b w:val="0"/>
                <w:sz w:val="18"/>
              </w:rPr>
              <w:t>0,70 m</w:t>
            </w:r>
          </w:p>
        </w:tc>
        <w:tc>
          <w:tcPr>
            <w:tcW w:type="dxa" w:w="2608"/>
            <w:vAlign w:val="center"/>
            <w:shd w:fill="F2F2F2"/>
          </w:tcPr>
          <w:p>
            <w:pPr>
              <w:jc w:val="center"/>
            </w:pPr>
            <w:r/>
            <w:r>
              <w:rPr>
                <w:b w:val="0"/>
                <w:sz w:val="18"/>
              </w:rPr>
              <w:t>Calculée, à mesurer en essai</w:t>
            </w:r>
          </w:p>
        </w:tc>
      </w:tr>
      <w:tr>
        <w:tc>
          <w:tcPr>
            <w:tcW w:type="dxa" w:w="4082"/>
            <w:vAlign w:val="center"/>
          </w:tcPr>
          <w:p>
            <w:pPr>
              <w:jc w:val="center"/>
            </w:pPr>
            <w:r/>
            <w:r>
              <w:rPr>
                <w:b w:val="0"/>
                <w:sz w:val="18"/>
              </w:rPr>
              <w:t>Vitesse nominale</w:t>
            </w:r>
          </w:p>
        </w:tc>
        <w:tc>
          <w:tcPr>
            <w:tcW w:type="dxa" w:w="2494"/>
            <w:vAlign w:val="center"/>
          </w:tcPr>
          <w:p>
            <w:pPr>
              <w:jc w:val="center"/>
            </w:pPr>
            <w:r/>
            <w:r>
              <w:rPr>
                <w:b w:val="0"/>
                <w:sz w:val="18"/>
              </w:rPr>
              <w:t>0,20 m/s</w:t>
            </w:r>
          </w:p>
        </w:tc>
        <w:tc>
          <w:tcPr>
            <w:tcW w:type="dxa" w:w="2608"/>
            <w:vAlign w:val="center"/>
          </w:tcPr>
          <w:p>
            <w:pPr>
              <w:jc w:val="center"/>
            </w:pPr>
            <w:r/>
            <w:r>
              <w:rPr>
                <w:b w:val="0"/>
                <w:sz w:val="18"/>
              </w:rPr>
              <w:t>Simulée, à confirmer</w:t>
            </w:r>
          </w:p>
        </w:tc>
      </w:tr>
      <w:tr>
        <w:tc>
          <w:tcPr>
            <w:tcW w:type="dxa" w:w="4082"/>
            <w:vAlign w:val="center"/>
            <w:shd w:fill="F2F2F2"/>
          </w:tcPr>
          <w:p>
            <w:pPr>
              <w:jc w:val="center"/>
            </w:pPr>
            <w:r/>
            <w:r>
              <w:rPr>
                <w:b w:val="0"/>
                <w:sz w:val="18"/>
              </w:rPr>
              <w:t>GSD estimé</w:t>
            </w:r>
          </w:p>
        </w:tc>
        <w:tc>
          <w:tcPr>
            <w:tcW w:type="dxa" w:w="2494"/>
            <w:vAlign w:val="center"/>
            <w:shd w:fill="F2F2F2"/>
          </w:tcPr>
          <w:p>
            <w:pPr>
              <w:jc w:val="center"/>
            </w:pPr>
            <w:r/>
            <w:r>
              <w:rPr>
                <w:b w:val="0"/>
                <w:sz w:val="18"/>
              </w:rPr>
              <w:t>0,44 mm/pixel</w:t>
            </w:r>
          </w:p>
        </w:tc>
        <w:tc>
          <w:tcPr>
            <w:tcW w:type="dxa" w:w="2608"/>
            <w:vAlign w:val="center"/>
            <w:shd w:fill="F2F2F2"/>
          </w:tcPr>
          <w:p>
            <w:pPr>
              <w:jc w:val="center"/>
            </w:pPr>
            <w:r/>
            <w:r>
              <w:rPr>
                <w:b w:val="0"/>
                <w:sz w:val="18"/>
              </w:rPr>
              <w:t>Calculé</w:t>
            </w:r>
          </w:p>
        </w:tc>
      </w:tr>
    </w:tbl>
    <w:p/>
    <w:p>
      <w:pPr>
        <w:jc w:val="center"/>
      </w:pPr>
      <w:r>
        <w:drawing>
          <wp:inline xmlns:a="http://schemas.openxmlformats.org/drawingml/2006/main" xmlns:pic="http://schemas.openxmlformats.org/drawingml/2006/picture">
            <wp:extent cx="5400000" cy="3424223"/>
            <wp:docPr id="1" name="Picture 1"/>
            <wp:cNvGraphicFramePr>
              <a:graphicFrameLocks noChangeAspect="1"/>
            </wp:cNvGraphicFramePr>
            <a:graphic>
              <a:graphicData uri="http://schemas.openxmlformats.org/drawingml/2006/picture">
                <pic:pic>
                  <pic:nvPicPr>
                    <pic:cNvPr id="0" name="emprise_camera.png"/>
                    <pic:cNvPicPr/>
                  </pic:nvPicPr>
                  <pic:blipFill>
                    <a:blip r:embed="rId11"/>
                    <a:stretch>
                      <a:fillRect/>
                    </a:stretch>
                  </pic:blipFill>
                  <pic:spPr>
                    <a:xfrm>
                      <a:off x="0" y="0"/>
                      <a:ext cx="5400000" cy="3424223"/>
                    </a:xfrm>
                    <a:prstGeom prst="rect"/>
                  </pic:spPr>
                </pic:pic>
              </a:graphicData>
            </a:graphic>
          </wp:inline>
        </w:drawing>
      </w:r>
    </w:p>
    <w:p>
      <w:pPr>
        <w:pStyle w:val="Caption"/>
        <w:jc w:val="center"/>
      </w:pPr>
      <w:r>
        <w:t>Figure 1. Emprise théorique de la caméra à l'altitude étudiée.</w:t>
      </w:r>
    </w:p>
    <w:p>
      <w:pPr>
        <w:pStyle w:val="Heading2"/>
        <w:spacing w:before="240" w:after="120"/>
      </w:pPr>
      <w:r>
        <w:t>3.1 Protocole d'humidité du sol</w:t>
      </w:r>
    </w:p>
    <w:p>
      <w:pPr>
        <w:spacing w:after="100"/>
      </w:pPr>
      <w:r>
        <w:t>Le stress doit être documenté par une mesure de l'humidité du substrat. Après étalonnage relatif du capteur entre un état sec et un état humidifié, le groupe témoin maintient une humidité de référence. Le groupe test est maintenu progressivement autour de 45 à 55 pour cent de cette référence, sans dessèchement irréversible.</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381"/>
            <w:shd w:fill="1F4E79"/>
            <w:vAlign w:val="center"/>
          </w:tcPr>
          <w:p>
            <w:pPr>
              <w:jc w:val="center"/>
            </w:pPr>
            <w:r/>
            <w:r>
              <w:rPr>
                <w:b/>
                <w:color w:val="FFFFFF"/>
                <w:sz w:val="18"/>
              </w:rPr>
              <w:t>Moment</w:t>
            </w:r>
          </w:p>
        </w:tc>
        <w:tc>
          <w:tcPr>
            <w:tcW w:type="dxa" w:w="3458"/>
            <w:shd w:fill="1F4E79"/>
            <w:vAlign w:val="center"/>
          </w:tcPr>
          <w:p>
            <w:pPr>
              <w:jc w:val="center"/>
            </w:pPr>
            <w:r/>
            <w:r>
              <w:rPr>
                <w:b/>
                <w:color w:val="FFFFFF"/>
                <w:sz w:val="18"/>
              </w:rPr>
              <w:t>Mesure</w:t>
            </w:r>
          </w:p>
        </w:tc>
        <w:tc>
          <w:tcPr>
            <w:tcW w:type="dxa" w:w="3345"/>
            <w:shd w:fill="1F4E79"/>
            <w:vAlign w:val="center"/>
          </w:tcPr>
          <w:p>
            <w:pPr>
              <w:jc w:val="center"/>
            </w:pPr>
            <w:r/>
            <w:r>
              <w:rPr>
                <w:b/>
                <w:color w:val="FFFFFF"/>
                <w:sz w:val="18"/>
              </w:rPr>
              <w:t>Donnée à enregistrer</w:t>
            </w:r>
          </w:p>
        </w:tc>
      </w:tr>
      <w:tr>
        <w:tc>
          <w:tcPr>
            <w:tcW w:type="dxa" w:w="2381"/>
            <w:vAlign w:val="center"/>
          </w:tcPr>
          <w:p>
            <w:pPr>
              <w:jc w:val="center"/>
            </w:pPr>
            <w:r/>
            <w:r>
              <w:rPr>
                <w:b w:val="0"/>
                <w:sz w:val="18"/>
              </w:rPr>
              <w:t>Avant le protocole</w:t>
            </w:r>
          </w:p>
        </w:tc>
        <w:tc>
          <w:tcPr>
            <w:tcW w:type="dxa" w:w="3458"/>
            <w:vAlign w:val="center"/>
          </w:tcPr>
          <w:p>
            <w:pPr>
              <w:jc w:val="center"/>
            </w:pPr>
            <w:r/>
            <w:r>
              <w:rPr>
                <w:b w:val="0"/>
                <w:sz w:val="18"/>
              </w:rPr>
              <w:t>Étalonnage sec et humide</w:t>
            </w:r>
          </w:p>
        </w:tc>
        <w:tc>
          <w:tcPr>
            <w:tcW w:type="dxa" w:w="3345"/>
            <w:vAlign w:val="center"/>
          </w:tcPr>
          <w:p>
            <w:pPr>
              <w:jc w:val="center"/>
            </w:pPr>
            <w:r/>
            <w:r>
              <w:rPr>
                <w:b w:val="0"/>
                <w:sz w:val="18"/>
              </w:rPr>
              <w:t>Valeur brute et référence relative</w:t>
            </w:r>
          </w:p>
        </w:tc>
      </w:tr>
      <w:tr>
        <w:tc>
          <w:tcPr>
            <w:tcW w:type="dxa" w:w="2381"/>
            <w:vAlign w:val="center"/>
            <w:shd w:fill="F2F2F2"/>
          </w:tcPr>
          <w:p>
            <w:pPr>
              <w:jc w:val="center"/>
            </w:pPr>
            <w:r/>
            <w:r>
              <w:rPr>
                <w:b w:val="0"/>
                <w:sz w:val="18"/>
              </w:rPr>
              <w:t>Chaque jour</w:t>
            </w:r>
          </w:p>
        </w:tc>
        <w:tc>
          <w:tcPr>
            <w:tcW w:type="dxa" w:w="3458"/>
            <w:vAlign w:val="center"/>
            <w:shd w:fill="F2F2F2"/>
          </w:tcPr>
          <w:p>
            <w:pPr>
              <w:jc w:val="center"/>
            </w:pPr>
            <w:r/>
            <w:r>
              <w:rPr>
                <w:b w:val="0"/>
                <w:sz w:val="18"/>
              </w:rPr>
              <w:t>Mesure avant arrosage</w:t>
            </w:r>
          </w:p>
        </w:tc>
        <w:tc>
          <w:tcPr>
            <w:tcW w:type="dxa" w:w="3345"/>
            <w:vAlign w:val="center"/>
            <w:shd w:fill="F2F2F2"/>
          </w:tcPr>
          <w:p>
            <w:pPr>
              <w:jc w:val="center"/>
            </w:pPr>
            <w:r/>
            <w:r>
              <w:rPr>
                <w:b w:val="0"/>
                <w:sz w:val="18"/>
              </w:rPr>
              <w:t>Humidité, volume d'eau, observation</w:t>
            </w:r>
          </w:p>
        </w:tc>
      </w:tr>
      <w:tr>
        <w:tc>
          <w:tcPr>
            <w:tcW w:type="dxa" w:w="2381"/>
            <w:vAlign w:val="center"/>
          </w:tcPr>
          <w:p>
            <w:pPr>
              <w:jc w:val="center"/>
            </w:pPr>
            <w:r/>
            <w:r>
              <w:rPr>
                <w:b w:val="0"/>
                <w:sz w:val="18"/>
              </w:rPr>
              <w:t>Chaque prise de vue</w:t>
            </w:r>
          </w:p>
        </w:tc>
        <w:tc>
          <w:tcPr>
            <w:tcW w:type="dxa" w:w="3458"/>
            <w:vAlign w:val="center"/>
          </w:tcPr>
          <w:p>
            <w:pPr>
              <w:jc w:val="center"/>
            </w:pPr>
            <w:r/>
            <w:r>
              <w:rPr>
                <w:b w:val="0"/>
                <w:sz w:val="18"/>
              </w:rPr>
              <w:t>Image d'un pot identifié</w:t>
            </w:r>
          </w:p>
        </w:tc>
        <w:tc>
          <w:tcPr>
            <w:tcW w:type="dxa" w:w="3345"/>
            <w:vAlign w:val="center"/>
          </w:tcPr>
          <w:p>
            <w:pPr>
              <w:jc w:val="center"/>
            </w:pPr>
            <w:r/>
            <w:r>
              <w:rPr>
                <w:b w:val="0"/>
                <w:sz w:val="18"/>
              </w:rPr>
              <w:t>Nom de fichier, plant_id, jour, humidité</w:t>
            </w:r>
          </w:p>
        </w:tc>
      </w:tr>
    </w:tbl>
    <w:p/>
    <w:p>
      <w:pPr>
        <w:pStyle w:val="Heading1"/>
        <w:spacing w:before="240" w:after="120"/>
      </w:pPr>
      <w:r>
        <w:t>4. Simulation de trajectoire</w:t>
      </w:r>
    </w:p>
    <w:p>
      <w:pPr>
        <w:spacing w:after="100"/>
      </w:pPr>
      <w:r>
        <w:t>La trajectoire de couverture suit un motif lawnmower, aussi appelé boustrophédon. Les lignes parallèles permettent de couvrir la zone avec un recouvrement frontal et latéral défini. Les paramètres sont produits par les scripts du dossier `simulation/`.</w:t>
      </w:r>
    </w:p>
    <w:p>
      <w:pPr>
        <w:jc w:val="center"/>
      </w:pPr>
      <w:r>
        <w:drawing>
          <wp:inline xmlns:a="http://schemas.openxmlformats.org/drawingml/2006/main" xmlns:pic="http://schemas.openxmlformats.org/drawingml/2006/picture">
            <wp:extent cx="5400000" cy="4374000"/>
            <wp:docPr id="2" name="Picture 2"/>
            <wp:cNvGraphicFramePr>
              <a:graphicFrameLocks noChangeAspect="1"/>
            </wp:cNvGraphicFramePr>
            <a:graphic>
              <a:graphicData uri="http://schemas.openxmlformats.org/drawingml/2006/picture">
                <pic:pic>
                  <pic:nvPicPr>
                    <pic:cNvPr id="0" name="trajectoire_lawnmower.png"/>
                    <pic:cNvPicPr/>
                  </pic:nvPicPr>
                  <pic:blipFill>
                    <a:blip r:embed="rId12"/>
                    <a:stretch>
                      <a:fillRect/>
                    </a:stretch>
                  </pic:blipFill>
                  <pic:spPr>
                    <a:xfrm>
                      <a:off x="0" y="0"/>
                      <a:ext cx="5400000" cy="4374000"/>
                    </a:xfrm>
                    <a:prstGeom prst="rect"/>
                  </pic:spPr>
                </pic:pic>
              </a:graphicData>
            </a:graphic>
          </wp:inline>
        </w:drawing>
      </w:r>
    </w:p>
    <w:p>
      <w:pPr>
        <w:pStyle w:val="Caption"/>
        <w:jc w:val="center"/>
      </w:pPr>
      <w:r>
        <w:t>Figure 2. Exemple de trajectoire lawnmower générée par le module de simulation.</w:t>
      </w:r>
    </w:p>
    <w:p>
      <w:pPr>
        <w:jc w:val="center"/>
      </w:pPr>
      <w:r>
        <w:drawing>
          <wp:inline xmlns:a="http://schemas.openxmlformats.org/drawingml/2006/main" xmlns:pic="http://schemas.openxmlformats.org/drawingml/2006/picture">
            <wp:extent cx="5400000" cy="3206677"/>
            <wp:docPr id="3" name="Picture 3"/>
            <wp:cNvGraphicFramePr>
              <a:graphicFrameLocks noChangeAspect="1"/>
            </wp:cNvGraphicFramePr>
            <a:graphic>
              <a:graphicData uri="http://schemas.openxmlformats.org/drawingml/2006/picture">
                <pic:pic>
                  <pic:nvPicPr>
                    <pic:cNvPr id="0" name="profil_vitesse.png"/>
                    <pic:cNvPicPr/>
                  </pic:nvPicPr>
                  <pic:blipFill>
                    <a:blip r:embed="rId13"/>
                    <a:stretch>
                      <a:fillRect/>
                    </a:stretch>
                  </pic:blipFill>
                  <pic:spPr>
                    <a:xfrm>
                      <a:off x="0" y="0"/>
                      <a:ext cx="5400000" cy="3206677"/>
                    </a:xfrm>
                    <a:prstGeom prst="rect"/>
                  </pic:spPr>
                </pic:pic>
              </a:graphicData>
            </a:graphic>
          </wp:inline>
        </w:drawing>
      </w:r>
    </w:p>
    <w:p>
      <w:pPr>
        <w:pStyle w:val="Caption"/>
        <w:jc w:val="center"/>
      </w:pPr>
      <w:r>
        <w:t>Figure 3. Profil de vitesse utilisé dans la simulation cinématique.</w:t>
      </w:r>
    </w:p>
    <w:p>
      <w:pPr>
        <w:jc w:val="center"/>
      </w:pPr>
      <w:r>
        <w:drawing>
          <wp:inline xmlns:a="http://schemas.openxmlformats.org/drawingml/2006/main" xmlns:pic="http://schemas.openxmlformats.org/drawingml/2006/picture">
            <wp:extent cx="5400000" cy="2397623"/>
            <wp:docPr id="4" name="Picture 4"/>
            <wp:cNvGraphicFramePr>
              <a:graphicFrameLocks noChangeAspect="1"/>
            </wp:cNvGraphicFramePr>
            <a:graphic>
              <a:graphicData uri="http://schemas.openxmlformats.org/drawingml/2006/picture">
                <pic:pic>
                  <pic:nvPicPr>
                    <pic:cNvPr id="0" name="comparaison_modes.png"/>
                    <pic:cNvPicPr/>
                  </pic:nvPicPr>
                  <pic:blipFill>
                    <a:blip r:embed="rId14"/>
                    <a:stretch>
                      <a:fillRect/>
                    </a:stretch>
                  </pic:blipFill>
                  <pic:spPr>
                    <a:xfrm>
                      <a:off x="0" y="0"/>
                      <a:ext cx="5400000" cy="2397623"/>
                    </a:xfrm>
                    <a:prstGeom prst="rect"/>
                  </pic:spPr>
                </pic:pic>
              </a:graphicData>
            </a:graphic>
          </wp:inline>
        </w:drawing>
      </w:r>
    </w:p>
    <w:p>
      <w:pPr>
        <w:pStyle w:val="Caption"/>
        <w:jc w:val="center"/>
      </w:pPr>
      <w:r>
        <w:t>Figure 4. Comparaison de modes de prise de vue issue de la simulation.</w:t>
      </w:r>
    </w:p>
    <w:p>
      <w:pPr>
        <w:spacing w:after="100"/>
      </w:pPr>
      <w:r>
        <w:t>Les valeurs de simulation doivent être présentées comme des estimations. Elles seront consolidées par des essais de vol court avec la configuration matérielle réellement embarquée.</w:t>
      </w:r>
    </w:p>
    <w:p>
      <w:pPr>
        <w:pStyle w:val="Heading1"/>
        <w:spacing w:before="240" w:after="120"/>
      </w:pPr>
      <w:r>
        <w:t>5. Traitement des images</w:t>
      </w:r>
    </w:p>
    <w:p>
      <w:pPr>
        <w:pStyle w:val="Heading2"/>
        <w:spacing w:before="240" w:after="120"/>
      </w:pPr>
      <w:r>
        <w:t>5.1 Indices retenus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1701"/>
            <w:shd w:fill="1F4E79"/>
            <w:vAlign w:val="center"/>
          </w:tcPr>
          <w:p>
            <w:pPr>
              <w:jc w:val="center"/>
            </w:pPr>
            <w:r/>
            <w:r>
              <w:rPr>
                <w:b/>
                <w:color w:val="FFFFFF"/>
                <w:sz w:val="18"/>
              </w:rPr>
              <w:t>Indice</w:t>
            </w:r>
          </w:p>
        </w:tc>
        <w:tc>
          <w:tcPr>
            <w:tcW w:type="dxa" w:w="3118"/>
            <w:shd w:fill="1F4E79"/>
            <w:vAlign w:val="center"/>
          </w:tcPr>
          <w:p>
            <w:pPr>
              <w:jc w:val="center"/>
            </w:pPr>
            <w:r/>
            <w:r>
              <w:rPr>
                <w:b/>
                <w:color w:val="FFFFFF"/>
                <w:sz w:val="18"/>
              </w:rPr>
              <w:t>Formule</w:t>
            </w:r>
          </w:p>
        </w:tc>
        <w:tc>
          <w:tcPr>
            <w:tcW w:type="dxa" w:w="4365"/>
            <w:shd w:fill="1F4E79"/>
            <w:vAlign w:val="center"/>
          </w:tcPr>
          <w:p>
            <w:pPr>
              <w:jc w:val="center"/>
            </w:pPr>
            <w:r/>
            <w:r>
              <w:rPr>
                <w:b/>
                <w:color w:val="FFFFFF"/>
                <w:sz w:val="18"/>
              </w:rPr>
              <w:t>Utilisation</w:t>
            </w:r>
          </w:p>
        </w:tc>
      </w:tr>
      <w:tr>
        <w:tc>
          <w:tcPr>
            <w:tcW w:type="dxa" w:w="1701"/>
            <w:vAlign w:val="center"/>
          </w:tcPr>
          <w:p>
            <w:pPr>
              <w:jc w:val="center"/>
            </w:pPr>
            <w:r/>
            <w:r>
              <w:rPr>
                <w:b w:val="0"/>
                <w:sz w:val="18"/>
              </w:rPr>
              <w:t>ExG</w:t>
            </w:r>
          </w:p>
        </w:tc>
        <w:tc>
          <w:tcPr>
            <w:tcW w:type="dxa" w:w="3118"/>
            <w:vAlign w:val="center"/>
          </w:tcPr>
          <w:p>
            <w:pPr>
              <w:jc w:val="center"/>
            </w:pPr>
            <w:r/>
            <w:r>
              <w:rPr>
                <w:b w:val="0"/>
                <w:sz w:val="18"/>
              </w:rPr>
              <w:t>2G - R - B</w:t>
            </w:r>
          </w:p>
        </w:tc>
        <w:tc>
          <w:tcPr>
            <w:tcW w:type="dxa" w:w="4365"/>
            <w:vAlign w:val="center"/>
          </w:tcPr>
          <w:p>
            <w:pPr>
              <w:jc w:val="center"/>
            </w:pPr>
            <w:r/>
            <w:r>
              <w:rPr>
                <w:b w:val="0"/>
                <w:sz w:val="18"/>
              </w:rPr>
              <w:t>Mettre en évidence la dominance du vert</w:t>
            </w:r>
          </w:p>
        </w:tc>
      </w:tr>
      <w:tr>
        <w:tc>
          <w:tcPr>
            <w:tcW w:type="dxa" w:w="1701"/>
            <w:vAlign w:val="center"/>
            <w:shd w:fill="F2F2F2"/>
          </w:tcPr>
          <w:p>
            <w:pPr>
              <w:jc w:val="center"/>
            </w:pPr>
            <w:r/>
            <w:r>
              <w:rPr>
                <w:b w:val="0"/>
                <w:sz w:val="18"/>
              </w:rPr>
              <w:t>GRVI</w:t>
            </w:r>
          </w:p>
        </w:tc>
        <w:tc>
          <w:tcPr>
            <w:tcW w:type="dxa" w:w="3118"/>
            <w:vAlign w:val="center"/>
            <w:shd w:fill="F2F2F2"/>
          </w:tcPr>
          <w:p>
            <w:pPr>
              <w:jc w:val="center"/>
            </w:pPr>
            <w:r/>
            <w:r>
              <w:rPr>
                <w:b w:val="0"/>
                <w:sz w:val="18"/>
              </w:rPr>
              <w:t>(R - G) / (R + G)</w:t>
            </w:r>
          </w:p>
        </w:tc>
        <w:tc>
          <w:tcPr>
            <w:tcW w:type="dxa" w:w="4365"/>
            <w:vAlign w:val="center"/>
            <w:shd w:fill="F2F2F2"/>
          </w:tcPr>
          <w:p>
            <w:pPr>
              <w:jc w:val="center"/>
            </w:pPr>
            <w:r/>
            <w:r>
              <w:rPr>
                <w:b w:val="0"/>
                <w:sz w:val="18"/>
              </w:rPr>
              <w:t>Comparer les canaux rouge et vert</w:t>
            </w:r>
          </w:p>
        </w:tc>
      </w:tr>
    </w:tbl>
    <w:p/>
    <w:p>
      <w:pPr>
        <w:spacing w:after="100"/>
      </w:pPr>
      <w:r>
        <w:t>La formule GRVI ci-dessus correspond à l'implémentation de `imagerie/stress_detector.py`. Cette convention doit être utilisée de manière identique dans les scripts et dans le rapport. Changer le signe de la formule impose de recalibrer les seuils et de réentraîner tout modèle associé.</w:t>
      </w:r>
    </w:p>
    <w:tbl>
      <w:tblPr>
        <w:tblW w:type="auto" w:w="0"/>
        <w:jc w:val="center"/>
        <w:tblLayout w:type="autofit"/>
        <w:tblLook w:firstColumn="1" w:firstRow="1" w:lastColumn="0" w:lastRow="0" w:noHBand="0" w:noVBand="1" w:val="04A0"/>
      </w:tblPr>
      <w:tblGrid>
        <w:gridCol w:w="1392"/>
        <w:gridCol w:w="1392"/>
        <w:gridCol w:w="1392"/>
        <w:gridCol w:w="1392"/>
        <w:gridCol w:w="1392"/>
        <w:gridCol w:w="1392"/>
        <w:gridCol w:w="1392"/>
      </w:tblGrid>
      <w:tr>
        <w:tc>
          <w:tcPr>
            <w:tcW w:type="dxa" w:w="1392"/>
            <w:shd w:fill="D9EAF7"/>
            <w:vAlign w:val="center"/>
          </w:tcPr>
          <w:p>
            <w:pPr>
              <w:jc w:val="center"/>
            </w:pPr>
            <w:r/>
            <w:r>
              <w:rPr>
                <w:b/>
                <w:color w:val="1F4E79"/>
                <w:sz w:val="18"/>
              </w:rPr>
              <w:t>Image RGB</w:t>
            </w:r>
          </w:p>
        </w:tc>
        <w:tc>
          <w:tcPr>
            <w:tcW w:type="dxa" w:w="1392"/>
            <w:vAlign w:val="center"/>
          </w:tcPr>
          <w:p>
            <w:pPr>
              <w:jc w:val="center"/>
            </w:pPr>
            <w:r/>
            <w:r>
              <w:rPr>
                <w:b/>
                <w:color w:val="1F4E79"/>
                <w:sz w:val="18"/>
              </w:rPr>
              <w:t>&gt;</w:t>
            </w:r>
          </w:p>
        </w:tc>
        <w:tc>
          <w:tcPr>
            <w:tcW w:type="dxa" w:w="1392"/>
            <w:shd w:fill="D9EAF7"/>
            <w:vAlign w:val="center"/>
          </w:tcPr>
          <w:p>
            <w:pPr>
              <w:jc w:val="center"/>
            </w:pPr>
            <w:r/>
            <w:r>
              <w:rPr>
                <w:b/>
                <w:color w:val="1F4E79"/>
                <w:sz w:val="18"/>
              </w:rPr>
              <w:t>Masque végétation</w:t>
            </w:r>
          </w:p>
        </w:tc>
        <w:tc>
          <w:tcPr>
            <w:tcW w:type="dxa" w:w="1392"/>
            <w:vAlign w:val="center"/>
          </w:tcPr>
          <w:p>
            <w:pPr>
              <w:jc w:val="center"/>
            </w:pPr>
            <w:r/>
            <w:r>
              <w:rPr>
                <w:b/>
                <w:color w:val="1F4E79"/>
                <w:sz w:val="18"/>
              </w:rPr>
              <w:t>&gt;</w:t>
            </w:r>
          </w:p>
        </w:tc>
        <w:tc>
          <w:tcPr>
            <w:tcW w:type="dxa" w:w="1392"/>
            <w:shd w:fill="D9EAF7"/>
            <w:vAlign w:val="center"/>
          </w:tcPr>
          <w:p>
            <w:pPr>
              <w:jc w:val="center"/>
            </w:pPr>
            <w:r/>
            <w:r>
              <w:rPr>
                <w:b/>
                <w:color w:val="1F4E79"/>
                <w:sz w:val="18"/>
              </w:rPr>
              <w:t>4 variables</w:t>
            </w:r>
          </w:p>
        </w:tc>
        <w:tc>
          <w:tcPr>
            <w:tcW w:type="dxa" w:w="1392"/>
            <w:vAlign w:val="center"/>
          </w:tcPr>
          <w:p>
            <w:pPr>
              <w:jc w:val="center"/>
            </w:pPr>
            <w:r/>
            <w:r>
              <w:rPr>
                <w:b/>
                <w:color w:val="1F4E79"/>
                <w:sz w:val="18"/>
              </w:rPr>
              <w:t>&gt;</w:t>
            </w:r>
          </w:p>
        </w:tc>
        <w:tc>
          <w:tcPr>
            <w:tcW w:type="dxa" w:w="1392"/>
            <w:shd w:fill="D9EAF7"/>
            <w:vAlign w:val="center"/>
          </w:tcPr>
          <w:p>
            <w:pPr>
              <w:jc w:val="center"/>
            </w:pPr>
            <w:r/>
            <w:r>
              <w:rPr>
                <w:b/>
                <w:color w:val="1F4E79"/>
                <w:sz w:val="18"/>
              </w:rPr>
              <w:t>Validation par plant</w:t>
            </w:r>
          </w:p>
        </w:tc>
      </w:tr>
    </w:tbl>
    <w:p>
      <w:r>
        <w:t>Schéma modifiable : cliquez dans chaque bloc pour modifier le texte.</w:t>
      </w:r>
    </w:p>
    <w:p>
      <w:pPr>
        <w:jc w:val="center"/>
      </w:pPr>
      <w:r>
        <w:drawing>
          <wp:inline xmlns:a="http://schemas.openxmlformats.org/drawingml/2006/main" xmlns:pic="http://schemas.openxmlformats.org/drawingml/2006/picture">
            <wp:extent cx="5400000" cy="2095091"/>
            <wp:docPr id="5" name="Picture 5"/>
            <wp:cNvGraphicFramePr>
              <a:graphicFrameLocks noChangeAspect="1"/>
            </wp:cNvGraphicFramePr>
            <a:graphic>
              <a:graphicData uri="http://schemas.openxmlformats.org/drawingml/2006/picture">
                <pic:pic>
                  <pic:nvPicPr>
                    <pic:cNvPr id="0" name="carte_ndvi.png"/>
                    <pic:cNvPicPr/>
                  </pic:nvPicPr>
                  <pic:blipFill>
                    <a:blip r:embed="rId15"/>
                    <a:stretch>
                      <a:fillRect/>
                    </a:stretch>
                  </pic:blipFill>
                  <pic:spPr>
                    <a:xfrm>
                      <a:off x="0" y="0"/>
                      <a:ext cx="5400000" cy="2095091"/>
                    </a:xfrm>
                    <a:prstGeom prst="rect"/>
                  </pic:spPr>
                </pic:pic>
              </a:graphicData>
            </a:graphic>
          </wp:inline>
        </w:drawing>
      </w:r>
    </w:p>
    <w:p>
      <w:pPr>
        <w:pStyle w:val="Caption"/>
        <w:jc w:val="center"/>
      </w:pPr>
      <w:r>
        <w:t>Figure 5. Illustration d'une carte d'indice de végétation présente dans le dépôt. Cette figure doit être décrite comme une visualisation et non comme une mesure NDVI calibrée.</w:t>
      </w:r>
    </w:p>
    <w:p>
      <w:pPr>
        <w:pStyle w:val="Heading2"/>
        <w:spacing w:before="240" w:after="120"/>
      </w:pPr>
      <w:r>
        <w:t>5.2 Classification et limites méthodologiques</w:t>
      </w:r>
    </w:p>
    <w:p>
      <w:pPr>
        <w:spacing w:after="100"/>
      </w:pPr>
      <w:r>
        <w:t>Le classificateur Random Forest utilise quatre variables : ExG moyen, ExG écart type, GRVI moyen et GRVI écart type. Le fichier historique `train_classifier.py` génère des données synthétiques. Son score ne doit pas être interprété comme une performance sur des plants réels.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268"/>
            <w:shd w:fill="1F4E79"/>
            <w:vAlign w:val="center"/>
          </w:tcPr>
          <w:p>
            <w:pPr>
              <w:jc w:val="center"/>
            </w:pPr>
            <w:r/>
            <w:r>
              <w:rPr>
                <w:b/>
                <w:color w:val="FFFFFF"/>
                <w:sz w:val="18"/>
              </w:rPr>
              <w:t>Élément</w:t>
            </w:r>
          </w:p>
        </w:tc>
        <w:tc>
          <w:tcPr>
            <w:tcW w:type="dxa" w:w="3798"/>
            <w:shd w:fill="1F4E79"/>
            <w:vAlign w:val="center"/>
          </w:tcPr>
          <w:p>
            <w:pPr>
              <w:jc w:val="center"/>
            </w:pPr>
            <w:r/>
            <w:r>
              <w:rPr>
                <w:b/>
                <w:color w:val="FFFFFF"/>
                <w:sz w:val="18"/>
              </w:rPr>
              <w:t>Pratique à retenir</w:t>
            </w:r>
          </w:p>
        </w:tc>
        <w:tc>
          <w:tcPr>
            <w:tcW w:type="dxa" w:w="3118"/>
            <w:shd w:fill="1F4E79"/>
            <w:vAlign w:val="center"/>
          </w:tcPr>
          <w:p>
            <w:pPr>
              <w:jc w:val="center"/>
            </w:pPr>
            <w:r/>
            <w:r>
              <w:rPr>
                <w:b/>
                <w:color w:val="FFFFFF"/>
                <w:sz w:val="18"/>
              </w:rPr>
              <w:t>Risque évité</w:t>
            </w:r>
          </w:p>
        </w:tc>
      </w:tr>
      <w:tr>
        <w:tc>
          <w:tcPr>
            <w:tcW w:type="dxa" w:w="2268"/>
            <w:vAlign w:val="center"/>
          </w:tcPr>
          <w:p>
            <w:pPr>
              <w:jc w:val="center"/>
            </w:pPr>
            <w:r/>
            <w:r>
              <w:rPr>
                <w:b w:val="0"/>
                <w:sz w:val="18"/>
              </w:rPr>
              <w:t>Séparation des données</w:t>
            </w:r>
          </w:p>
        </w:tc>
        <w:tc>
          <w:tcPr>
            <w:tcW w:type="dxa" w:w="3798"/>
            <w:vAlign w:val="center"/>
          </w:tcPr>
          <w:p>
            <w:pPr>
              <w:jc w:val="center"/>
            </w:pPr>
            <w:r/>
            <w:r>
              <w:rPr>
                <w:b w:val="0"/>
                <w:sz w:val="18"/>
              </w:rPr>
              <w:t>Séparer les plants avec plant_id</w:t>
            </w:r>
          </w:p>
        </w:tc>
        <w:tc>
          <w:tcPr>
            <w:tcW w:type="dxa" w:w="3118"/>
            <w:vAlign w:val="center"/>
          </w:tcPr>
          <w:p>
            <w:pPr>
              <w:jc w:val="center"/>
            </w:pPr>
            <w:r/>
            <w:r>
              <w:rPr>
                <w:b w:val="0"/>
                <w:sz w:val="18"/>
              </w:rPr>
              <w:t>Même plant présent en apprentissage et test</w:t>
            </w:r>
          </w:p>
        </w:tc>
      </w:tr>
      <w:tr>
        <w:tc>
          <w:tcPr>
            <w:tcW w:type="dxa" w:w="2268"/>
            <w:vAlign w:val="center"/>
            <w:shd w:fill="F2F2F2"/>
          </w:tcPr>
          <w:p>
            <w:pPr>
              <w:jc w:val="center"/>
            </w:pPr>
            <w:r/>
            <w:r>
              <w:rPr>
                <w:b w:val="0"/>
                <w:sz w:val="18"/>
              </w:rPr>
              <w:t>Métriques</w:t>
            </w:r>
          </w:p>
        </w:tc>
        <w:tc>
          <w:tcPr>
            <w:tcW w:type="dxa" w:w="3798"/>
            <w:vAlign w:val="center"/>
            <w:shd w:fill="F2F2F2"/>
          </w:tcPr>
          <w:p>
            <w:pPr>
              <w:jc w:val="center"/>
            </w:pPr>
            <w:r/>
            <w:r>
              <w:rPr>
                <w:b w:val="0"/>
                <w:sz w:val="18"/>
              </w:rPr>
              <w:t>F1, accuracy, kappa et MCC</w:t>
            </w:r>
          </w:p>
        </w:tc>
        <w:tc>
          <w:tcPr>
            <w:tcW w:type="dxa" w:w="3118"/>
            <w:vAlign w:val="center"/>
            <w:shd w:fill="F2F2F2"/>
          </w:tcPr>
          <w:p>
            <w:pPr>
              <w:jc w:val="center"/>
            </w:pPr>
            <w:r/>
            <w:r>
              <w:rPr>
                <w:b w:val="0"/>
                <w:sz w:val="18"/>
              </w:rPr>
              <w:t>Lecture unique d'un score isolé</w:t>
            </w:r>
          </w:p>
        </w:tc>
      </w:tr>
      <w:tr>
        <w:tc>
          <w:tcPr>
            <w:tcW w:type="dxa" w:w="2268"/>
            <w:vAlign w:val="center"/>
          </w:tcPr>
          <w:p>
            <w:pPr>
              <w:jc w:val="center"/>
            </w:pPr>
            <w:r/>
            <w:r>
              <w:rPr>
                <w:b w:val="0"/>
                <w:sz w:val="18"/>
              </w:rPr>
              <w:t>Données actuelles</w:t>
            </w:r>
          </w:p>
        </w:tc>
        <w:tc>
          <w:tcPr>
            <w:tcW w:type="dxa" w:w="3798"/>
            <w:vAlign w:val="center"/>
          </w:tcPr>
          <w:p>
            <w:pPr>
              <w:jc w:val="center"/>
            </w:pPr>
            <w:r/>
            <w:r>
              <w:rPr>
                <w:b w:val="0"/>
                <w:sz w:val="18"/>
              </w:rPr>
              <w:t>Démo synthétique seulement</w:t>
            </w:r>
          </w:p>
        </w:tc>
        <w:tc>
          <w:tcPr>
            <w:tcW w:type="dxa" w:w="3118"/>
            <w:vAlign w:val="center"/>
          </w:tcPr>
          <w:p>
            <w:pPr>
              <w:jc w:val="center"/>
            </w:pPr>
            <w:r/>
            <w:r>
              <w:rPr>
                <w:b w:val="0"/>
                <w:sz w:val="18"/>
              </w:rPr>
              <w:t>Conclusion terrain non justifiée</w:t>
            </w:r>
          </w:p>
        </w:tc>
      </w:tr>
      <w:tr>
        <w:tc>
          <w:tcPr>
            <w:tcW w:type="dxa" w:w="2268"/>
            <w:vAlign w:val="center"/>
            <w:shd w:fill="F2F2F2"/>
          </w:tcPr>
          <w:p>
            <w:pPr>
              <w:jc w:val="center"/>
            </w:pPr>
            <w:r/>
            <w:r>
              <w:rPr>
                <w:b w:val="0"/>
                <w:sz w:val="18"/>
              </w:rPr>
              <w:t>Données futures</w:t>
            </w:r>
          </w:p>
        </w:tc>
        <w:tc>
          <w:tcPr>
            <w:tcW w:type="dxa" w:w="3798"/>
            <w:vAlign w:val="center"/>
            <w:shd w:fill="F2F2F2"/>
          </w:tcPr>
          <w:p>
            <w:pPr>
              <w:jc w:val="center"/>
            </w:pPr>
            <w:r/>
            <w:r>
              <w:rPr>
                <w:b w:val="0"/>
                <w:sz w:val="18"/>
              </w:rPr>
              <w:t>Plusieurs vues et mesures par pot</w:t>
            </w:r>
          </w:p>
        </w:tc>
        <w:tc>
          <w:tcPr>
            <w:tcW w:type="dxa" w:w="3118"/>
            <w:vAlign w:val="center"/>
            <w:shd w:fill="F2F2F2"/>
          </w:tcPr>
          <w:p>
            <w:pPr>
              <w:jc w:val="center"/>
            </w:pPr>
            <w:r/>
            <w:r>
              <w:rPr>
                <w:b w:val="0"/>
                <w:sz w:val="18"/>
              </w:rPr>
              <w:t>Absence de traçabilité expérimentale</w:t>
            </w:r>
          </w:p>
        </w:tc>
      </w:tr>
    </w:tbl>
    <w:p/>
    <w:p>
      <w:pPr>
        <w:jc w:val="center"/>
      </w:pPr>
      <w:r>
        <w:drawing>
          <wp:inline xmlns:a="http://schemas.openxmlformats.org/drawingml/2006/main" xmlns:pic="http://schemas.openxmlformats.org/drawingml/2006/picture">
            <wp:extent cx="5400000" cy="3200707"/>
            <wp:docPr id="6" name="Picture 6"/>
            <wp:cNvGraphicFramePr>
              <a:graphicFrameLocks noChangeAspect="1"/>
            </wp:cNvGraphicFramePr>
            <a:graphic>
              <a:graphicData uri="http://schemas.openxmlformats.org/drawingml/2006/picture">
                <pic:pic>
                  <pic:nvPicPr>
                    <pic:cNvPr id="0" name="importance_features.png"/>
                    <pic:cNvPicPr/>
                  </pic:nvPicPr>
                  <pic:blipFill>
                    <a:blip r:embed="rId16"/>
                    <a:stretch>
                      <a:fillRect/>
                    </a:stretch>
                  </pic:blipFill>
                  <pic:spPr>
                    <a:xfrm>
                      <a:off x="0" y="0"/>
                      <a:ext cx="5400000" cy="3200707"/>
                    </a:xfrm>
                    <a:prstGeom prst="rect"/>
                  </pic:spPr>
                </pic:pic>
              </a:graphicData>
            </a:graphic>
          </wp:inline>
        </w:drawing>
      </w:r>
    </w:p>
    <w:p>
      <w:pPr>
        <w:pStyle w:val="Caption"/>
        <w:jc w:val="center"/>
      </w:pPr>
      <w:r>
        <w:t>Figure 6. Importance des variables pour le modèle exploratoire fourni dans le dépôt.</w:t>
      </w:r>
    </w:p>
    <w:p>
      <w:pPr>
        <w:jc w:val="center"/>
      </w:pPr>
      <w:r>
        <w:drawing>
          <wp:inline xmlns:a="http://schemas.openxmlformats.org/drawingml/2006/main" xmlns:pic="http://schemas.openxmlformats.org/drawingml/2006/picture">
            <wp:extent cx="5400000" cy="5058447"/>
            <wp:docPr id="7" name="Picture 7"/>
            <wp:cNvGraphicFramePr>
              <a:graphicFrameLocks noChangeAspect="1"/>
            </wp:cNvGraphicFramePr>
            <a:graphic>
              <a:graphicData uri="http://schemas.openxmlformats.org/drawingml/2006/picture">
                <pic:pic>
                  <pic:nvPicPr>
                    <pic:cNvPr id="0" name="matrice_confusion.png"/>
                    <pic:cNvPicPr/>
                  </pic:nvPicPr>
                  <pic:blipFill>
                    <a:blip r:embed="rId17"/>
                    <a:stretch>
                      <a:fillRect/>
                    </a:stretch>
                  </pic:blipFill>
                  <pic:spPr>
                    <a:xfrm>
                      <a:off x="0" y="0"/>
                      <a:ext cx="5400000" cy="5058447"/>
                    </a:xfrm>
                    <a:prstGeom prst="rect"/>
                  </pic:spPr>
                </pic:pic>
              </a:graphicData>
            </a:graphic>
          </wp:inline>
        </w:drawing>
      </w:r>
    </w:p>
    <w:p>
      <w:pPr>
        <w:pStyle w:val="Caption"/>
        <w:jc w:val="center"/>
      </w:pPr>
      <w:r>
        <w:t>Figure 7. Matrice de confusion issue du jeu de démonstration. Elle ne remplace pas une évaluation sur images réelles.</w:t>
      </w:r>
    </w:p>
    <w:p>
      <w:pPr>
        <w:jc w:val="center"/>
      </w:pPr>
      <w:r>
        <w:drawing>
          <wp:inline xmlns:a="http://schemas.openxmlformats.org/drawingml/2006/main" xmlns:pic="http://schemas.openxmlformats.org/drawingml/2006/picture">
            <wp:extent cx="5400000" cy="3201214"/>
            <wp:docPr id="8" name="Picture 8"/>
            <wp:cNvGraphicFramePr>
              <a:graphicFrameLocks noChangeAspect="1"/>
            </wp:cNvGraphicFramePr>
            <a:graphic>
              <a:graphicData uri="http://schemas.openxmlformats.org/drawingml/2006/picture">
                <pic:pic>
                  <pic:nvPicPr>
                    <pic:cNvPr id="0" name="comparaison_algorithmes.png"/>
                    <pic:cNvPicPr/>
                  </pic:nvPicPr>
                  <pic:blipFill>
                    <a:blip r:embed="rId18"/>
                    <a:stretch>
                      <a:fillRect/>
                    </a:stretch>
                  </pic:blipFill>
                  <pic:spPr>
                    <a:xfrm>
                      <a:off x="0" y="0"/>
                      <a:ext cx="5400000" cy="3201214"/>
                    </a:xfrm>
                    <a:prstGeom prst="rect"/>
                  </pic:spPr>
                </pic:pic>
              </a:graphicData>
            </a:graphic>
          </wp:inline>
        </w:drawing>
      </w:r>
    </w:p>
    <w:p>
      <w:pPr>
        <w:pStyle w:val="Caption"/>
        <w:jc w:val="center"/>
      </w:pPr>
      <w:r>
        <w:t>Figure 8. Comparaison d'algorithmes présente dans le dépôt. Les conditions exactes d'évaluation doivent être indiquées avant toute conclusion comparative.</w:t>
      </w:r>
    </w:p>
    <w:p>
      <w:pPr>
        <w:pStyle w:val="Heading1"/>
        <w:spacing w:before="240" w:after="120"/>
      </w:pPr>
      <w:r>
        <w:t>6. Prototype de vol et navigation</w:t>
      </w:r>
    </w:p>
    <w:p>
      <w:pPr>
        <w:spacing w:after="100"/>
      </w:pPr>
      <w:r>
        <w:t>Le résultat minimal attendu est un prototype de vol basique, documenté par un décollage, un stationnaire et un atterrissage. Les informations de sécurité et les mesures réellement observées doivent être consignées dans une fiche d'essai et accompagnées d'une vidéo courte.</w:t>
      </w:r>
    </w:p>
    <w:p>
      <w:pPr>
        <w:spacing w:after="120"/>
      </w:pPr>
      <w:r>
        <w:rPr>
          <w:b/>
          <w:highlight w:val="yellow"/>
        </w:rPr>
        <w:t>À compléter : date d'essai, masse du drone, batterie utilisée, durée de stationnaire, dérive observée et lien vers la vidéo.</w:t>
      </w:r>
    </w:p>
    <w:p>
      <w:pPr>
        <w:pStyle w:val="Heading2"/>
        <w:spacing w:before="240" w:after="120"/>
      </w:pPr>
      <w:r>
        <w:t>6.1 Proposition IMU + ArUco</w:t>
      </w:r>
    </w:p>
    <w:p>
      <w:pPr>
        <w:spacing w:after="100"/>
      </w:pPr>
      <w:r>
        <w:t>La correction mécanique du centre de gravité a été testée selon le binôme. Une navigation hybride IMU + ArUco est proposée pour compenser les limites du GPS sur une petite parcelle. Cette proposition doit être validée par les encadrants avant d'être annoncée comme une solution mise en oeuvre.</w:t>
      </w:r>
    </w:p>
    <w:tbl>
      <w:tblPr>
        <w:tblW w:type="auto" w:w="0"/>
        <w:jc w:val="center"/>
        <w:tblLayout w:type="autofit"/>
        <w:tblLook w:firstColumn="1" w:firstRow="1" w:lastColumn="0" w:lastRow="0" w:noHBand="0" w:noVBand="1" w:val="04A0"/>
      </w:tblPr>
      <w:tblGrid>
        <w:gridCol w:w="1392"/>
        <w:gridCol w:w="1392"/>
        <w:gridCol w:w="1392"/>
        <w:gridCol w:w="1392"/>
        <w:gridCol w:w="1392"/>
        <w:gridCol w:w="1392"/>
        <w:gridCol w:w="1392"/>
      </w:tblGrid>
      <w:tr>
        <w:tc>
          <w:tcPr>
            <w:tcW w:type="dxa" w:w="1392"/>
            <w:shd w:fill="D9EAF7"/>
            <w:vAlign w:val="center"/>
          </w:tcPr>
          <w:p>
            <w:pPr>
              <w:jc w:val="center"/>
            </w:pPr>
            <w:r/>
            <w:r>
              <w:rPr>
                <w:b/>
                <w:color w:val="1F4E79"/>
                <w:sz w:val="18"/>
              </w:rPr>
              <w:t>IMU</w:t>
            </w:r>
          </w:p>
        </w:tc>
        <w:tc>
          <w:tcPr>
            <w:tcW w:type="dxa" w:w="1392"/>
            <w:vAlign w:val="center"/>
          </w:tcPr>
          <w:p>
            <w:pPr>
              <w:jc w:val="center"/>
            </w:pPr>
            <w:r/>
            <w:r>
              <w:rPr>
                <w:b/>
                <w:color w:val="1F4E79"/>
                <w:sz w:val="18"/>
              </w:rPr>
              <w:t>&gt;</w:t>
            </w:r>
          </w:p>
        </w:tc>
        <w:tc>
          <w:tcPr>
            <w:tcW w:type="dxa" w:w="1392"/>
            <w:shd w:fill="D9EAF7"/>
            <w:vAlign w:val="center"/>
          </w:tcPr>
          <w:p>
            <w:pPr>
              <w:jc w:val="center"/>
            </w:pPr>
            <w:r/>
            <w:r>
              <w:rPr>
                <w:b/>
                <w:color w:val="1F4E79"/>
                <w:sz w:val="18"/>
              </w:rPr>
              <w:t>Filtre de fusion</w:t>
            </w:r>
          </w:p>
        </w:tc>
        <w:tc>
          <w:tcPr>
            <w:tcW w:type="dxa" w:w="1392"/>
            <w:vAlign w:val="center"/>
          </w:tcPr>
          <w:p>
            <w:pPr>
              <w:jc w:val="center"/>
            </w:pPr>
            <w:r/>
            <w:r>
              <w:rPr>
                <w:b/>
                <w:color w:val="1F4E79"/>
                <w:sz w:val="18"/>
              </w:rPr>
              <w:t>&gt;</w:t>
            </w:r>
          </w:p>
        </w:tc>
        <w:tc>
          <w:tcPr>
            <w:tcW w:type="dxa" w:w="1392"/>
            <w:shd w:fill="D9EAF7"/>
            <w:vAlign w:val="center"/>
          </w:tcPr>
          <w:p>
            <w:pPr>
              <w:jc w:val="center"/>
            </w:pPr>
            <w:r/>
            <w:r>
              <w:rPr>
                <w:b/>
                <w:color w:val="1F4E79"/>
                <w:sz w:val="18"/>
              </w:rPr>
              <w:t>Correction ArUco</w:t>
            </w:r>
          </w:p>
        </w:tc>
        <w:tc>
          <w:tcPr>
            <w:tcW w:type="dxa" w:w="1392"/>
            <w:vAlign w:val="center"/>
          </w:tcPr>
          <w:p>
            <w:pPr>
              <w:jc w:val="center"/>
            </w:pPr>
            <w:r/>
            <w:r>
              <w:rPr>
                <w:b/>
                <w:color w:val="1F4E79"/>
                <w:sz w:val="18"/>
              </w:rPr>
              <w:t>&gt;</w:t>
            </w:r>
          </w:p>
        </w:tc>
        <w:tc>
          <w:tcPr>
            <w:tcW w:type="dxa" w:w="1392"/>
            <w:shd w:fill="D9EAF7"/>
            <w:vAlign w:val="center"/>
          </w:tcPr>
          <w:p>
            <w:pPr>
              <w:jc w:val="center"/>
            </w:pPr>
            <w:r/>
            <w:r>
              <w:rPr>
                <w:b/>
                <w:color w:val="1F4E79"/>
                <w:sz w:val="18"/>
              </w:rPr>
              <w:t>Stationnaire ou trajectoire</w:t>
            </w:r>
          </w:p>
        </w:tc>
      </w:tr>
    </w:tbl>
    <w:p>
      <w:r>
        <w:t>Schéma modifiable : cliquez dans chaque bloc pour modifier le texte.</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381"/>
            <w:shd w:fill="1F4E79"/>
            <w:vAlign w:val="center"/>
          </w:tcPr>
          <w:p>
            <w:pPr>
              <w:jc w:val="center"/>
            </w:pPr>
            <w:r/>
            <w:r>
              <w:rPr>
                <w:b/>
                <w:color w:val="FFFFFF"/>
                <w:sz w:val="18"/>
              </w:rPr>
              <w:t>Essai</w:t>
            </w:r>
          </w:p>
        </w:tc>
        <w:tc>
          <w:tcPr>
            <w:tcW w:type="dxa" w:w="4025"/>
            <w:shd w:fill="1F4E79"/>
            <w:vAlign w:val="center"/>
          </w:tcPr>
          <w:p>
            <w:pPr>
              <w:jc w:val="center"/>
            </w:pPr>
            <w:r/>
            <w:r>
              <w:rPr>
                <w:b/>
                <w:color w:val="FFFFFF"/>
                <w:sz w:val="18"/>
              </w:rPr>
              <w:t>Mesure à relever</w:t>
            </w:r>
          </w:p>
        </w:tc>
        <w:tc>
          <w:tcPr>
            <w:tcW w:type="dxa" w:w="2778"/>
            <w:shd w:fill="1F4E79"/>
            <w:vAlign w:val="center"/>
          </w:tcPr>
          <w:p>
            <w:pPr>
              <w:jc w:val="center"/>
            </w:pPr>
            <w:r/>
            <w:r>
              <w:rPr>
                <w:b/>
                <w:color w:val="FFFFFF"/>
                <w:sz w:val="18"/>
              </w:rPr>
              <w:t>Critère indicatif</w:t>
            </w:r>
          </w:p>
        </w:tc>
      </w:tr>
      <w:tr>
        <w:tc>
          <w:tcPr>
            <w:tcW w:type="dxa" w:w="2381"/>
            <w:vAlign w:val="center"/>
          </w:tcPr>
          <w:p>
            <w:pPr>
              <w:jc w:val="center"/>
            </w:pPr>
            <w:r/>
            <w:r>
              <w:rPr>
                <w:b w:val="0"/>
                <w:sz w:val="18"/>
              </w:rPr>
              <w:t>Détection marqueur</w:t>
            </w:r>
          </w:p>
        </w:tc>
        <w:tc>
          <w:tcPr>
            <w:tcW w:type="dxa" w:w="4025"/>
            <w:vAlign w:val="center"/>
          </w:tcPr>
          <w:p>
            <w:pPr>
              <w:jc w:val="center"/>
            </w:pPr>
            <w:r/>
            <w:r>
              <w:rPr>
                <w:b w:val="0"/>
                <w:sz w:val="18"/>
              </w:rPr>
              <w:t>Taux de détection selon hauteur et lumière</w:t>
            </w:r>
          </w:p>
        </w:tc>
        <w:tc>
          <w:tcPr>
            <w:tcW w:type="dxa" w:w="2778"/>
            <w:vAlign w:val="center"/>
          </w:tcPr>
          <w:p>
            <w:pPr>
              <w:jc w:val="center"/>
            </w:pPr>
            <w:r/>
            <w:r>
              <w:rPr>
                <w:b w:val="0"/>
                <w:sz w:val="18"/>
              </w:rPr>
              <w:t>Valeur mesurée</w:t>
            </w:r>
          </w:p>
        </w:tc>
      </w:tr>
      <w:tr>
        <w:tc>
          <w:tcPr>
            <w:tcW w:type="dxa" w:w="2381"/>
            <w:vAlign w:val="center"/>
            <w:shd w:fill="F2F2F2"/>
          </w:tcPr>
          <w:p>
            <w:pPr>
              <w:jc w:val="center"/>
            </w:pPr>
            <w:r/>
            <w:r>
              <w:rPr>
                <w:b w:val="0"/>
                <w:sz w:val="18"/>
              </w:rPr>
              <w:t>Position statique</w:t>
            </w:r>
          </w:p>
        </w:tc>
        <w:tc>
          <w:tcPr>
            <w:tcW w:type="dxa" w:w="4025"/>
            <w:vAlign w:val="center"/>
            <w:shd w:fill="F2F2F2"/>
          </w:tcPr>
          <w:p>
            <w:pPr>
              <w:jc w:val="center"/>
            </w:pPr>
            <w:r/>
            <w:r>
              <w:rPr>
                <w:b w:val="0"/>
                <w:sz w:val="18"/>
              </w:rPr>
              <w:t>Écart avec ruban</w:t>
            </w:r>
          </w:p>
        </w:tc>
        <w:tc>
          <w:tcPr>
            <w:tcW w:type="dxa" w:w="2778"/>
            <w:vAlign w:val="center"/>
            <w:shd w:fill="F2F2F2"/>
          </w:tcPr>
          <w:p>
            <w:pPr>
              <w:jc w:val="center"/>
            </w:pPr>
            <w:r/>
            <w:r>
              <w:rPr>
                <w:b w:val="0"/>
                <w:sz w:val="18"/>
              </w:rPr>
              <w:t>Objectif inférieur à 5 cm</w:t>
            </w:r>
          </w:p>
        </w:tc>
      </w:tr>
      <w:tr>
        <w:tc>
          <w:tcPr>
            <w:tcW w:type="dxa" w:w="2381"/>
            <w:vAlign w:val="center"/>
          </w:tcPr>
          <w:p>
            <w:pPr>
              <w:jc w:val="center"/>
            </w:pPr>
            <w:r/>
            <w:r>
              <w:rPr>
                <w:b w:val="0"/>
                <w:sz w:val="18"/>
              </w:rPr>
              <w:t>Stationnaire</w:t>
            </w:r>
          </w:p>
        </w:tc>
        <w:tc>
          <w:tcPr>
            <w:tcW w:type="dxa" w:w="4025"/>
            <w:vAlign w:val="center"/>
          </w:tcPr>
          <w:p>
            <w:pPr>
              <w:jc w:val="center"/>
            </w:pPr>
            <w:r/>
            <w:r>
              <w:rPr>
                <w:b w:val="0"/>
                <w:sz w:val="18"/>
              </w:rPr>
              <w:t>Dérive pendant 30 secondes</w:t>
            </w:r>
          </w:p>
        </w:tc>
        <w:tc>
          <w:tcPr>
            <w:tcW w:type="dxa" w:w="2778"/>
            <w:vAlign w:val="center"/>
          </w:tcPr>
          <w:p>
            <w:pPr>
              <w:jc w:val="center"/>
            </w:pPr>
            <w:r/>
            <w:r>
              <w:rPr>
                <w:b w:val="0"/>
                <w:sz w:val="18"/>
              </w:rPr>
              <w:t>Valeur mesurée</w:t>
            </w:r>
          </w:p>
        </w:tc>
      </w:tr>
      <w:tr>
        <w:tc>
          <w:tcPr>
            <w:tcW w:type="dxa" w:w="2381"/>
            <w:vAlign w:val="center"/>
            <w:shd w:fill="F2F2F2"/>
          </w:tcPr>
          <w:p>
            <w:pPr>
              <w:jc w:val="center"/>
            </w:pPr>
            <w:r/>
            <w:r>
              <w:rPr>
                <w:b w:val="0"/>
                <w:sz w:val="18"/>
              </w:rPr>
              <w:t>Perte de marqueur</w:t>
            </w:r>
          </w:p>
        </w:tc>
        <w:tc>
          <w:tcPr>
            <w:tcW w:type="dxa" w:w="4025"/>
            <w:vAlign w:val="center"/>
            <w:shd w:fill="F2F2F2"/>
          </w:tcPr>
          <w:p>
            <w:pPr>
              <w:jc w:val="center"/>
            </w:pPr>
            <w:r/>
            <w:r>
              <w:rPr>
                <w:b w:val="0"/>
                <w:sz w:val="18"/>
              </w:rPr>
              <w:t>Réaction de sécurité</w:t>
            </w:r>
          </w:p>
        </w:tc>
        <w:tc>
          <w:tcPr>
            <w:tcW w:type="dxa" w:w="2778"/>
            <w:vAlign w:val="center"/>
            <w:shd w:fill="F2F2F2"/>
          </w:tcPr>
          <w:p>
            <w:pPr>
              <w:jc w:val="center"/>
            </w:pPr>
            <w:r/>
            <w:r>
              <w:rPr>
                <w:b w:val="0"/>
                <w:sz w:val="18"/>
              </w:rPr>
              <w:t>Stationnaire ou atterrissage</w:t>
            </w:r>
          </w:p>
        </w:tc>
      </w:tr>
    </w:tbl>
    <w:p/>
    <w:p>
      <w:pPr>
        <w:pStyle w:val="Heading1"/>
        <w:spacing w:before="240" w:after="120"/>
      </w:pPr>
      <w:r>
        <w:t>7. Gestion de l'énergie et sécurité</w:t>
      </w:r>
    </w:p>
    <w:p>
      <w:pPr>
        <w:spacing w:after="100"/>
      </w:pPr>
      <w:r>
        <w:t>La courbe de décharge LiPo est utilisée comme référence indicative. Les seuils doivent être validés sous charge avec la batterie réelle, car tension, température et vieillissement influencent la mesure.</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551"/>
            <w:shd w:fill="1F4E79"/>
            <w:vAlign w:val="center"/>
          </w:tcPr>
          <w:p>
            <w:pPr>
              <w:jc w:val="center"/>
            </w:pPr>
            <w:r/>
            <w:r>
              <w:rPr>
                <w:b/>
                <w:color w:val="FFFFFF"/>
                <w:sz w:val="18"/>
              </w:rPr>
              <w:t>Niveau</w:t>
            </w:r>
          </w:p>
        </w:tc>
        <w:tc>
          <w:tcPr>
            <w:tcW w:type="dxa" w:w="2891"/>
            <w:shd w:fill="1F4E79"/>
            <w:vAlign w:val="center"/>
          </w:tcPr>
          <w:p>
            <w:pPr>
              <w:jc w:val="center"/>
            </w:pPr>
            <w:r/>
            <w:r>
              <w:rPr>
                <w:b/>
                <w:color w:val="FFFFFF"/>
                <w:sz w:val="18"/>
              </w:rPr>
              <w:t>Seuil de référence</w:t>
            </w:r>
          </w:p>
        </w:tc>
        <w:tc>
          <w:tcPr>
            <w:tcW w:type="dxa" w:w="3742"/>
            <w:shd w:fill="1F4E79"/>
            <w:vAlign w:val="center"/>
          </w:tcPr>
          <w:p>
            <w:pPr>
              <w:jc w:val="center"/>
            </w:pPr>
            <w:r/>
            <w:r>
              <w:rPr>
                <w:b/>
                <w:color w:val="FFFFFF"/>
                <w:sz w:val="18"/>
              </w:rPr>
              <w:t>Action</w:t>
            </w:r>
          </w:p>
        </w:tc>
      </w:tr>
      <w:tr>
        <w:tc>
          <w:tcPr>
            <w:tcW w:type="dxa" w:w="2551"/>
            <w:vAlign w:val="center"/>
          </w:tcPr>
          <w:p>
            <w:pPr>
              <w:jc w:val="center"/>
            </w:pPr>
            <w:r/>
            <w:r>
              <w:rPr>
                <w:b w:val="0"/>
                <w:sz w:val="18"/>
              </w:rPr>
              <w:t>Normal</w:t>
            </w:r>
          </w:p>
        </w:tc>
        <w:tc>
          <w:tcPr>
            <w:tcW w:type="dxa" w:w="2891"/>
            <w:vAlign w:val="center"/>
          </w:tcPr>
          <w:p>
            <w:pPr>
              <w:jc w:val="center"/>
            </w:pPr>
            <w:r/>
            <w:r>
              <w:rPr>
                <w:b w:val="0"/>
                <w:sz w:val="18"/>
              </w:rPr>
              <w:t>Supérieur à 3,80 V</w:t>
            </w:r>
          </w:p>
        </w:tc>
        <w:tc>
          <w:tcPr>
            <w:tcW w:type="dxa" w:w="3742"/>
            <w:vAlign w:val="center"/>
          </w:tcPr>
          <w:p>
            <w:pPr>
              <w:jc w:val="center"/>
            </w:pPr>
            <w:r/>
            <w:r>
              <w:rPr>
                <w:b w:val="0"/>
                <w:sz w:val="18"/>
              </w:rPr>
              <w:t>Mission possible sous surveillance</w:t>
            </w:r>
          </w:p>
        </w:tc>
      </w:tr>
      <w:tr>
        <w:tc>
          <w:tcPr>
            <w:tcW w:type="dxa" w:w="2551"/>
            <w:vAlign w:val="center"/>
            <w:shd w:fill="F2F2F2"/>
          </w:tcPr>
          <w:p>
            <w:pPr>
              <w:jc w:val="center"/>
            </w:pPr>
            <w:r/>
            <w:r>
              <w:rPr>
                <w:b w:val="0"/>
                <w:sz w:val="18"/>
              </w:rPr>
              <w:t>Attention</w:t>
            </w:r>
          </w:p>
        </w:tc>
        <w:tc>
          <w:tcPr>
            <w:tcW w:type="dxa" w:w="2891"/>
            <w:vAlign w:val="center"/>
            <w:shd w:fill="F2F2F2"/>
          </w:tcPr>
          <w:p>
            <w:pPr>
              <w:jc w:val="center"/>
            </w:pPr>
            <w:r/>
            <w:r>
              <w:rPr>
                <w:b w:val="0"/>
                <w:sz w:val="18"/>
              </w:rPr>
              <w:t>Environ 3,70 V</w:t>
            </w:r>
          </w:p>
        </w:tc>
        <w:tc>
          <w:tcPr>
            <w:tcW w:type="dxa" w:w="3742"/>
            <w:vAlign w:val="center"/>
            <w:shd w:fill="F2F2F2"/>
          </w:tcPr>
          <w:p>
            <w:pPr>
              <w:jc w:val="center"/>
            </w:pPr>
            <w:r/>
            <w:r>
              <w:rPr>
                <w:b w:val="0"/>
                <w:sz w:val="18"/>
              </w:rPr>
              <w:t>Préparer le retour</w:t>
            </w:r>
          </w:p>
        </w:tc>
      </w:tr>
      <w:tr>
        <w:tc>
          <w:tcPr>
            <w:tcW w:type="dxa" w:w="2551"/>
            <w:vAlign w:val="center"/>
          </w:tcPr>
          <w:p>
            <w:pPr>
              <w:jc w:val="center"/>
            </w:pPr>
            <w:r/>
            <w:r>
              <w:rPr>
                <w:b w:val="0"/>
                <w:sz w:val="18"/>
              </w:rPr>
              <w:t>Retour recommandé</w:t>
            </w:r>
          </w:p>
        </w:tc>
        <w:tc>
          <w:tcPr>
            <w:tcW w:type="dxa" w:w="2891"/>
            <w:vAlign w:val="center"/>
          </w:tcPr>
          <w:p>
            <w:pPr>
              <w:jc w:val="center"/>
            </w:pPr>
            <w:r/>
            <w:r>
              <w:rPr>
                <w:b w:val="0"/>
                <w:sz w:val="18"/>
              </w:rPr>
              <w:t>3,65 V</w:t>
            </w:r>
          </w:p>
        </w:tc>
        <w:tc>
          <w:tcPr>
            <w:tcW w:type="dxa" w:w="3742"/>
            <w:vAlign w:val="center"/>
          </w:tcPr>
          <w:p>
            <w:pPr>
              <w:jc w:val="center"/>
            </w:pPr>
            <w:r/>
            <w:r>
              <w:rPr>
                <w:b w:val="0"/>
                <w:sz w:val="18"/>
              </w:rPr>
              <w:t>Interrompre la mission</w:t>
            </w:r>
          </w:p>
        </w:tc>
      </w:tr>
      <w:tr>
        <w:tc>
          <w:tcPr>
            <w:tcW w:type="dxa" w:w="2551"/>
            <w:vAlign w:val="center"/>
            <w:shd w:fill="F2F2F2"/>
          </w:tcPr>
          <w:p>
            <w:pPr>
              <w:jc w:val="center"/>
            </w:pPr>
            <w:r/>
            <w:r>
              <w:rPr>
                <w:b w:val="0"/>
                <w:sz w:val="18"/>
              </w:rPr>
              <w:t>Urgence</w:t>
            </w:r>
          </w:p>
        </w:tc>
        <w:tc>
          <w:tcPr>
            <w:tcW w:type="dxa" w:w="2891"/>
            <w:vAlign w:val="center"/>
            <w:shd w:fill="F2F2F2"/>
          </w:tcPr>
          <w:p>
            <w:pPr>
              <w:jc w:val="center"/>
            </w:pPr>
            <w:r/>
            <w:r>
              <w:rPr>
                <w:b w:val="0"/>
                <w:sz w:val="18"/>
              </w:rPr>
              <w:t>3,50 V</w:t>
            </w:r>
          </w:p>
        </w:tc>
        <w:tc>
          <w:tcPr>
            <w:tcW w:type="dxa" w:w="3742"/>
            <w:vAlign w:val="center"/>
            <w:shd w:fill="F2F2F2"/>
          </w:tcPr>
          <w:p>
            <w:pPr>
              <w:jc w:val="center"/>
            </w:pPr>
            <w:r/>
            <w:r>
              <w:rPr>
                <w:b w:val="0"/>
                <w:sz w:val="18"/>
              </w:rPr>
              <w:t>Atterrir dès que possible</w:t>
            </w:r>
          </w:p>
        </w:tc>
      </w:tr>
    </w:tbl>
    <w:p/>
    <w:p>
      <w:pPr>
        <w:jc w:val="center"/>
      </w:pPr>
      <w:r>
        <w:drawing>
          <wp:inline xmlns:a="http://schemas.openxmlformats.org/drawingml/2006/main" xmlns:pic="http://schemas.openxmlformats.org/drawingml/2006/picture">
            <wp:extent cx="5400000" cy="3214871"/>
            <wp:docPr id="9" name="Picture 9"/>
            <wp:cNvGraphicFramePr>
              <a:graphicFrameLocks noChangeAspect="1"/>
            </wp:cNvGraphicFramePr>
            <a:graphic>
              <a:graphicData uri="http://schemas.openxmlformats.org/drawingml/2006/picture">
                <pic:pic>
                  <pic:nvPicPr>
                    <pic:cNvPr id="0" name="courbe_decharge_lipo.png"/>
                    <pic:cNvPicPr/>
                  </pic:nvPicPr>
                  <pic:blipFill>
                    <a:blip r:embed="rId19"/>
                    <a:stretch>
                      <a:fillRect/>
                    </a:stretch>
                  </pic:blipFill>
                  <pic:spPr>
                    <a:xfrm>
                      <a:off x="0" y="0"/>
                      <a:ext cx="5400000" cy="3214871"/>
                    </a:xfrm>
                    <a:prstGeom prst="rect"/>
                  </pic:spPr>
                </pic:pic>
              </a:graphicData>
            </a:graphic>
          </wp:inline>
        </w:drawing>
      </w:r>
    </w:p>
    <w:p>
      <w:pPr>
        <w:pStyle w:val="Caption"/>
        <w:jc w:val="center"/>
      </w:pPr>
      <w:r>
        <w:t>Figure 9. Courbe de décharge LiPo utilisée comme référence de travail. Une mesure expérimentale reste nécessaire.</w:t>
      </w:r>
    </w:p>
    <w:p>
      <w:pPr>
        <w:pStyle w:val="Heading1"/>
        <w:spacing w:before="240" w:after="120"/>
      </w:pPr>
      <w:r>
        <w:t>8. Discussion et recommandations pour le Master</w:t>
      </w:r>
    </w:p>
    <w:p>
      <w:pPr>
        <w:spacing w:after="100"/>
      </w:pPr>
      <w:r>
        <w:t>Le projet fournit une base technique utile : simulation de couverture, chaîne d'extraction d'indices, structure de dataset et protocole de suivi. Les éléments qui demandent encore une validation expérimentale sont la répétabilité du vol, la qualité des acquisitions réelles et la généralisation du classificateur à des plants distincts.</w:t>
      </w:r>
    </w:p>
    <w:p>
      <w:pPr>
        <w:pStyle w:val="ListBullet"/>
      </w:pPr>
      <w:r>
        <w:t>Constituer une base réelle avec plusieurs jours d'acquisition, plusieurs vues par plant et une mesure d'humidité associée.</w:t>
      </w:r>
    </w:p>
    <w:p>
      <w:pPr>
        <w:pStyle w:val="ListBullet"/>
      </w:pPr>
      <w:r>
        <w:t>Conserver une séparation stricte par plant pendant la validation du classificateur.</w:t>
      </w:r>
    </w:p>
    <w:p>
      <w:pPr>
        <w:pStyle w:val="ListBullet"/>
      </w:pPr>
      <w:r>
        <w:t>Caractériser la précision de position et le débit réel de la chaîne IMU, caméra et ArUco.</w:t>
      </w:r>
    </w:p>
    <w:p>
      <w:pPr>
        <w:pStyle w:val="ListBullet"/>
      </w:pPr>
      <w:r>
        <w:t>Évaluer une carte de stress lorsque les images sont suffisamment nombreuses et géoréférencées ou repérées par la parcelle.</w:t>
      </w:r>
    </w:p>
    <w:p>
      <w:pPr>
        <w:pStyle w:val="ListBullet"/>
      </w:pPr>
      <w:r>
        <w:t>Étudier l'intégration d'autres mesures : humidité du sol, température, éclairage et données météo.</w:t>
      </w:r>
    </w:p>
    <w:p>
      <w:pPr>
        <w:pStyle w:val="Heading1"/>
        <w:spacing w:before="240" w:after="120"/>
      </w:pPr>
      <w:r>
        <w:t>9. Conclusion</w:t>
      </w:r>
    </w:p>
    <w:p>
      <w:pPr>
        <w:spacing w:after="100"/>
      </w:pPr>
      <w:r>
        <w:t>Le projet a établi une chaîne cohérente entre trajectoire simulée, acquisition embarquée, traitement d'images et protocole de données. La priorité immédiate est de documenter un vol basique sûr et de commencer une acquisition réelle annotée. Les résultats issus du dataset synthétique doivent rester identifiés comme des résultats de démonstration. La navigation IMU + ArUco et la cartographie automatisée constituent des pistes structurantes pour une poursuite en Master.</w:t>
      </w:r>
    </w:p>
    <w:p>
      <w:r>
        <w:br w:type="page"/>
      </w:r>
    </w:p>
    <w:p>
      <w:pPr>
        <w:pStyle w:val="Heading1"/>
        <w:spacing w:before="240" w:after="120"/>
      </w:pPr>
      <w:r>
        <w:t>Annexe A. Fiche d'essai de vol</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3515"/>
            <w:shd w:fill="1F4E79"/>
            <w:vAlign w:val="center"/>
          </w:tcPr>
          <w:p>
            <w:pPr>
              <w:jc w:val="center"/>
            </w:pPr>
            <w:r/>
            <w:r>
              <w:rPr>
                <w:b/>
                <w:color w:val="FFFFFF"/>
                <w:sz w:val="18"/>
              </w:rPr>
              <w:t>Champ</w:t>
            </w:r>
          </w:p>
        </w:tc>
        <w:tc>
          <w:tcPr>
            <w:tcW w:type="dxa" w:w="5669"/>
            <w:shd w:fill="1F4E79"/>
            <w:vAlign w:val="center"/>
          </w:tcPr>
          <w:p>
            <w:pPr>
              <w:jc w:val="center"/>
            </w:pPr>
            <w:r/>
            <w:r>
              <w:rPr>
                <w:b/>
                <w:color w:val="FFFFFF"/>
                <w:sz w:val="18"/>
              </w:rPr>
              <w:t>Valeur à compléter</w:t>
            </w:r>
          </w:p>
        </w:tc>
      </w:tr>
      <w:tr>
        <w:tc>
          <w:tcPr>
            <w:tcW w:type="dxa" w:w="3515"/>
            <w:vAlign w:val="center"/>
          </w:tcPr>
          <w:p>
            <w:pPr>
              <w:jc w:val="center"/>
            </w:pPr>
            <w:r/>
            <w:r>
              <w:rPr>
                <w:b w:val="0"/>
                <w:sz w:val="18"/>
              </w:rPr>
              <w:t>Date et lieu</w:t>
            </w:r>
          </w:p>
        </w:tc>
        <w:tc>
          <w:tcPr>
            <w:tcW w:type="dxa" w:w="5669"/>
            <w:vAlign w:val="center"/>
          </w:tcPr>
          <w:p>
            <w:pPr>
              <w:jc w:val="center"/>
            </w:pPr>
            <w:r/>
            <w:r>
              <w:rPr>
                <w:b w:val="0"/>
                <w:sz w:val="18"/>
              </w:rPr>
            </w:r>
          </w:p>
        </w:tc>
      </w:tr>
      <w:tr>
        <w:tc>
          <w:tcPr>
            <w:tcW w:type="dxa" w:w="3515"/>
            <w:vAlign w:val="center"/>
            <w:shd w:fill="F2F2F2"/>
          </w:tcPr>
          <w:p>
            <w:pPr>
              <w:jc w:val="center"/>
            </w:pPr>
            <w:r/>
            <w:r>
              <w:rPr>
                <w:b w:val="0"/>
                <w:sz w:val="18"/>
              </w:rPr>
              <w:t>Configuration matérielle</w:t>
            </w:r>
          </w:p>
        </w:tc>
        <w:tc>
          <w:tcPr>
            <w:tcW w:type="dxa" w:w="5669"/>
            <w:vAlign w:val="center"/>
            <w:shd w:fill="F2F2F2"/>
          </w:tcPr>
          <w:p>
            <w:pPr>
              <w:jc w:val="center"/>
            </w:pPr>
            <w:r/>
            <w:r>
              <w:rPr>
                <w:b w:val="0"/>
                <w:sz w:val="18"/>
              </w:rPr>
            </w:r>
          </w:p>
        </w:tc>
      </w:tr>
      <w:tr>
        <w:tc>
          <w:tcPr>
            <w:tcW w:type="dxa" w:w="3515"/>
            <w:vAlign w:val="center"/>
          </w:tcPr>
          <w:p>
            <w:pPr>
              <w:jc w:val="center"/>
            </w:pPr>
            <w:r/>
            <w:r>
              <w:rPr>
                <w:b w:val="0"/>
                <w:sz w:val="18"/>
              </w:rPr>
              <w:t>Masse du drone</w:t>
            </w:r>
          </w:p>
        </w:tc>
        <w:tc>
          <w:tcPr>
            <w:tcW w:type="dxa" w:w="5669"/>
            <w:vAlign w:val="center"/>
          </w:tcPr>
          <w:p>
            <w:pPr>
              <w:jc w:val="center"/>
            </w:pPr>
            <w:r/>
            <w:r>
              <w:rPr>
                <w:b w:val="0"/>
                <w:sz w:val="18"/>
              </w:rPr>
            </w:r>
          </w:p>
        </w:tc>
      </w:tr>
      <w:tr>
        <w:tc>
          <w:tcPr>
            <w:tcW w:type="dxa" w:w="3515"/>
            <w:vAlign w:val="center"/>
            <w:shd w:fill="F2F2F2"/>
          </w:tcPr>
          <w:p>
            <w:pPr>
              <w:jc w:val="center"/>
            </w:pPr>
            <w:r/>
            <w:r>
              <w:rPr>
                <w:b w:val="0"/>
                <w:sz w:val="18"/>
              </w:rPr>
              <w:t>Batterie et tension avant essai</w:t>
            </w:r>
          </w:p>
        </w:tc>
        <w:tc>
          <w:tcPr>
            <w:tcW w:type="dxa" w:w="5669"/>
            <w:vAlign w:val="center"/>
            <w:shd w:fill="F2F2F2"/>
          </w:tcPr>
          <w:p>
            <w:pPr>
              <w:jc w:val="center"/>
            </w:pPr>
            <w:r/>
            <w:r>
              <w:rPr>
                <w:b w:val="0"/>
                <w:sz w:val="18"/>
              </w:rPr>
            </w:r>
          </w:p>
        </w:tc>
      </w:tr>
      <w:tr>
        <w:tc>
          <w:tcPr>
            <w:tcW w:type="dxa" w:w="3515"/>
            <w:vAlign w:val="center"/>
          </w:tcPr>
          <w:p>
            <w:pPr>
              <w:jc w:val="center"/>
            </w:pPr>
            <w:r/>
            <w:r>
              <w:rPr>
                <w:b w:val="0"/>
                <w:sz w:val="18"/>
              </w:rPr>
              <w:t>Altitude visée</w:t>
            </w:r>
          </w:p>
        </w:tc>
        <w:tc>
          <w:tcPr>
            <w:tcW w:type="dxa" w:w="5669"/>
            <w:vAlign w:val="center"/>
          </w:tcPr>
          <w:p>
            <w:pPr>
              <w:jc w:val="center"/>
            </w:pPr>
            <w:r/>
            <w:r>
              <w:rPr>
                <w:b w:val="0"/>
                <w:sz w:val="18"/>
              </w:rPr>
            </w:r>
          </w:p>
        </w:tc>
      </w:tr>
      <w:tr>
        <w:tc>
          <w:tcPr>
            <w:tcW w:type="dxa" w:w="3515"/>
            <w:vAlign w:val="center"/>
            <w:shd w:fill="F2F2F2"/>
          </w:tcPr>
          <w:p>
            <w:pPr>
              <w:jc w:val="center"/>
            </w:pPr>
            <w:r/>
            <w:r>
              <w:rPr>
                <w:b w:val="0"/>
                <w:sz w:val="18"/>
              </w:rPr>
              <w:t>Durée de stationnaire</w:t>
            </w:r>
          </w:p>
        </w:tc>
        <w:tc>
          <w:tcPr>
            <w:tcW w:type="dxa" w:w="5669"/>
            <w:vAlign w:val="center"/>
            <w:shd w:fill="F2F2F2"/>
          </w:tcPr>
          <w:p>
            <w:pPr>
              <w:jc w:val="center"/>
            </w:pPr>
            <w:r/>
            <w:r>
              <w:rPr>
                <w:b w:val="0"/>
                <w:sz w:val="18"/>
              </w:rPr>
            </w:r>
          </w:p>
        </w:tc>
      </w:tr>
      <w:tr>
        <w:tc>
          <w:tcPr>
            <w:tcW w:type="dxa" w:w="3515"/>
            <w:vAlign w:val="center"/>
          </w:tcPr>
          <w:p>
            <w:pPr>
              <w:jc w:val="center"/>
            </w:pPr>
            <w:r/>
            <w:r>
              <w:rPr>
                <w:b w:val="0"/>
                <w:sz w:val="18"/>
              </w:rPr>
              <w:t>Dérive observée</w:t>
            </w:r>
          </w:p>
        </w:tc>
        <w:tc>
          <w:tcPr>
            <w:tcW w:type="dxa" w:w="5669"/>
            <w:vAlign w:val="center"/>
          </w:tcPr>
          <w:p>
            <w:pPr>
              <w:jc w:val="center"/>
            </w:pPr>
            <w:r/>
            <w:r>
              <w:rPr>
                <w:b w:val="0"/>
                <w:sz w:val="18"/>
              </w:rPr>
            </w:r>
          </w:p>
        </w:tc>
      </w:tr>
      <w:tr>
        <w:tc>
          <w:tcPr>
            <w:tcW w:type="dxa" w:w="3515"/>
            <w:vAlign w:val="center"/>
            <w:shd w:fill="F2F2F2"/>
          </w:tcPr>
          <w:p>
            <w:pPr>
              <w:jc w:val="center"/>
            </w:pPr>
            <w:r/>
            <w:r>
              <w:rPr>
                <w:b w:val="0"/>
                <w:sz w:val="18"/>
              </w:rPr>
              <w:t>Résultat</w:t>
            </w:r>
          </w:p>
        </w:tc>
        <w:tc>
          <w:tcPr>
            <w:tcW w:type="dxa" w:w="5669"/>
            <w:vAlign w:val="center"/>
            <w:shd w:fill="F2F2F2"/>
          </w:tcPr>
          <w:p>
            <w:pPr>
              <w:jc w:val="center"/>
            </w:pPr>
            <w:r/>
            <w:r>
              <w:rPr>
                <w:b w:val="0"/>
                <w:sz w:val="18"/>
              </w:rPr>
            </w:r>
          </w:p>
        </w:tc>
      </w:tr>
      <w:tr>
        <w:tc>
          <w:tcPr>
            <w:tcW w:type="dxa" w:w="3515"/>
            <w:vAlign w:val="center"/>
          </w:tcPr>
          <w:p>
            <w:pPr>
              <w:jc w:val="center"/>
            </w:pPr>
            <w:r/>
            <w:r>
              <w:rPr>
                <w:b w:val="0"/>
                <w:sz w:val="18"/>
              </w:rPr>
              <w:t>Lien vidéo ou fichier</w:t>
            </w:r>
          </w:p>
        </w:tc>
        <w:tc>
          <w:tcPr>
            <w:tcW w:type="dxa" w:w="5669"/>
            <w:vAlign w:val="center"/>
          </w:tcPr>
          <w:p>
            <w:pPr>
              <w:jc w:val="center"/>
            </w:pPr>
            <w:r/>
            <w:r>
              <w:rPr>
                <w:b w:val="0"/>
                <w:sz w:val="18"/>
              </w:rPr>
            </w:r>
          </w:p>
        </w:tc>
      </w:tr>
    </w:tbl>
    <w:p/>
    <w:p>
      <w:pPr>
        <w:pStyle w:val="Heading1"/>
        <w:spacing w:before="240" w:after="120"/>
      </w:pPr>
      <w:r>
        <w:t>Annexe B. Éléments modifiables et sources</w:t>
      </w:r>
    </w:p>
    <w:p>
      <w:pPr>
        <w:spacing w:after="100"/>
      </w:pPr>
      <w:r>
        <w:t>Le texte, les tableaux, les listes et les schémas réalisés sous forme de tableaux Word sont modifiables directement dans ce document. Les figures PNG sont intégrées dans Word et peuvent être sélectionnées, déplacées, redimensionnées ou remplacées.</w:t>
      </w:r>
    </w:p>
    <w:p>
      <w:pPr>
        <w:spacing w:after="100"/>
      </w:pPr>
      <w:r>
        <w:t>Pour modifier les courbes à la source, utiliser les scripts de simulation du dossier `simulation/`, les scripts d'imagerie du dossier `imagerie/` et les fichiers CSV du dossier `reports/editable_sources/`. Après modification, régénérer les figures puis exécuter `scripts/generate_report_docx.py`.</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1134"/>
            <w:shd w:fill="1F4E79"/>
            <w:vAlign w:val="center"/>
          </w:tcPr>
          <w:p>
            <w:pPr>
              <w:jc w:val="center"/>
            </w:pPr>
            <w:r/>
            <w:r>
              <w:rPr>
                <w:b/>
                <w:color w:val="FFFFFF"/>
                <w:sz w:val="18"/>
              </w:rPr>
              <w:t>Figure</w:t>
            </w:r>
          </w:p>
        </w:tc>
        <w:tc>
          <w:tcPr>
            <w:tcW w:type="dxa" w:w="3969"/>
            <w:shd w:fill="1F4E79"/>
            <w:vAlign w:val="center"/>
          </w:tcPr>
          <w:p>
            <w:pPr>
              <w:jc w:val="center"/>
            </w:pPr>
            <w:r/>
            <w:r>
              <w:rPr>
                <w:b/>
                <w:color w:val="FFFFFF"/>
                <w:sz w:val="18"/>
              </w:rPr>
              <w:t>Fichier source inséré</w:t>
            </w:r>
          </w:p>
        </w:tc>
        <w:tc>
          <w:tcPr>
            <w:tcW w:type="dxa" w:w="4082"/>
            <w:shd w:fill="1F4E79"/>
            <w:vAlign w:val="center"/>
          </w:tcPr>
          <w:p>
            <w:pPr>
              <w:jc w:val="center"/>
            </w:pPr>
            <w:r/>
            <w:r>
              <w:rPr>
                <w:b/>
                <w:color w:val="FFFFFF"/>
                <w:sz w:val="18"/>
              </w:rPr>
              <w:t>Source modifiable</w:t>
            </w:r>
          </w:p>
        </w:tc>
      </w:tr>
      <w:tr>
        <w:tc>
          <w:tcPr>
            <w:tcW w:type="dxa" w:w="1134"/>
            <w:vAlign w:val="center"/>
          </w:tcPr>
          <w:p>
            <w:pPr>
              <w:jc w:val="center"/>
            </w:pPr>
            <w:r/>
            <w:r>
              <w:rPr>
                <w:b w:val="0"/>
                <w:sz w:val="18"/>
              </w:rPr>
              <w:t>1</w:t>
            </w:r>
          </w:p>
        </w:tc>
        <w:tc>
          <w:tcPr>
            <w:tcW w:type="dxa" w:w="3969"/>
            <w:vAlign w:val="center"/>
          </w:tcPr>
          <w:p>
            <w:pPr>
              <w:jc w:val="center"/>
            </w:pPr>
            <w:r/>
            <w:r>
              <w:rPr>
                <w:b w:val="0"/>
                <w:sz w:val="18"/>
              </w:rPr>
              <w:t>reports/figures/emprise_camera.png</w:t>
            </w:r>
          </w:p>
        </w:tc>
        <w:tc>
          <w:tcPr>
            <w:tcW w:type="dxa" w:w="4082"/>
            <w:vAlign w:val="center"/>
          </w:tcPr>
          <w:p>
            <w:pPr>
              <w:jc w:val="center"/>
            </w:pPr>
            <w:r/>
            <w:r>
              <w:rPr>
                <w:b w:val="0"/>
                <w:sz w:val="18"/>
              </w:rPr>
              <w:t>Calculs et paramètres dans docs et simulation</w:t>
            </w:r>
          </w:p>
        </w:tc>
      </w:tr>
      <w:tr>
        <w:tc>
          <w:tcPr>
            <w:tcW w:type="dxa" w:w="1134"/>
            <w:vAlign w:val="center"/>
            <w:shd w:fill="F2F2F2"/>
          </w:tcPr>
          <w:p>
            <w:pPr>
              <w:jc w:val="center"/>
            </w:pPr>
            <w:r/>
            <w:r>
              <w:rPr>
                <w:b w:val="0"/>
                <w:sz w:val="18"/>
              </w:rPr>
              <w:t>2</w:t>
            </w:r>
          </w:p>
        </w:tc>
        <w:tc>
          <w:tcPr>
            <w:tcW w:type="dxa" w:w="3969"/>
            <w:vAlign w:val="center"/>
            <w:shd w:fill="F2F2F2"/>
          </w:tcPr>
          <w:p>
            <w:pPr>
              <w:jc w:val="center"/>
            </w:pPr>
            <w:r/>
            <w:r>
              <w:rPr>
                <w:b w:val="0"/>
                <w:sz w:val="18"/>
              </w:rPr>
              <w:t>reports/figures/trajectoire_lawnmower.png</w:t>
            </w:r>
          </w:p>
        </w:tc>
        <w:tc>
          <w:tcPr>
            <w:tcW w:type="dxa" w:w="4082"/>
            <w:vAlign w:val="center"/>
            <w:shd w:fill="F2F2F2"/>
          </w:tcPr>
          <w:p>
            <w:pPr>
              <w:jc w:val="center"/>
            </w:pPr>
            <w:r/>
            <w:r>
              <w:rPr>
                <w:b w:val="0"/>
                <w:sz w:val="18"/>
              </w:rPr>
              <w:t>simulation/lawnmower_planner.py</w:t>
            </w:r>
          </w:p>
        </w:tc>
      </w:tr>
      <w:tr>
        <w:tc>
          <w:tcPr>
            <w:tcW w:type="dxa" w:w="1134"/>
            <w:vAlign w:val="center"/>
          </w:tcPr>
          <w:p>
            <w:pPr>
              <w:jc w:val="center"/>
            </w:pPr>
            <w:r/>
            <w:r>
              <w:rPr>
                <w:b w:val="0"/>
                <w:sz w:val="18"/>
              </w:rPr>
              <w:t>3</w:t>
            </w:r>
          </w:p>
        </w:tc>
        <w:tc>
          <w:tcPr>
            <w:tcW w:type="dxa" w:w="3969"/>
            <w:vAlign w:val="center"/>
          </w:tcPr>
          <w:p>
            <w:pPr>
              <w:jc w:val="center"/>
            </w:pPr>
            <w:r/>
            <w:r>
              <w:rPr>
                <w:b w:val="0"/>
                <w:sz w:val="18"/>
              </w:rPr>
              <w:t>reports/figures/profil_vitesse.png</w:t>
            </w:r>
          </w:p>
        </w:tc>
        <w:tc>
          <w:tcPr>
            <w:tcW w:type="dxa" w:w="4082"/>
            <w:vAlign w:val="center"/>
          </w:tcPr>
          <w:p>
            <w:pPr>
              <w:jc w:val="center"/>
            </w:pPr>
            <w:r/>
            <w:r>
              <w:rPr>
                <w:b w:val="0"/>
                <w:sz w:val="18"/>
              </w:rPr>
              <w:t>simulation/flight_simulator.py</w:t>
            </w:r>
          </w:p>
        </w:tc>
      </w:tr>
      <w:tr>
        <w:tc>
          <w:tcPr>
            <w:tcW w:type="dxa" w:w="1134"/>
            <w:vAlign w:val="center"/>
            <w:shd w:fill="F2F2F2"/>
          </w:tcPr>
          <w:p>
            <w:pPr>
              <w:jc w:val="center"/>
            </w:pPr>
            <w:r/>
            <w:r>
              <w:rPr>
                <w:b w:val="0"/>
                <w:sz w:val="18"/>
              </w:rPr>
              <w:t>4</w:t>
            </w:r>
          </w:p>
        </w:tc>
        <w:tc>
          <w:tcPr>
            <w:tcW w:type="dxa" w:w="3969"/>
            <w:vAlign w:val="center"/>
            <w:shd w:fill="F2F2F2"/>
          </w:tcPr>
          <w:p>
            <w:pPr>
              <w:jc w:val="center"/>
            </w:pPr>
            <w:r/>
            <w:r>
              <w:rPr>
                <w:b w:val="0"/>
                <w:sz w:val="18"/>
              </w:rPr>
              <w:t>reports/figures/comparaison_modes.png</w:t>
            </w:r>
          </w:p>
        </w:tc>
        <w:tc>
          <w:tcPr>
            <w:tcW w:type="dxa" w:w="4082"/>
            <w:vAlign w:val="center"/>
            <w:shd w:fill="F2F2F2"/>
          </w:tcPr>
          <w:p>
            <w:pPr>
              <w:jc w:val="center"/>
            </w:pPr>
            <w:r/>
            <w:r>
              <w:rPr>
                <w:b w:val="0"/>
                <w:sz w:val="18"/>
              </w:rPr>
              <w:t>simulation/flight_simulator.py</w:t>
            </w:r>
          </w:p>
        </w:tc>
      </w:tr>
      <w:tr>
        <w:tc>
          <w:tcPr>
            <w:tcW w:type="dxa" w:w="1134"/>
            <w:vAlign w:val="center"/>
          </w:tcPr>
          <w:p>
            <w:pPr>
              <w:jc w:val="center"/>
            </w:pPr>
            <w:r/>
            <w:r>
              <w:rPr>
                <w:b w:val="0"/>
                <w:sz w:val="18"/>
              </w:rPr>
              <w:t>5</w:t>
            </w:r>
          </w:p>
        </w:tc>
        <w:tc>
          <w:tcPr>
            <w:tcW w:type="dxa" w:w="3969"/>
            <w:vAlign w:val="center"/>
          </w:tcPr>
          <w:p>
            <w:pPr>
              <w:jc w:val="center"/>
            </w:pPr>
            <w:r/>
            <w:r>
              <w:rPr>
                <w:b w:val="0"/>
                <w:sz w:val="18"/>
              </w:rPr>
              <w:t>reports/figures/carte_ndvi.png</w:t>
            </w:r>
          </w:p>
        </w:tc>
        <w:tc>
          <w:tcPr>
            <w:tcW w:type="dxa" w:w="4082"/>
            <w:vAlign w:val="center"/>
          </w:tcPr>
          <w:p>
            <w:pPr>
              <w:jc w:val="center"/>
            </w:pPr>
            <w:r/>
            <w:r>
              <w:rPr>
                <w:b w:val="0"/>
                <w:sz w:val="18"/>
              </w:rPr>
              <w:t>À régénérer après acquisition réelle</w:t>
            </w:r>
          </w:p>
        </w:tc>
      </w:tr>
      <w:tr>
        <w:tc>
          <w:tcPr>
            <w:tcW w:type="dxa" w:w="1134"/>
            <w:vAlign w:val="center"/>
            <w:shd w:fill="F2F2F2"/>
          </w:tcPr>
          <w:p>
            <w:pPr>
              <w:jc w:val="center"/>
            </w:pPr>
            <w:r/>
            <w:r>
              <w:rPr>
                <w:b w:val="0"/>
                <w:sz w:val="18"/>
              </w:rPr>
              <w:t>6 à 8</w:t>
            </w:r>
          </w:p>
        </w:tc>
        <w:tc>
          <w:tcPr>
            <w:tcW w:type="dxa" w:w="3969"/>
            <w:vAlign w:val="center"/>
            <w:shd w:fill="F2F2F2"/>
          </w:tcPr>
          <w:p>
            <w:pPr>
              <w:jc w:val="center"/>
            </w:pPr>
            <w:r/>
            <w:r>
              <w:rPr>
                <w:b w:val="0"/>
                <w:sz w:val="18"/>
              </w:rPr>
              <w:t>Figures de classification</w:t>
            </w:r>
          </w:p>
        </w:tc>
        <w:tc>
          <w:tcPr>
            <w:tcW w:type="dxa" w:w="4082"/>
            <w:vAlign w:val="center"/>
            <w:shd w:fill="F2F2F2"/>
          </w:tcPr>
          <w:p>
            <w:pPr>
              <w:jc w:val="center"/>
            </w:pPr>
            <w:r/>
            <w:r>
              <w:rPr>
                <w:b w:val="0"/>
                <w:sz w:val="18"/>
              </w:rPr>
              <w:t>imagerie et données annotées</w:t>
            </w:r>
          </w:p>
        </w:tc>
      </w:tr>
      <w:tr>
        <w:tc>
          <w:tcPr>
            <w:tcW w:type="dxa" w:w="1134"/>
            <w:vAlign w:val="center"/>
          </w:tcPr>
          <w:p>
            <w:pPr>
              <w:jc w:val="center"/>
            </w:pPr>
            <w:r/>
            <w:r>
              <w:rPr>
                <w:b w:val="0"/>
                <w:sz w:val="18"/>
              </w:rPr>
              <w:t>9</w:t>
            </w:r>
          </w:p>
        </w:tc>
        <w:tc>
          <w:tcPr>
            <w:tcW w:type="dxa" w:w="3969"/>
            <w:vAlign w:val="center"/>
          </w:tcPr>
          <w:p>
            <w:pPr>
              <w:jc w:val="center"/>
            </w:pPr>
            <w:r/>
            <w:r>
              <w:rPr>
                <w:b w:val="0"/>
                <w:sz w:val="18"/>
              </w:rPr>
              <w:t>reports/figures/courbe_decharge_lipo.png</w:t>
            </w:r>
          </w:p>
        </w:tc>
        <w:tc>
          <w:tcPr>
            <w:tcW w:type="dxa" w:w="4082"/>
            <w:vAlign w:val="center"/>
          </w:tcPr>
          <w:p>
            <w:pPr>
              <w:jc w:val="center"/>
            </w:pPr>
            <w:r/>
            <w:r>
              <w:rPr>
                <w:b w:val="0"/>
                <w:sz w:val="18"/>
              </w:rPr>
              <w:t>reports/editable_sources/parametres_mission.csv</w:t>
            </w:r>
          </w:p>
        </w:tc>
      </w:tr>
    </w:tbl>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r>
      <w:t xml:space="preserve"> sur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Projet de drone autonome | Binôme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 - Drone autonome et stress hydrique</dc:title>
  <dc:subject>Rapport technique et expérimental</dc:subject>
  <dc:creator>Binôme A</dc:creator>
  <cp:keywords/>
  <dc:description>Généré depuis le dépôt du projet.</dc:description>
  <cp:lastModifiedBy/>
  <cp:revision>1</cp:revision>
  <dcterms:created xsi:type="dcterms:W3CDTF">2013-12-23T23:15:00Z</dcterms:created>
  <dcterms:modified xsi:type="dcterms:W3CDTF">2013-12-23T23:15:00Z</dcterms:modified>
  <cp:category/>
</cp:coreProperties>
</file>