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ectPr>
      <w:pgSz w:h="15840" w:w="12240" w:orient="portrait"/>
      <w:pgMar w:bottom="1440" w:top="1440" w:left="1440" w:right="1440" w:header="720" w:footer="720"/>
      <w:pgNumType w:start="1"/>
    </w:sectPr>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24"/>
          <w:szCs w:val="24"/>
        </w:rPr>
      </w:pPr>
      <w:sdt>
        <w:sdtPr>
          <w:id w:val="-895260512"/>
          <w:tag w:val="goog_rdk_0"/>
        </w:sdtPr>
        <w:sdtContent>
          <w:commentRangeStart w:id="0"/>
        </w:sdtContent>
      </w:sdt>
      <w:r w:rsidDel="00000000" w:rsidR="00000000" w:rsidRPr="00000000">
        <w:rPr>
          <w:rFonts w:ascii="Times New Roman" w:cs="Times New Roman" w:eastAsia="Times New Roman" w:hAnsi="Times New Roman"/>
          <w:sz w:val="24"/>
          <w:szCs w:val="24"/>
          <w:rtl w:val="0"/>
        </w:rPr>
        <w:t>Business Model Transformation under Regulatory Pressure (Draft Literature Review)): The Case of Waste-to-SAF in Aviation</w:t>
      </w:r>
      <w:commentRangeEnd w:id="0"/>
      <w:sdt>
        <w:sdtPr>
          <w:id w:val="-1819629558"/>
          <w:tag w:val="goog_rdk_1"/>
        </w:sdtPr>
        <w:sdtContent>
          <w:commentRangeStart w:id="1"/>
        </w:sdtContent>
      </w:sdt>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commentRangeEnd w:id="1"/>
      <w:r w:rsidDel="00000000" w:rsidR="00000000" w:rsidRPr="00000000"/>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Introduction</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Unlike most industrial sectors, commercial aviation has never had to rebuild its energy base. Since the birth of commercial flight, the same class of fuel, kerosene refined from crude oil, has powered essentially every aircraft in the sky. This is not simply a matter of habit or an inherited supply chain. Aircraft engines, airport fuelling infrastructure, and international certification regimes are all built around a narrow specification window, and any substitute fuel must slot into that window rather than force the industry to redesign around it. That constraint has kept aviation's energy base essentially unchanged even as other heavy industries, from utilities to shipping, have diversified toward multiple energy carriers over the past two decades.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structural rigidity is now colliding with a wave of binding European climate policy. Mandates such as the ReFuelEU Aviation Regulation and the phase-out of free allowances under the EU Emissions Trading System are forcing a shift toward sustainable aviation fuel (SAF) on a fixed timetable, regardless of whether the underlying supply chain, cost structure, or production capacity is ready to support it. The full detail of this regulatory architecture, and how it interacts with Dutch national policy, is set out in Section 3, immediately below. What matters for the argument here is more basic: the mandate does not, by itself, create a viable supply chain, and a supply chain is not the same thing as a business model. Bidmon and Knab (2018) describe the pre-existing arrangement among fuel producers, distributors, airports, and airlines as an industry recipe, a collectively stabilised logic of value creation and capture that has held for decades. Regulatory pressure is now placing that recipe under direct challenge, but it says nothing about what should replace it, who should build it, or how the costs and risks of the transition should be shared.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paper examines that gap through a specific circular innovation pathway: waste-to-SAF via hydrothermal liquefaction (HTL), a technology that converts organic waste streams into a biocrude intermediate that must then be upgraded into jet-range molecules. A pilot collaboration between the University of Amsterdam and Schiphol Airport has demonstrated that HTL can produce fuel-grade output from airport waste at lab scale. What it has not demonstrated, and cannot demonstrate through chemistry alone, is that this pathway can become a commercially viable operation. Technical feasibility and business viability are different questions, and the gap between them is not primarily a technology problem. It is an organisational and inter-organisational one: who invests, who bears the risk if a batch fails to meet specification, who certifies the output, and who is willing to pay a premium for it.</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research question that follows from this is: how does a policy-driven innovation get translated into a viable, sustainable business model within the aviation ecosystem? This breaks down into five more specific questions. First, what does the current aviation fuel business model look like, and where do value and risk currently sit within it? Second, what structural elements of that model have to change to accommodate a waste-to-SAF pathway? Third, which actors have to participate in that change, including actors that play no role in the conventional fuel chain today? Fourth, how are the resulting costs and risks likely to be redistributed across the value chain? And fifth, can this transition happen without breaking the operational continuity the sector depends on, or does it necessarily introduce friction and disruption along the way?</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Answering these questions draws on three sources that have so far developed largely apart from one another: a review of the business model innovation and sustainable and circular business model literature, a mapping of the regulatory instruments governing SAF and waste valorisation at EU and Dutch level, and early interview material gathered from across the Dutch aviation fuel ecosystem. Section 2 sets out the methodology behind all three. Section 3 covers the regulatory architecture in detail. Section 4 reviews the business model innovation literature. Sections 5 through 8 build toward an integrated analytical framework drawing on the ecosystem, coalition formation, and financial viability literatures. Section 9 turns to the interview material. Section 10 discusses what the literature and the interviews together tell us. Section 11 concludes.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Methodology</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review combines three strands of work: a systematic literature search on business model innovation and sustainable business model theory, a targeted regulatory mapping of the instruments governing waste-to-SAF pathways in the EU and the Netherlands, and a set of semi-structured interviews with stakeholders positioned at different points of the Dutch aviation fuel value chain. The literature and policy work ground the analytical framework developed in Sections 4 through 8. The interviews, reported in Section 9, provide early empirical evidence against which that framework is read in the discussion in Section 10.</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​2.1 Literature search strategy and databases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Two independent databases were searched, Business Source Premier (EBSCO) and Scopus, covering the period from database inception through May 2026. Search terms were structured using a Venn diagram logic with two circles, an initial design that separated a theoretical circle covering business model and sustainable business model literature from a phenomenon circle covering aviation sustainability literature. The phenomenon circle was later removed from the combined query in consultation with a research team member, since it introduced excessive noise from aeronautical engineering literature, and aviation-specific terms were instead folded into a dedicated intersection query. The theoretical circle (Circle 1) combined a block of business model innovation and transformation terms with a block of sustainability and circular economy terms, searched across subject headings, titles, abstracts, and author keywords in EBSCO, and across title, abstract, and keyword fields in Scopus. The intersection query (Sustainable Business Models in Aviation) combined four blocks covering business model terminology, fuel and feedstock terminology, aviation terminology, and sustainability and decarbonisation terminology. Wildcard truncation and proximity operators were used to capture term variants, for example word-distance operators of three words to capture phrases such as emissions reduction or carbon minimisation. Filters were applied for English language, peer-reviewed status, and academic journal or article document type. Record counts were logged at each stage, with Business Source Premier Circle 1 returning 2,526 records, Business Source Premier Intersection returning 29 records, Scopus Circle 1 returning 2,274 records, and Scopus Intersection returning 341 records.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​2.2 Deduplication and screening</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records were exported to Zotero for reference management. Manual deduplication in Zotero proved too slow given the volume of records, so an automated deduplication tool (zoplicate) was used instead. The combined pre-deduplication set totalled approximately 5,170 records, reduced to 4,301 records after deduplication. The deduplicated set was uploaded to ASReview for screening, with title coverage at 100 percent, abstract coverage at 99 percent, and DOI or URL coverage at 92.6 percent. Records were screened and labelled as relevant, not relevant, or left unlabelled. The ABS Academic Journal Guide 2024 rankings were then applied, retaining only journals classified in categories 1 and 2, which reduced the set to 224 papers. A quality check was performed on the next 200 records in the ASReview ranking, continuing until 50 consecutive irrelevant records were reached, followed by team discussion of borderline inclusions.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​2.3 Reference checking</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Backward and forward reference checking was conducted on key included articles, following citation chains to and from foundational sources such as Foss and Saebi (2017) and Pieroni et al. (2019). This step surfaced additional articles not captured by the original search strings, which were then screened using the same relevance criteria.</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​2.4 Regulatory and legal instrument mapping</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Because the case study sits at the intersection of business model theory and a dense regulatory environment, a separate mapping exercise was conducted for the legal and policy instruments governing SAF and waste valorisation. This mapping followed a trickle-down approach, starting from the ReFuelEU Aviation Regulation as the anchor instrument. Each operative article of ReFuelEU was read in full on EUR-Lex, and cross-references within the text were followed outward to related instruments. This process led from ReFuelEU to RED III for feedstock eligibility, to the EU ETS Directive and its Monitoring and Reporting Regulation for carbon accounting, to the Waste Framework Directive for waste classification, and to the EU Taxonomy Regulation for sustainable finance criteria. Implementing and delegated acts referenced within these primary instruments were retrieved and reviewed in the same way. The same trickle-down logic was applied at the Dutch level, starting from national instruments that transpose or sit alongside the EU rules, drawing on wetten.overheid.nl for statutory texts and open.overheid.nl and relevant ministry websites for policy documents. Where a Dutch instrument referenced an EU directive or regulation, or vice versa, that link was followed to confirm how the national instrument transposes or operationalises the EU-level rule. This citation-following approach was chosen over a keyword search of legal databases because the regulatory architecture is deeply cross-referential, and a keyword search risked missing implementing detail held in cross-referenced articles rather than in the primary instrument itself.</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​2.5 Interview approach</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Alongside the literature and regulatory mapping, five semi-structured interviews were conducted with stakeholders positioned at different points of the aviation fuel value chain, following the interview guide developed for the ENLENS project (reproduced in the appendix). Participants were selected to cover distinct functional positions in the value chain rather than for statistical representativeness: an infrastructure and logistics actor, an airline fuel buyer, a former employee of a SAF producer working specifically on the voluntary certificate market, a technology supplier to SAF producers, and a major integrated energy company active in both SAF production and trading. The participants are summarised in the table below. Interviews were conducted between April and June 2026, lasted between 20 and 55 minutes, and were recorded and transcribed with participant consent under the informed consent procedure described in the project's information sheet. All participants were offered pseudonymisation; where this document names a participant's employer, that reflects the participant's own choice on the consent form or a role so specific to one organisation (for example, board membership of a named joint venture) that anonymisation was not meaningful. Interviews are treated as illustrative rather than statistically representative, given the small sample size and the early stage of the broader ENLENS project, which anticipates further interviews with feedstock suppliers, certification bodies, and Dutch policymakers in later phases.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Interview participants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Position in value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Organisation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Interview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Strategy department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Infrastructure and logistics, non-fuel-transacting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blending, terminal investment, coordination role of infrastructure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M&amp;A and holdings lead, board member of a SAF joint venture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Fuel buyer and mandated compliance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Offtake contracting, project finance, internal capability building, cost pass-through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Former partnership manager, emission-reduction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Certificate and voluntary-market intermediary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producer (former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Book-and-claim mechanics, corporate voluntary demand, certification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 of partnerships and technology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Upstream technology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Catalyst 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Feedstock and pathway diversification, R&amp;D portfolio allocation, cross-sector spillovers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 of partnerships and technology, low carbon fuels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trader, and project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energy 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allocation across the value chain, offtake and financing mismatch, regulatory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r>
          </w:p>
        </w:tc>
      </w:tr>
    </w:tbl>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Policy Context</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Before turning to the business model literature, this section lays out the regulatory architecture that the rest of the paper treats as a fixed constraint. It covers the binding EU-level instruments (ReFuelEU Aviation, RED III, the EU ETS, the Waste Framework Directive, and the EU Taxonomy Regulation), the certification and audit rules that convert physical feedstock into a compliance claim, and the Dutch national instruments that sit on top of the EU framework, including the Klimaatwet, the Luchtvaartnota, and the Circulair Materialenplan. The detail here is deliberately dense, since it is the fixed input the rest of the analysis works from, not itself the object of analysis. Section 4 picks up the theoretical question of how business models respond to and reshape instruments of this kind.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the Dutch level, the Klimaatwet brings some specificity with a binding target of 95% greenhouse gas reduction by 2050 and Article 4(2) Article 4(2) requires the government to take corrective action if progress falls behind schedule, giving SAF investors greater confidence that policy support will remain on track. Article 8(3) allows the government to enter into negotiated sector agreements to assist in reaching these targets (Ministerie van Klimaat en Groene Groei, n.d.-a). For airports specifically, the Luchtvaartnota 2020-2050 adds another demand anchor just for Schiphol. Chapter 1.2 makes Schiphol's future growth capacity dependent on whether it can achieve a 14% SAF belnd share by 2030. Dutch domestic aviation CO2 targets must be met through in-sector abatement rather than carbon offsets (Ministerie van Infrastructuur en Waterstaat, 2020, Ch. 1.2, Ch. 5.2.1). For business model design, this means SAF from HTL creates compliance value that carbon credits can't substitute, so there is a niche of protected demand at Schiphol with some shielding from market conditions. Chapter 7.2 includes the Netherland's ambition to be a European SAF production hub using Rotterdam's refinery and pipeline infrastructure. This provides some footing regarding the direction of the Netherlands ant thus some security for co-locating and binding the HTL conversion with the existing SARAS logistics network.</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SDL program is financed through the Tijdelijke wet Klimaat- en energiefonds, the €35 billion Klimaatfonds, whose Article 2(2)(b) covers greenhouse gas reduction pursuits which the SAF pathway is a part of and can draw from the fund under Article 3(3).</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 is of the essence though for any HTL project, given the fund closes to new revenues from January 2031 (Ministerie van Klimaat en Groene Groei, n.d.-b). [Ask] Each of these instruments will be mapped against the specific business model components of each actor in the ENLENS waste-to-SAF chain. It should be noted that RED III Article 27(2)(e) and (f) establish the multipliers that determine how much compliance value each SAF type generates. Advanced biofuels from Annex IX Part A feedstocks count double their energy content towards Member State transport targets. In the Dutch renewable transport framework, this impacts the compliance value that an HTL operator can register per tonne of fuel produced. Following the RED III transposition, the HBE system was replaced by the ERE methodology, and aviation fuels were excluded from the national obligation scope that EREs serve. Now, HTL derived SAF sold for aviation use generates ReFuelEU compliance value rather than ERE credits, with ERE value only available if volumes are sold into the road transport pool. Due to the anti-stacking provisions in Article 7(5) of the Besluit energie vervoer, HTL operators must choose between ERE revenues and SDE++ support at the point of investment decision, which could affect project financing (European Parliament &amp; Council of the European Union, 2023b, Art. 27). The Dutch national circular economy framework is also a constraint on feedstock access. The Rijksbrede programma Circulaire Economie (Ministerie van Infrastructuur en Milieu &amp; Ministerie van Economische Zaken, 2016) establishes a cascading principle for biomass use. Essentially, feedstocks must be applied at their highest-value application first, with fuel production being only for residual streams that can't be used for anything else. Chapter 5.1.5 of the program brings this to aviation, which is a proper biomass application as no renewable alternative yet exists for long-haul flight. The cascading principle is a double-edged sword though. Though it supports using airport waste for HTL conversion over other cases, strengthening the access case, it also means that the airport waste could be used for a higher value application first, which might cause problems with quality and heterogeneity. This is also outlined in the Circulair Materialenplan (CMP; Ministerie van Infrastructuur en Waterstaat, 2025), for which the CMP now needs to be consulted for granting, monitoring, and enforcing waste permits. The CMP's minimumstandaard mechanism prevents a waste stream from being processed below the standard the hierarchy assigns it. If the minimum standard for a given fraction of Schiphol's waste is recycling, that fraction can't be diverted to a lower ranked recovery route like HTL. Thus, ENLENS needs to take CMP classifications. Section 4.2.3 of the Rijksbrede programma Circulaire Economie  also mentions that subsidies promoting the combustion of feedstocks that could be recycled at higher value may be phased out, posing some longer term risk. The National Plan Energiesysteem does designate aviation and shipping as priority uses for scarce sustainable carbon carriers though and says the government will intervene when there is a feedstock shortage, offering some protection (Ministerie van Economische Zaken en Klimaat, 2023). The plan identifies co-locating biogenic CO2 capture at existing biofuel facilities as the most viable Dutch pathway for e-SAF, a related but different route than HTL though.</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Commission Implementing Regulation (EU) 2022/996 (European Commission, 2022) defines audit, mass balance, and traceability rules before SAF claims can be made. Article 10 requires on-site auditing of all economic operators delivering five or more tonnes per month (Article 13(4)); for ENLENS, Schiphol, the HTL operator, and logistics handlers each carry separate obligations. Article 19(2)(1) mandates quarterly mass balance reconciliation, adding administrative burden for pre-commercial operators and shaping coalition formation around Di Vaio et al.'s (2026) claimability requirement. Parallel EU ETS MRV converts RED III certificates into reduced surrender obligations: under the Monitoring and Reporting Regulation (European Commission, 2018), only the biomass fraction of SAF is zero-rated (Art. 38(2)), with airlines relying on supplier-certified emission factors (Art. 53(6)-(7)) rather than independent analysis.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1 synthesizes these instruments, moving from the general SAF-related demand mandates and feedstock eligibility rules through to the more specific e-SAF sub-mandates and Dutch financial support schemes that build on top of them.</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1: Key regulatory instruments impacting waste-to-SAF as a business model</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provision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HTL Relevance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 mandate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ReFuelEU Aviation</w:t>
            </w:r>
          </w:p>
          <w:p w:rsidR="00000000" w:rsidDel="00000000" w:rsidP="00000000" w:rsidRDefault="00000000" w:rsidRPr="00000000" w14:paraId="0000004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 (EU) 2023/2405</w:t>
            </w:r>
          </w:p>
          <w:p w:rsidR="00000000" w:rsidDel="00000000" w:rsidP="00000000" w:rsidRDefault="00000000" w:rsidRPr="00000000" w14:paraId="0000004F">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SAF shares at EU airports: 2% (2025) -&gt; 6% (2030) -&gt; 20% (2035) -&gt; 70% (2050) and e-SAF sub-mandates from 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Penalty floor (higher than 2x price gap per tonne short) sets maximum SAF price buyers will pay; anti-tankering rule anchors demand geographically to departure airport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demand floor</w:t>
            </w:r>
          </w:p>
          <w:p w:rsidR="00000000" w:rsidDel="00000000" w:rsidP="00000000" w:rsidRDefault="00000000" w:rsidRPr="00000000" w14:paraId="0000005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Schiphol anchor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Luchtvaartnota 2020–2050</w:t>
            </w:r>
          </w:p>
          <w:p w:rsidR="00000000" w:rsidDel="00000000" w:rsidP="00000000" w:rsidRDefault="00000000" w:rsidRPr="00000000" w14:paraId="0000005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policy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SAF blend NL airports by 2030 (vs. EU 6%); aviation CO2 to return to 2005 levels by 2030; in-sector abatement only, no offsets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domestic demand above EU mandate; carbon credits cannot substitute SAF, protecting niche for local circular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protected demand</w:t>
            </w:r>
          </w:p>
          <w:p w:rsidR="00000000" w:rsidDel="00000000" w:rsidP="00000000" w:rsidRDefault="00000000" w:rsidRPr="00000000" w14:paraId="0000005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offset substitution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Feedstock eligibility and sustainability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 III</w:t>
            </w:r>
          </w:p>
          <w:p w:rsidR="00000000" w:rsidDel="00000000" w:rsidP="00000000" w:rsidRDefault="00000000" w:rsidRPr="00000000" w14:paraId="0000006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(EU) 2023/2413, Art. 29, 29a, 27(2)(e)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from Annex IX Part A feedstocks (sewage sludge, organic MSW) counts double toward transport targets; 70% lifecycle GHG savings threshold; waste/residue exemption from land-use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Double-counting multiplier increases compliance value of advanced bio-SAF; waste exemption removes costly agricultural sustainability audit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double counting</w:t>
            </w:r>
          </w:p>
          <w:p w:rsidR="00000000" w:rsidDel="00000000" w:rsidP="00000000" w:rsidRDefault="00000000" w:rsidRPr="00000000" w14:paraId="0000006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audit cost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 Reg. (EU) 2022/996</w:t>
            </w:r>
          </w:p>
          <w:p w:rsidR="00000000" w:rsidDel="00000000" w:rsidP="00000000" w:rsidRDefault="00000000" w:rsidRPr="00000000" w14:paraId="0000006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10, 13(4), 19(2)</w:t>
            </w:r>
          </w:p>
          <w:p w:rsidR="00000000" w:rsidDel="00000000" w:rsidP="00000000" w:rsidRDefault="00000000" w:rsidRPr="00000000" w14:paraId="0000006A">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On-site audit required for all supply chain actors over 5 t/month; quarterly mass balance clearing; GHG actual values require accredited lab verification before commercial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Quarterly reconciliation creates cash-flow constraint; audit cost scales with supply chain length; creates gatekeeper role for certification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burden</w:t>
            </w:r>
          </w:p>
          <w:p w:rsidR="00000000" w:rsidDel="00000000" w:rsidP="00000000" w:rsidRDefault="00000000" w:rsidRPr="00000000" w14:paraId="0000006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cash-flow timing</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Carbon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 ETS</w:t>
            </w:r>
          </w:p>
          <w:p w:rsidR="00000000" w:rsidDel="00000000" w:rsidP="00000000" w:rsidRDefault="00000000" w:rsidRPr="00000000" w14:paraId="0000007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2003/87/EC; Dir. (EU) 2023/959; MRR Art. 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allowances for airlines fully phased out from 2026; SAF combustion zero-rated (biomass fraction); airlines cannot double-claim ETS zero-rating and CORSIA for same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fossil kerosene carbon cost from 2026 widens effective SAF premium airlines can justify; zero-rating converts RED III certificate into airline cost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cost competitiveness</w:t>
            </w:r>
          </w:p>
          <w:p w:rsidR="00000000" w:rsidDel="00000000" w:rsidP="00000000" w:rsidRDefault="00000000" w:rsidRPr="00000000" w14:paraId="0000007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double-claim</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 classification and permitting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 Framework Directive</w:t>
            </w:r>
          </w:p>
          <w:p w:rsidR="00000000" w:rsidDel="00000000" w:rsidP="00000000" w:rsidRDefault="00000000" w:rsidRPr="00000000" w14:paraId="000000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2008/98/EC, Art. 3(17), 4, 6</w:t>
            </w:r>
          </w:p>
          <w:p w:rsidR="00000000" w:rsidDel="00000000" w:rsidP="00000000" w:rsidRDefault="00000000" w:rsidRPr="00000000" w14:paraId="00000083">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classified as "other recovery", not recycling; end-of-waste criteria must be met before biocrude enters commercial fuel supply chain; Member States may deviate from hierarchy where lifecycle GHG justify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End-of-waste status is a regulatory gate before product can be sold; Art. 4(2) deviation provides legal route for NL to prioritise HTL where GHG savings are demonstrably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classification gate</w:t>
            </w:r>
          </w:p>
          <w:p w:rsidR="00000000" w:rsidDel="00000000" w:rsidP="00000000" w:rsidRDefault="00000000" w:rsidRPr="00000000" w14:paraId="0000008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 4(2) deviation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Circulair Materialenplan (CMP)</w:t>
            </w:r>
          </w:p>
          <w:p w:rsidR="00000000" w:rsidDel="00000000" w:rsidP="00000000" w:rsidRDefault="00000000" w:rsidRPr="00000000" w14:paraId="0000008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Replaces LAP3, Dec 2025</w:t>
            </w:r>
          </w:p>
          <w:p w:rsidR="00000000" w:rsidDel="00000000" w:rsidP="00000000" w:rsidRDefault="00000000" w:rsidRPr="00000000" w14:paraId="0000008B">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not listed as standard processing route for sewage sludge; operators must argue case-by-case that HTL represents higher-quality processing than the minimum standard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Case-by-case approval/no routine permit increases timeline and regulatory risk for pre-commercial operators; advocacy for CMP revision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standard permit route</w:t>
            </w:r>
          </w:p>
          <w:p w:rsidR="00000000" w:rsidDel="00000000" w:rsidP="00000000" w:rsidRDefault="00000000" w:rsidRPr="00000000" w14:paraId="0000009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future revision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Omgevingswet / BAL</w:t>
            </w:r>
          </w:p>
          <w:p w:rsidR="00000000" w:rsidDel="00000000" w:rsidP="00000000" w:rsidRDefault="00000000" w:rsidRPr="00000000" w14:paraId="0000009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in force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Environmental permit now required under Omgevingswet for HTL installations; food-derived waste requires additional NVWA authorisation under Reg. (EC) 1069/2009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Dual permitting requirement (Omgevingswet + NVWA) extends pre-commercial timeline; must be resolved before scale-up of mixed airport waste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dual permit burden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instruments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 Innovation Fund (CfDs)</w:t>
            </w:r>
          </w:p>
          <w:p w:rsidR="00000000" w:rsidDel="00000000" w:rsidP="00000000" w:rsidRDefault="00000000" w:rsidRPr="00000000" w14:paraId="0000009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(EU) 2023/959, Art. 1(13)(h)</w:t>
            </w:r>
          </w:p>
          <w:p w:rsidR="00000000" w:rsidDel="00000000" w:rsidP="00000000" w:rsidRDefault="00000000" w:rsidRPr="00000000" w14:paraId="0000009E">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Carbon Contracts for Difference guarantee strike price for pre-commercial producers; covers up to 60% of costs via grants or up to 100% via competitive bidding; eligible for pre-commercial SAF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 certainty from CfD makes pre-commercial HTL bankable without full market maturity; closes gap identified in Overholm (2017) on alliance formation pre-bankability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bankability instrument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Programma SDL</w:t>
            </w:r>
          </w:p>
          <w:p w:rsidR="00000000" w:rsidDel="00000000" w:rsidP="00000000" w:rsidRDefault="00000000" w:rsidRPr="00000000" w14:paraId="000000A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~€300M allocated</w:t>
            </w:r>
          </w:p>
          <w:p w:rsidR="00000000" w:rsidDel="00000000" w:rsidP="00000000" w:rsidRDefault="00000000" w:rsidRPr="00000000" w14:paraId="000000A5">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 support for e-SAF and alcohol-to-jet production scale-up; managed by RVO; aligned with ERE framework from Jan 2026; cannot be combined with SDE++ for same batch (anti-stacking)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directly relevant public instrument for HTL pilot at current pre-commercial stage; anti-stacking rule requires explicit business model choice between SDL and SDE++ revenue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capital de-risking</w:t>
            </w:r>
          </w:p>
          <w:p w:rsidR="00000000" w:rsidDel="00000000" w:rsidP="00000000" w:rsidRDefault="00000000" w:rsidRPr="00000000" w14:paraId="000000A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anti-stacking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Tijdelijke wet Klimaat- en energiefonds</w:t>
            </w:r>
          </w:p>
          <w:p w:rsidR="00000000" w:rsidDel="00000000" w:rsidP="00000000" w:rsidRDefault="00000000" w:rsidRPr="00000000" w14:paraId="000000A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Art. 2(2)(b), closes Jan 2031</w:t>
            </w:r>
          </w:p>
          <w:p w:rsidR="00000000" w:rsidDel="00000000" w:rsidP="00000000" w:rsidRDefault="00000000" w:rsidRPr="00000000" w14:paraId="000000AD">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Multi-year €35B fund covering GHG-reducing techniques in the business sector; no new revenues accepted from Jan 2031; measures must be additional to pre-2022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Time-limited window creates urgency; HTL projects qualifying under Art. 2(2)(b) must reach funding decision before 2031 closure, constraining pre-commercial development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funding access</w:t>
            </w:r>
          </w:p>
          <w:p w:rsidR="00000000" w:rsidDel="00000000" w:rsidP="00000000" w:rsidRDefault="00000000" w:rsidRPr="00000000" w14:paraId="000000B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- 2031 deadline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CORSIA</w:t>
            </w:r>
          </w:p>
          <w:p w:rsidR="00000000" w:rsidDel="00000000" w:rsidP="00000000" w:rsidRDefault="00000000" w:rsidRPr="00000000" w14:paraId="000000B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ICAO Res. A42-22, para. 6, 20</w:t>
            </w:r>
          </w:p>
          <w:p w:rsidR="00000000" w:rsidDel="00000000" w:rsidP="00000000" w:rsidRDefault="00000000" w:rsidRPr="00000000" w14:paraId="000000BA">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use reduces airline offset purchase obligations for international flights; same batch cannot be double-claimed under both CORSIA and EU ETS; no mandatory SAF volume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alternative compliance value stream for HTL-SAF sold to non-EU international routes; double-claim prohibition requires explicit offtake contract specification of which scheme applies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additional market</w:t>
            </w:r>
          </w:p>
          <w:p w:rsidR="00000000" w:rsidDel="00000000" w:rsidP="00000000" w:rsidRDefault="00000000" w:rsidRPr="00000000" w14:paraId="000000B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contract complexity</w:t>
            </w:r>
          </w:p>
        </w:tc>
      </w:tr>
    </w:tbl>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885"/>
        <w:gridCol w:w="1275"/>
        <w:gridCol w:w="840"/>
        <w:gridCol w:w="1320"/>
        <w:gridCol w:w="1320"/>
        <w:gridCol w:w="1320"/>
        <w:tblGridChange w:id="0">
          <w:tblGrid>
            <w:gridCol w:w="2280"/>
            <w:gridCol w:w="885"/>
            <w:gridCol w:w="1275"/>
            <w:gridCol w:w="84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 scenario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(conventional jet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SAF blend (2.5x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SAF blend (2.5x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SAF blend (1.5x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bl>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Dutch level, the Omgevingswet and Besluit activiteiten leefomgeving (BAL) implement EU waste classifications. Neither LAP3 nor CMP lists HTL as a standard route for sewage sludge, so permits require case-by-case approval with higher risk and longer timelines (Ministerie van Infrastructuur en Waterstaat, n.d.). CMP classifies liquid fuel from waste as other recovery, not recycling. Where CMP chain plans remain incomplete, LAP3 sector plans still govern used oil, plastics, and animal by-products (Ministerie van Infrastructuur en Waterstaat, 2019). Schiphol's mixed waste may require compliance with both frameworks by fraction; food-derived waste needs separate NVWA authorisation under Regulation (EC) No 1069/2009.</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 Business Model Innovation and the Sustainable Business Model: Definitional Foundations</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4.1 The Business Model as Unit of Analysis</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Business model transformation analysis requires definitional clarity. Geissdoerfer et al. (2018b) note that the field of business model innovation remains somewhat ambiguous. Across the literature, a business model is understood as the architecture of value creation, delivery, and capture (Teece, 2010). Richter (2013) applies Osterwalder and Pigneur's (2009) canvas to analyse incumbent energy-sector strategies rather than design new ones; in German utilities, incumbents developed viable models for large-scale renewables but not for distributed generation, suggesting fit with existing industry recipes may matter more than technological readiness. Foss and Saebi (2017) define business model innovation as designed, novel, nontrivial changes to key elements and/or their architecture. Adding a SAF procurement line is modular change; redesigning airport waste management as a circular feedstock supply chain is architectural change, and the literature reviewed below finds the latter more difficult.</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to a sustainability context, it only becomes more difficult. Boons and Ludeke-Freund (2013) find that many sustainable innovation studies have treated firms as black boxes, disregarding how these new technologies actually reach the market, how value chains are governed, and how financial benefits are distributed. To support sustainable innovation, according to them, the value proposition must deliver measurable ecological or social value with economic value, the supply chain must make sure upstream suppliers share accountability, the customer interface must motivate not displace responsibility, and the financial model must reflect appropriate distribution of costs and benefits across all actors. These are presented as normative design criteria, not descriptive, which separates them from frameworks like Geissdoerfer et al. (2018a) which describe what they do not what they should do. These additions are relevant to the waste-to-SAF challenge as neither the feedstock supply from Schiphol’s waste streams nor the financial returns from SAF compliance is governed by a single firm. The value proposition for circular aviation fuel is insufficient without coherent, in-place technology financing, fuel production, blending, and certification infrastructure. This is challenging given the degree of separation between them, and thus must be aligned in some means for success rather than assumed away.</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Zhang et al. (2024), reviewing 1,032 BMI publications (2000-2021), find growing interest in sustainable/circular BMI but limited ecosystem-level analysis, highly relevant to ENLENS where value spans waste generators, operators, certifiers, and fuel consumers. Shakeel et al. (2020) distinguish BMI (novelty in each component), SBM (sustainability embedded in components), and SBMI (both co-present), requiring coordinated change across the entire business model.</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4.2 From Sustainable to Circular: A Necessary Distinction</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sustainable and circular business models comes with an important caveat. Circular business models are considered a subcategory of sustainable business models by Geissdoerfer et al. (2020), as they specifically focus on cycling, extending, intensifying, or dematerializing material and energy loops. Each of these changes the value proposition, value creation and delivery, and value capture differently. Whether CBMs are a subcategory of SBMs is contested in this literature. Sometimes sustainability is seen as an essential part of circularity, sometimes circularity is defined just in terms of closing resource loops. Geissdoerfer et al. (2020) note this and that only some CBM conceptualizations incorporate sustainability aspects. A circular model is necessary, but not enough by itself for sustainability. In other words, lowering waste and resource use is vital, but doesn’t on its own create social benefits, fair outcomes, or lower overall consumption. Relevant to this, Hofmann (2019) finds that most circular business model research adopts ecological modernist logic, focusing on decoupling economic growth from resource consumption, although not questioning growth itself, and paying less attention to rebound effects and social equity. This means that for HTL-from-waste, SAF from airport waste closes a loop and reduces lifecycle emissions relative to fossil kerosene, provided the business model enables additional aviation growth, which may increase absolute emissions. Thus, whether waste-to-SAF is a truly sustainable business model comes down not only to the circular logic of the conversion pathway but also to the governance framework that determines whether it enables or constrains aviation sector emissions in absolute terms.</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difference between circular economy and sustainability also exists throughout the literature. Pieroni et al. (2019) find that circular economy- and sustainability-oriented business model innovation have largely developed along separate paths, based on a systematic review of 92 approaches to BMI for circular economy and sustainability. They find CE-oriented approaches have resource efficiency, resource longevity, and economic growth as their core value drivers, leaving social relevance as a secondary effect.  Social impact, meaningful work, ethical sourcing, and long-term business viability are just as important as profit to sustainability-oriented approaches. For HTL from airport waste, the conversion is CE-oriented as it closes a material loop, but whether it is genuinely sustainable turns on governance choices about whether the end product enables or constrains total fuel emissions. This was also asked by Hofmann (2019) about rebound effects. Both streams are mainly focused on sensing and seizing. Only 20% of approaches address implementation and organizational change. For waste-to-fuel, the design, implementation gap is a symptom of missing institutional, supply-chain, and financial conditions rather than business model design by itself. Thus, the design-implementation gap identified by Geissdoerfer et al. (2018b) isn’t just a firm-level management problem. For waste-to-fuel, this shows the absence of the institutional, supply chain, and financial conditions that a circular business model would need in practice.</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4.3 Business Model Innovation Types and the Scale of Required Change</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Bidmon and Knab (2018) attempt to combine business model innovation together with sustainability transitions theory. They propose that business models in such societal transitions play the role of barriers (by locking in the current system via cognitive lock-in and structural path dependencies that blind managers to new value creation opportunities), as facilitators (by helping new technologies scale up to become business opportunities), and as independent niche innovations (by challenging the old system with new ways of doing business, even without major technological breakthroughs). This paper's waste-to-SAF pathway approach is most like the second role, as the technology is a niche innovation, and the business model must be designed to turn it into a commercially viable operation. For ENLENS, this means primarily a study of the business model conditions that enable a pre-commercial technology to become commercial within the regulatory window, spurred by escalating SAF mandates.​</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 bibliometric-systematic review of the oil and gas sector under pressure, Nguyen and Mori (2026) identified three main paths: double down on existing sectors, branch out into new sectors and maintain the existing ones, or go all-in on the sustainable alternative. The latter, more transformative ones, aren’t common and are enabled primarily by specific conditions such as small scale, government ownership, a declining mature asset base, and first-mover advantages, making this of interest to the aviation sector’s aspirations. Most airlines and airports will continue down the second path, though, adding SAF procurement to existing conventional fuel contracts at the minimum blending ratios. The waste-to-SAF circular business model at Schiphol, however, requires at least some actors to cover the costs of the radical transformation. Nguyen and Mori (2026) also find a rational disconnect between public sustainability commitments and actual investment behavior parted by conflicting policy signals. Nguyen and Mori (2026) find the hypocrisy disconnect between firm's sustainability commitments and their actual investment patterns, largely because market incentives and government policies often wander in different directions. This works well with Bidmon and Knab's (2018) cognitive lock-in concept but with strategic rational adaptation to contradictory identified as the barrier, not incumbent blindness, which means there might be several remedies.  Bidmon and Knab focus on changing how firms think, whereas Nguyen and Mori see consistent government policy as necessary to make sustainable business model innovation commercially attractive and rational enough to remedy the strategic hypocrisy.</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4.4 Review Approach and Structure</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will proceed thematically by covering five interconnected bodies of knowledge. The first will cover the conceptual foundations of business model innovation and sustainable business model theory, to place the problems faced in waste-to-SAF in the existing landscape. The following section will then cover how regulatory pressure translates into business model change, both in the greater energy transition and also aviation-specific literature on SAF economics and adoption. The section thereafter covers business model design and the challenge of waste valorization as a value-creation logic, drawing on the industrial ecology and circular economy literature. The next section covers ecosystem dynamics, coalition formation, and governance mechanisms that make multi-actor circular value chains viable, with a focus on co-evolution between value and supply chains. The following section covers financial viability, risk allocations, and design implementation gaps. The final section then covers the gaps and contributions of the existing literature and the framework that can be derived thereof.</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2 synthesizes the definitional building blocks reviewed in this section, moving from the business model as unit of analysis through sustainable and circular distinctions to the scale of change the waste-to-SAF pathway requires.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2: Business model innovation and the sustainable business model, key definitional building blocks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 as unit of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Teece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business model is the architecture of value creation, delivery, and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analytical lens for the whole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Sets the baseline lens the whole review uses to analyse the waste-to-SAF pathway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Modular vs. architectural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Foss and Saebi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BMI is designed, nontrivial change to a model's elements or their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Distinguishes incremental procurement from systemic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Adding SAF procurement is modular; redesigning airport waste into a circular feedstock chain is architectural, and the harder of the two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 with existing recipe over tech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Richter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German utilities, incumbents built viable models for large-scale renewables but not distributed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Industry recipe fit may outweigh technological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Suggests fit with the existing aviation fuel recipe may matter as much as HTL's technical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 innovation design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Boons and Ludeke-Freund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 innovation requires ecological/social value, shared upstream accountability, a motivating customer interface, and fair cost/benefit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Normative design criteria, not descriptive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single firm governs feedstock or compliance value; alignment across actors is a precondition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BMI / SBM / SBMI distinction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Shakeel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BMI, SBM, and SBMI differ in where novelty and sustainability co-occur across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coordinated change across the entire business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Waste-to-SAF needs SBMI-level coordination, not a single-component tweak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Ecosystem-level gap in BMI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of 1,032 BMI publications finds growing interest in sustainable/circular BMI but limited ecosystem-level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Names a systematic gap in the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Directly names the gap this paper's ecosystem-spanning waste-to-SAF case is positioned to help fill</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 vs. circular business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CBM as subcategory of SBM (contested)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Geissdoerfer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business models focus on cycling, extending, or dematerialising loops; whether this is automatically sustainable is contested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logic is necessary but not sufficient for 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Closing the waste loop via HTL is necessary but not sufficient for genuine sustainability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Ecological modernist blind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Hofmann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CBM research decouples growth from resource use without questioning growth itself, and underweights rebound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Rebound and absolute emissions remain under-examined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waste-to-SAF simply enables more flying, absolute emissions could still rise even as the loop closes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vs. sustainability-oriented BMI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Pieroni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CE-oriented work centres resource efficiency and growth; sustainability-oriented work centres social impact and long-term viability; only ~20% address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Design-implementation gap is institutional, not just managerial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design-implementation gap in waste-to-fuel is an institutional and financial gap, not just a modelling weakness</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 of required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 facilitator / niche innovator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Bidmon and Knab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models in sustainability transitions act as barriers, facilitators, or independent niche innovations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Frames how pre-commercial pathways become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Frames waste-to-SAF as a niche innovation that needs a business model built around it to become commercially viable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Paths for incumbents under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Nguyen and Mori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Oil and gas incumbents typically double down, diversify, or (rarely) go all-in on the alternative; transformation is enabled by scale, ownership, and asset-age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actors diversify minimally under contradictory policy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airports/airlines will diversify minimally; Schiphol's HTL pathway asks some actors to absorb the cost of the more radical path</w:t>
            </w:r>
          </w:p>
        </w:tc>
      </w:tr>
    </w:tbl>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 Literature: Policy as a Co-Evolutionary Force</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5.1 Policy as Business Model Shaper: A Discussion of Co-evolutionary Dynamics</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Before turning to the Dutch and Schiphol-specific case, it is worth first laying out the macro-level SAF policy discussion at the EU level, since this is what the Dutch instruments discussed later sit on top of. The relationship of governmental policy and the business model isn't simply push and pull; rather, it is described in the literature as one of co-evolution. A review of 45 articles on governmental policy and business model interactions, with a focus on circular economy, by Wasserbaur et al. (2022) finds that regulatory and legislative instruments primarily impact model value propositions, cost structures, and revenue models, and that business models are able to adapt to, exploit, and reshape those instruments in return. Their policy-BMI interaction matrix is directly applicable to ENLENS: the ReFuelEU penalty floor shapes how SAF suppliers make their value proposition, the EU ETS zero-rating for SAF changes cost structures for airlines (European Commission, 2018, Art. 38(2)), and the SDL program and SDE++ feed-in premium affect revenue models for conversion technology operators.</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contrast, Bryant et al. (2019), using a content analysis of 63 government energy strategy documents from Europe and Australasia, find that these strategies almost universally fail to engage with the business model effects of their own targets. Their idea of the energy rhetoric gap is relevant: governments talk boldly about energy transformation but typically don't assess if the business models they assume will be created are actually financially feasible, as with the EU SAF framework. The ReFuelEU’s obligations and fines for non-compliance don’t specify viable business models, and there is no historical template for waste-derived circular aviation fuel pathways either. Though not enough to dismiss the policy as inadequate, the ENLENS research addresses a gap the regulation presupposes will be filled by market actors and researchers, and thus, the paper is relevant. Bryant et al. (2019), interestingly identified six governmental energy-policy discourses: Energy Scout, Energy Pontificator, Energy Muddler, Political Footballer, Pure Politics, and Neoliberal Energy Economics. This typology is useful to classify how governments approach transition governance. The Dutch regulation currently seems closest to the Energy Scout discourse, given their long term targets with active state coordination and support for new pathways. Even in this role though, as Bryant et al. note, this type of government assumes viable business models emerge without specifying how.</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six German energy-sector business models by Leisen et al. (2019) and 34 expert interviews found a disproportionate concentration of regulatory risk on revenue streams relative to costs, and that niche-dependent business models are structurally vulnerable to policy change. Their separation of two types of regulatory risk works well for SAF, with the first being direct, with price-setting tools like feed-in tariffs or blending premiums to shape financial return. The second is indirect, with rules governing market access, eligibility, and certification that determine who can participate. On the direct side, the ReFuelEU’s compliance premium creates real revenue risk when mandates are weakened or non-compliance penalties are changed. On the indirect side, a few questions remain to be answered before the possibility of commercial operation. For example, whether HTL feedstocks qualify under RED III Annex IX Part A, whether HTL-derived SAF can be certified through ASTM pathways, and whether sewage sludge is actually an eligible feedstock under CMP rules?</w:t>
      </w:r>
    </w:p>
    <w:p w:rsidR="00000000" w:rsidDel="00000000" w:rsidP="00000000" w:rsidRDefault="00000000" w:rsidRPr="00000000" w14:paraId="000000C0">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5.2 Lessons from the Energy Transition: Collaboration Mechanisms and the Chicken-and-Egg Problem</w:t>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transition literature provides perhaps the most relevant material to assist in the SAF challenge. Both involve incumbent-dominated regulated sectors undergoing policy-mandated changes toward novel fuel or energy pathways, and both are characterized by the chicken-and-egg problem of coordinating investments. Everyone is waiting to see what others do before acting, but nobody can know what will happen until someone acts first. In their study of Finnish distributed energy systems, Hellstrom et al. (2015) created a collaboration mechanism concept to address this problem. Collaboration mechanisms trigger and sustain cooperative value creation and capture by identifying value drivers in each ecosystem partner’s business model and matching them to overcome barriers to ecosystem formation. Their biogas-for-traffic case covers a long-term fixed-price fuel supply contract, which acts as the collaboration mechanism by resolving investor uncertainty by making the fuel supplier’s revenue predictable, securing downstream commitments from bus operators by guaranteeing fuel availability, and coordinating business model change across firms that previously had no relationship. This is a clear connection and is relevant to HTL operators at Schiphol, who are securing long-term SAF offtake agreements with airlines while simultaneously negotiating waste supply contracts with municipal waste authorities.</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Wainstein and Bumpus (2016) argue that business models can both reinforce the current carbon-intensive system and also help new, innovative companies challenge and change it. Studying the U.S. solar third-party ownership market shows that financial innovation, especially the design of third-party ownership contracts and power purchase agreements that made these installations bankable, was vital to enabling market-scale deployment of residential photovoltaics. Unique to this study was that business models are the primary unity of analysis in the niche-regime interactions not technologies. Two different business models can use the same technology with two different outcomes. The resistance to carbon transition by the existing players is best understood as lock-in at the business model level. Financial innovation, specifically power purchase agreements and tax equity structures that made solar installations bankable without upfront cost for the customer was the main driver of the deployment, separate from solar panel technology development. Al-Saleh and Mahroum (2015) took a different approach as they looked into business response to different policy instruments, while Wainstein and Bumpus looked into the role of business models in the niche-regime interaction and arguing that financial innovation helps niche players to take on incumbents. For waste-to-SAF financial instrument design, specifically how off-take agreements, blending contracts, public co-investment, and carbon credit mechanisms are structured, may have a greater impact on commercial success than differences in HTL technology performance within its normal operating range.</w:t>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Al-Saleh and Mahroum (2015) provide a model to understand how aviation actors will respond to SAF mandates. The paper argues that the dominant technology-push and demand-pull framing in innovation policy literature is lacking as it views business behavior as a response to technology availability and economic incentive, rather than specific policy instruments. Their stick, carrot, and sermon typology captures behavioral responses. Stick-type, like mandatory blending requirements or fines typically lead to buck-passing, in which compliance costs are unloaded onto other parties without creating new value. Carrot-type, like SDL capital subsidies, can lead to carpet-bagging, in which actors exploit temporary financial incentives but don't build for the long term. Sermon-type, on the other hand, like government sustainability frameworks, can lead to value-driven actions but only where entrepreneurial interest was before the financial support. This applies differently to SAF than it did for Al-Saleh and Mahroum, as aviation both in stick through the mandate, carrot through the SDL, SDE++, and CfDs, and sermon through the Luchtvaartnota and Klimaatplan. So the actor's response depends on which instrument is most relevant to the business model instead of a single type. Airlines and airports may respond with buck-passing if their business model is primarily designed around compliance. Opportunistic actors are likely to exploit SDL or SDE++ subsidies without building durable supply chains. Genuinely committed actors, on the other hand, may create circular fuel pathways as strategic vehicles for transformation. The ENLENS study considers which of these is emerging among Dutch aviation ecosystem actors.</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5.3 SAF-Specific Evidence on Aviation Business Model Pressure</w:t>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Gössling and Humpe (2023) model four SAF cost scenarios toward net zero and find aviation's volume-growth, low-margin model is unlikely to survive heavy SAF dependence without fare restructuring; even the cheapest synthetic fuel path would require roughly 80% higher average fares by 2050, setting a ceiling on adoption regardless of supply-side innovation.</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Liang et al. (2026) find that SAF blending mandates require subsidies covering at least 70% of the cost differential to restore airline profitability under a 5% blend, a logic relevant beyond China. Karanki and Yu (2026) show mandate costs fall unevenly across airlines: low-cost carriers, with more price-sensitive customers and lower markups, bear disproportionate burdens at low blending levels. ReFuelEU's non-compliance fine (Article 12) caps what buyers will pay, constraining pass-through regardless of airline pricing strategy.</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Muller and Wittmer (2026) find Swiss firms prefer certified high-blend SAF but often lack budget authority; corporate WTP on long-haul routes falls far below market prices, pointing to internal governance rather than preference as the barrier. Smith et al. (2017) find airline offtake commitment, not technology or policy, drives SAF adoption in the U.S. Pacific Northwest: projects become bankable only when long-term offtake agreements with credible airlines are secured.</w:t>
      </w:r>
    </w:p>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policy seems to be backing this direction though, with ICAO calling on states and industry to promote SAF and lower carbon aviation fuel purchase agreements to meet its goal of net-zero international aviation emissions by 2050 (International Civil Aviation Organization, 2022, para. 27c). The European Commission in its Sustainable Transport Investment Plan (European Commission, 2025) further backs this. It reported that  as of 2024, only 0.6% of all jet fuel dispensed at EU airports was SAF, despite the 2% mandate having entered into force that same year. Further, not.a single eSAF project in the EU had reached a final investment decision by late 2025, blaming the differences in expectations by airlines on the length of offtake agreements and the amount a producer would need. The Commission's proposed response would be to create a double-sided auction in which a public or quasi-public body holds long-term supply contracts on one side and concludes shorter-term ones with the airlines, absorbing the refinancing risk. This type of collaboration is outlined in the literature as necessary to overcome the chicken-and-egg problem of coordination. The STIP shows that the design-implementation gap isn't specific to HTL but all new SAF pathways and that closing it will require more than just normal contracting.</w:t>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Together, these studies frame SAF viability as business model- and governance-dependent rather than technical: identical technologies can succeed or fail depending on cost and risk allocation and coalition sustainability. ReFuelEU Article 5's anti-tankering obligation anchors demand geographically at Schiphol (European Parliament &amp; Council of the European Union, 2023a, Art. 5), while Article 15's book-and-claim feasibility study (results expected Q2 2026) could widen the buyer pool or introduce competition for local producers.</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3 synthesizes the policy-business model co-evolution literature reviewed in this section, from macro-level policy shaping through energy-transition collaboration mechanisms to SAF-specific demand-side evidence.</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3: Policy as a co-evolutionary force, key concepts and SAF-specific evidence</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 business model shaper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Policy-business model co-evolution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Wasserbaur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and business models co-evolve; neither is a fixed input to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shapes and is shaped by business model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ReFuelEU and Dutch instruments set constraints but do not specify who builds HTL capacity or how costs are 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 enabler, not automatic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Bryant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energy strategies treat policy as enabling business model change rather than guaranteeing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alone does not create viable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SDL and ReFuelEU create conditions; ENLENS must still show who captures value and bears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Incumbent adaptation under policy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Leisen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German energy incumbents adapted business models unevenly under Energiewende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Incumbents adapt selectively, not uniformly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Airports and fuel incumbents may adopt SAF procurement without circular feedstock redesign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Energy-transition collaboration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models as system stabiliser or disruptor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Wainstein and Bumpus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models can reinforce carbon-intensive systems or enable low-carbon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Collaboration design determines direction of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coalition must deliberately redistribute value or reinforce existing fuel-chain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actor response to mandates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Al-Saleh and Mahroum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Airlines respond to SAF mandates through compliance, lobbying, or voluntary leadership depending on cost and reputation incentives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Predicts heterogeneous airline responses at Schiphol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KLM-style leadership is one path; minimum-compliance procurement is the default</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SAF-specific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Sector-level fare and growth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Gössling and Humpe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Aviation's volume-growth, low-margin model is unlikely to survive heavy SAF dependence without fare restructuring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Sets a ceiling on voluntary SAF uptake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successful HTL supply may face demand limits if fare structures cannot absorb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Mandate subsidy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Liang et al.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blending mandates require subsidies covering at least 70% of the cost differential to restore airline profitability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support shapes viable blending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Dutch/EU support instruments must close a similar gap for pre-commercial HTL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Uneven mandate cost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Karanki and Yu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Low-cost carriers bear disproportionate SAF costs at low blending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pass-through is constrained by airline business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ReFuelEU fine caps buyer willingness to pay, limiting pass-through to passengers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demand-side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Muller and Wittmer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Swiss firms prefer high-blend SAF but often lack internal budget authority; WTP falls below market prices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governance, not preference, is the barrier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voluntary demand for Schiphol-origin SAF depends on buyer-side budget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Offtake as adoption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Smith et al.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 offtake commitment, not technology or policy alone, drives SAF project bankability in the U.S. Pacific Northwest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Long-term offtake precedes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at Schiphol needs credible airline offtake before capital deployment</w:t>
            </w:r>
          </w:p>
        </w:tc>
      </w:tr>
    </w:tbl>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 Circular Business Model Design and Waste Valorization as Value Creation Logic</w:t>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6.1 Circular Business Model Architecture in Industrial Contexts</w:t>
      </w:r>
    </w:p>
    <w:p w:rsidR="00000000" w:rsidDel="00000000" w:rsidP="00000000" w:rsidRDefault="00000000" w:rsidRPr="00000000" w14:paraId="000000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Whilst the circular business model literature has primarily covered manufacturing, the frameworks it has developed remain useful for circular fuel pathways. Though before examining such, there is a legal constraint to mention that shapes what claims HTL-from-waste can make. The Waste Framework Directive (European Parliament &amp; Council of the European Union, 2008) in the Article 4 waste hierarchy, ranks prevention, preparing for re-use, recycling, other recovery, and disposal in descending order of preference. Article 3(17) defines recycling to exclude energy recovery and the reprocessing of materials to be used as fuels. Thus, HTL, which converts waste into a fuel precursor, is technically other recovery, not recycling. For ENLENS, this means that HTL can't be presented as a recycling operation in filings and disclosures, limiting reputation and policy value for Schiphol. That having been said, under Article 4(2), Member States can depart from the hierarchy where justified, giving a legal avenue for the Netherlands to pursue HTL when lifecycle GHG savings are superior. This is a real path, but not a default win. Article 6(1) sets out the conditions HTL biocrude must meet to cease being classified as waste and be traded as a commercial product: it must have a specific use, an established market, meet technical requirements, and not cause overall environmental harm. Until the end of waste status is established for biocrude, the product can't be sold into commercial fuel supply chains. This regulatory gate must be considered (European Parliament &amp; Council of the European Union, 2008, Art. 6).</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Geissdoerfer et al. (2018a) find optimal circular performance when value proposition, creation/delivery, and capture all go circular simultaneously. Kaipainen et al. (in press) confirm this empirically: the most successful Finnish and Italian circular transitions innovated at both firm and supply-chain level, and neither alone sufficed.</w:t>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capital-intensive, regulated adjacent industry of heavy-duty vehicle manufacturing, Chirumalla et al. (2024) create a grounded readiness framework for circular economy transition. Similarly to the above studies, they find a requirement for simultaneous progress across four main areas. Specifically, the ecosystem of external partners, the customer and business model, the company's culture and internal capabilities, and design and product development. The main contribution of this is the demonstration that these four don’t advance in succession, but rather co-evolve. Firms attempting a circular transition in a successive manner risk discovering later on that earlier choices locked out important ecosystem partners. Applied to the HTL-from-waste case, this implies that feedstock supply chain design (ecosystem of external partners), SAF certification and offtake contract design (customer and business model), Schiphol's own circular economy positioning (culture and capabilities), and HTL process optimization and feedstock quality standards (design and product development) must all advance together from early in the coalition formation process. It is important to keep in mind, conceptually, that Chirumalla et al.'s readiness framework is intended for a single focal firm making an internal transition, where the four areas are within one organization. For HTL, these four areas sit within different ones, so readiness must occur across all legal entities, not just one.</w:t>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Hansen and Revellio (2020) identify four reverse-cycle configurations in consumer electronics: vertical integration, network, outsourcing, and laissez-faire. Standardised recycling suits outsourcing; asset-specific pathways like HTL require more vertical integration than typical closed-loop activities, even though EU law classifies HTL as other recovery.</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6.2 Waste Valorization and the Open Circular Economy Business Model</w:t>
      </w:r>
    </w:p>
    <w:p w:rsidR="00000000" w:rsidDel="00000000" w:rsidP="00000000" w:rsidRDefault="00000000" w:rsidRPr="00000000" w14:paraId="000000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Fedele and Formisano (2023) introduce the concept of the open circular economy business model to describe models that open their doors to externally generated waste streams rather than only to internally generated ones. They cover the case of Saxa Gres, which began converting municipal waste incinerator ash into high-quality ceramic tile production. This is super relevant to HTL, as both involve material that was previously a public liability and now has the opportunity to become commercially valuable, generate revenue, and remove removal costs for that organization. This is in contrast to the traditional closed-loop CEBM that recirculates internal waste within a company's own production. The open model treats external waste as a strategic input. This distinction applies to the HTL pathway, where Schiphol's waste becomes a feedstock for a third-party. In the Fedele and Formisano (2023) document, the multi-actor value distribution starts with value flowing to the commercial producer via cost reduction and the advantage provided by ecolabel certification, continuing to the waste-generating municipality, which avoids disposal costs and environmental compliance difficulty, before then moving to the regional community via employment and environmental protection. This is quite similar to the expected value distribution of the Schiphol HTL case, with value going to Schiphol via avoided waste disposal costs and SAF compliance contribution, to the HTL operator via conversion revenue and green premium, to airlines via ReFuelEU compliance value, FEETS free allowance eligibility, and finally to the wider regulatory system by showing an advanced biofuel pathway and reduction of lifecycle emissions.</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CMP regulatory gap for HTL processing of sewage sludge remains of concern in Dutch policy. At the EU level, the Circular Economy Action Plan (European Commission, 2020) targets developing EU-wide end of waste criteria for key waste streams and harmonize the application of status rules, which is relevant to the classification of biocrude as exit waste to enter commercial fuel supply. Section 4.3 of the Action Plan finds the lack of such criteria as a barrier for scaling, which is also identified in this review. The planned carbon removal certification framework in Section 6.1 could create an additional future revenue stream for waste-to-SAF if it can demonstrate substantially lower lifecycle emissions than fossil kerosene. Although not yet available for aviation, this should be considered. Kanda et al. (2024) have several challenge types they see are the same across all circular business model archetypes and those that are unique. For industrial symbiosis ventures, they find long permit processes as a sector-specific institutional barrier while waste classification ambiguity occurs mainly in food and agricultural sectors where regulatory frameworks focus on food chain protection instead of circular recovery. For HTL, this is important, give has both the permit issue typical of industrial symbiosis and the ambiguity. For ENLENS, the Article 23 of the Waste Framework Directive (European Parliament &amp; Council of the European Union, 2008) requires any facility carrying out waste treatment, including HTL conversion, to get a permit from the competent authority, which means additional compliance work. Article 5(1), however, gives an alternative classification. If airport waste streams can satisfy the conditions for by-product status, they could bypass waste classification completely. This is an open question. Dutch guidance specifies that by product status means that the intended use of the material is certain, lawful, and of sufficiently high value, with the burden of proof lying with the holder not the permitting authority (Ministerie van Infrastructuur en Waterstaat, 2019). For Schiphol's waste, certainty of use would require a binding offtake agreement, for example, before by-product status could even be claimed, which goes back to the chicken-and-egg coordination issue. The classification that makes the feedstock easiest to supply is itself dependent on the commercial commitment from the rest of the value chain. This classification will likely be assessed case by case for now, given it having done so in the past (Ministerie van Infrastructuur en Waterstaat, 2019). Throughout the literature, legitimacy and strategic partnership formation are identified as binding constraints on circular venture scaling, rather than technology maturity or capital availability, which supports the governance focus of the ENLENS research question. In other words, the molecules are ready, but institutional legitimacy and coalition stability may not be.</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Coproduct revenue growth is an important sign of SAF's long-term prospects as well. The study by Short et al. (2014) of British Sugar’s evolution over three decades into a multi-product biorefinery serves as such a precedent. Coproduct revenue, in this case, grew from a small fraction to approximately 25% of total revenue via a series of internal loop-closing innovations. New regulatory conditions and supply chain partnerships at each stage allowed so. Circular business model transformation in capital-intensive, regulated industrial sectors is hence possible, but long-cycled. Essentially, their sugar waste becoming biorefinery feedstock under the UK renewable fuel obligation is structurally incredibly similar to SAF from waste under the ReFuelEU. including the technology-licensing partnership with Praj Industries for biorefinery technology and the Vivergo joint venture with BP and DuPont that scaled bioethanol production, supports Hellstrom et al.'s (2015) previously mentioned collaboration mechanism framework. British Sugar's mechanisms are more technology and equity partnerships rather than Hellstrom's fixed-price offtake contract.</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et al. (2017) provide a diagnostic methodology in their value-uncaptured framework that we can use for the ENLENS design phase. First, there is value surplus, which means value exists but is unrequired. Second, there is a value absence: value is required but does not exist. Third is value missed, meaning it exists but remains unexploited. Fourth is value destroyed, which means that it's generating negative outcomes. These map well onto the Schiphol state of waste, with 'value destroyed' perhaps the most relevant. Mixed waste currently generates disposal costs and incineration emissions that impose costs on multiple actors without creating any returns. The value missed is the conversion opportunity: chemical energy and organic carbon in mixed airport waste streams have productive potential that HTL can access, but incineration destroys. Value absence is the infrastructural gap, as the certified conversion and offtake infrastructure that facilitates systematic waste-to-fuel recovery at a commercial scale does not yet exist. And finally, value surplus is the regulatory opportunity, given that SAF compliance value created by ReFuelEU mandates exceeds what the current tiny SAF market can absorb, leaving a structural excess of demand-side compliance needs over supply-side production capacity.</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4 synthesizes the circular business model design and waste valorization literature reviewed in this section, separating architectural design logic from open circular economy and valorization mechanics.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4: Circular business model design and waste valorization, key concepts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business model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Simultaneous circularity across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Geissdoerfer et al. (2018a)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Optimal circular performance requires value proposition, creation/delivery, and capture to go circular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 circularity underperforms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must align feedstock collection, conversion, certification, and offtake simultaneously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BMI in heavy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Chirumalla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Capital-intensive manufacturing transitions require staged circular BMI with supplier and customer co-development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Regulated heavy industry parallels aviation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Schiphol-HTL faces similar capital intensity and multi-tier supplier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Reverse-cycle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Hansen and Revellio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 configurations: vertical integration, network, outsourcing, laissez-faire; asset specificity drives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is asset-specific, not standardised recycling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Asset-specific HTL likely needs more vertical integration than outsourcing</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 valorization and open circular economy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circular economy business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Fedele and Formisano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Models operating across organisational boundaries with heterogeneous waste streams and shared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Multi-actor valorization beyond firm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waste HTL inherently requires open circular logic across operators and certifiers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Value-uncaptured diagnostic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Yang et al.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identifies uncaptured value across material, energy, and capability flows in industrial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Diagnostic for where value currently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locate where Schiphol waste value is lost before HTL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Coproduct revenue and pathway economics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Short et al.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Coproduct streams materially affect biofuel pathway viability beyond primary fuel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 diversification affects bankability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coproducts may matter for pre-commercial economics if jet yield alone is insufficient</w:t>
            </w:r>
          </w:p>
        </w:tc>
      </w:tr>
    </w:tbl>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 Ecosystem Dynamics, Coalition Formation, and Value Chain Governance</w:t>
      </w:r>
    </w:p>
    <w:p w:rsidR="00000000" w:rsidDel="00000000" w:rsidP="00000000" w:rsidRDefault="00000000" w:rsidRPr="00000000" w14:paraId="000000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7.1 The Multi-Actor Challenge: From Firm-Level to Ecosystem-Level Analysis</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streams of the reviewed literature have found that a main component of circular business model innovation in infrastructure-intensive sectors is that it cannot be achieved by a single firm. No single firm can make a circular fuel value chain viable on its own. It takes a tailored ecosystem of actors working together. Konietzko et al. (2020) argue that circularity is a property of a system (such as a city's mobility system), rather than a property of an individual product or service. They create principles that give priority to the collective of actors rather than optimizing a single company’s business model. Directly applicable from this to ENLENS is their minimum viable circular ecosystem concept, the smallest actor configuration that can create and test circular value propositions, which can be used in the ENLENS design problem. For ENLENS, we need to know which actor combination can demonstrate the HTL pathway on a commercial scale before the full coalition comes together.</w:t>
      </w:r>
    </w:p>
    <w:p w:rsidR="00000000" w:rsidDel="00000000" w:rsidP="00000000" w:rsidRDefault="00000000" w:rsidRPr="00000000" w14:paraId="00000100">
      <w:pPr>
        <w:spacing w:after="240" w:before="240"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Hellstrom et al. (2015) argue individual business model design is insufficient for ecosystem-level value creation; a focal actor must identify shared opportunities and manage interdependencies. Speich and Ulli-Beer (2023) shift the unit of analysis to co-evolution of value network and resource pool. For Schiphol-HTL, the resource pool comprises quantified waste streams, HTL technology, Rotterdam-SARAS pipeline infrastructure, and certification frameworks; the value network must be designed around deploying that pool so all participants achieve viable outcomes.</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Brink (2022) shows offshore wind firms aligned around a shared value proposition (LCoE) without a central coordinator, extending Adner's (2017) ecosystem-as-structure logic. For waste-to-aviation, a proposition such as certified circular SAF at competitive cost could coordinate Schiphol, airlines, and HTL operators where no single orchestrator is obvious, complementing Hellstrom et al.'s (2015) focal-firm requirement.</w:t>
      </w:r>
    </w:p>
    <w:p w:rsidR="00000000" w:rsidDel="00000000" w:rsidP="00000000" w:rsidRDefault="00000000" w:rsidRPr="00000000" w14:paraId="000001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7.2 Coalition Formation: Triggers, Barriers, and Value Chain Co-evolution</w:t>
      </w:r>
    </w:p>
    <w:p w:rsidR="00000000" w:rsidDel="00000000" w:rsidP="00000000" w:rsidRDefault="00000000" w:rsidRPr="00000000" w14:paraId="00000103">
      <w:pPr>
        <w:spacing w:after="240" w:before="240"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Circular coalitions form iteratively, not by design. Bidmon and Knab (2018) attribute persistence to institutional pressure, power asymmetries, and cognitive barriers. Velter et al. (2021), studying a Dutch food SME, show sustainable BMI emerging through continuous boundary work on identity, power, competence, and efficiency; power reconfigurations prove most resistant. For HTL at Schiphol, operators must work with entrenched incumbents rather than replace them. Wadin et al. (2017) note race-to-learn risk is higher for technology alliances where knowledge is extractable than for business model co-development.</w:t>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Cooperation, however, isn’t a guarantee of survival, given incumbents have their own playbook for collaboration. In the field of solar energy diffusion, Wadin et al. (2017) find that large incumbents typically use race-to-learn modes. Essentially, this is extracting codified business model components while failing to absorb tacit ones, and then ultimately defecting once they have what they need. For an HTL operator partnering with Schiphol or KLM, this poses a great risk. Though the operator’s expertise in circular feedstocks, waste characterization, and certification processes may be difficult to replicate, the market access and compliance benefits generated via the partnership are more codified and can be more easily transferred. Governance structures must thus prevent opportunistic learning. A formal joint venture with shared equity or maybe a supply-and-offtake contract over a longer period with exit barriers could help here to avoid defection in the pre-commercial scaling phase. Defecting would be deadly for a young operator here.</w:t>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it happens, this isn't a purely hypothetical governance puzzle. Mousavi and Bossink (2017) documented KLM’s biofuel program from 1995 to 2016. KLM used its position as an anchor offtaker in a novel fuel supply to develop a new sustainable fuel supply chain. It encouraged innovation across the system, helped shape supportive regulations, including via the Dutch Green Deal, co-founded the SkyNRG joint venture to oversee fuel supply, and created the Corporate Biofuel Program, which allowed corporate customers to cover the additional costs of sustainable fuel on a voluntary basis. For the SkyNRG pathway, for example, KLM is the anchor offtaker and Schiphol as a supply chain partner in the Holland BioPort initiative, which is perhaps the most similar example to the ENLENS case. </w:t>
      </w:r>
      <w:r w:rsidDel="00000000" w:rsidR="00000000" w:rsidRPr="00000000">
        <w:rPr>
          <w:rFonts w:ascii="Times New Roman" w:cs="Times New Roman" w:eastAsia="Times New Roman" w:hAnsi="Times New Roman"/>
          <w:sz w:val="24"/>
          <w:szCs w:val="24"/>
          <w:shd w:fill="fff2cc" w:val="clear"/>
          <w:rtl w:val="0"/>
        </w:rPr>
        <w:t xml:space="preserve">Mousavi and Bossink’s analysis of the sensing, seizing, and reconfiguration capabilities that enabled KLM to coordinate this ecosystem over two decades is both practical in terms of a roadmap and in terms of the time required. </w:t>
      </w:r>
      <w:r w:rsidDel="00000000" w:rsidR="00000000" w:rsidRPr="00000000">
        <w:rPr>
          <w:rFonts w:ascii="Times New Roman" w:cs="Times New Roman" w:eastAsia="Times New Roman" w:hAnsi="Times New Roman"/>
          <w:sz w:val="24"/>
          <w:szCs w:val="24"/>
          <w:rtl w:val="0"/>
        </w:rPr>
        <w:t xml:space="preserve">Mousavi and Bossink use </w:t>
      </w:r>
      <w:r w:rsidDel="00000000" w:rsidR="00000000" w:rsidRPr="00000000">
        <w:rPr>
          <w:rFonts w:ascii="Times New Roman" w:cs="Times New Roman" w:eastAsia="Times New Roman" w:hAnsi="Times New Roman"/>
          <w:sz w:val="24"/>
          <w:szCs w:val="24"/>
          <w:shd w:fill="f4cccc" w:val="clear"/>
          <w:rtl w:val="0"/>
        </w:rPr>
        <w:t xml:space="preserve">Teece's (2007) </w:t>
      </w:r>
      <w:r w:rsidDel="00000000" w:rsidR="00000000" w:rsidRPr="00000000">
        <w:rPr>
          <w:rFonts w:ascii="Times New Roman" w:cs="Times New Roman" w:eastAsia="Times New Roman" w:hAnsi="Times New Roman"/>
          <w:sz w:val="24"/>
          <w:szCs w:val="24"/>
          <w:rtl w:val="0"/>
        </w:rPr>
        <w:t xml:space="preserve">original three capabilities, while Faccin et al. (2025), in section 6.3, add another capability called "orchestrating" for ecosystem level circular value creation. KLM's role coordinating SkyNRG does look like it could be this fourth option.</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not every ecosystem gets a KLM, which is precisely Planko et al.’s (2017) point. By applying the Technological Innovation Systems framework from an entrepreneurial perspective, the authors identify coordination as a missing function in emerging sustainability-innovation ecosystems. They further argue that fair and viable business models are a prerequisite for market formation and must be actively developed by ecosystem actors, rather than expected to emerge from regulatory incentives. This is in line with Kharbeet et al. 's (2026) empirical finding that the influence of institutional triggers, such as SAF mandates, on firm-level business model innovation is mediated by ecosystem intermediaries and gatekeepers. The triggers are translated by them into concrete value network constraints and opportunities. For ENLENS, this means it would act as a value network translation mechanism, turning regulatory pressure into a concrete, viable business model that actors in the waste-to-SAF value chain can assess and potentially adopt. Kharbeet et al.'s trigger framework did come from startup data where regulatory changes can create new opportunities and constraints. In aviation, there are established players so the ReFuelEU mandates are likely going to impact existing business, resulting in a different response.</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7.3 Value Chain Co-evolution and the Supply Chain-Business Model Interface</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issue that deserves more attention is the relationship between business model innovation and the redesign of value chains and supply chains. Research on global value chains, global production networks, and supply chain management has mostly developed in parallel with business model theory, with limited integration between them. For the circular economy context, however, business models and supply chains are closely interconnected. Business models influence which supply chain arrangements are viable by defining value capture mechanisms and how costs are allocated. At the same time, the supply chain structure determines which business model configurations are feasible by defining the assets, capabilities, and relationships available to the actor. The two must thus not be treated as separate issues.</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Geissdoerfer et al. (2018a) spotlight this co-evolution requirement in their framework for circular business models and supply chain management. They don't see the closing, slowing, and intensifying material loops as optional, but rather as requiring a corresponding supply chain redesign as a necessary condition. For HTL from waste at Schiphol, this means major changes to the supply chain. Waste sorting systems must be upgraded to provide a reliable, suitable stream of feedstock. Now, logistics processes must be developed to handle wet organic waste that current airport systems aren’t designed for, and a transport route for biocrude to the upgrading facility in Rotterdam must be integrated with the existing SARAS infrastructure. These aren’t business model changes in the traditional sense, but are critical to whether the business model can actually be implemented.</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Axelson et al. (2021), studying European steel decarbonisation, find material efficiency strategies (closest to circular fuel) require greater business model change than emissions efficiency measures, mainly in value creation and delivery rather than capture. For ENLENS, this implies reconfiguring supply chains and actor networks, not just contracts or prices. Carraresi and Broring (2021), on phosphate recovery, show focal-actor choice shapes supply chain design; a dedicated intermediary may accelerate adoption faster than an incumbent transforming its core business, relevant to whether Schiphol, an airline, or a circular-fuel intermediary should lead HTL.</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7.4 Governance Frameworks for Circular Fuel Ecosystems</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case studies of three Italian circular-economy pioneers, Minoja and Romano (2024) apply three governance forms: hub-and-spoke, lead role, and shared governance to circular economy. They argue that effectiveness stems from the circular economy’s level (micro, meso, or macro), the focal actor's ownership identity, and the current effectiveness of market incentives. This is incredibly relevant for the Schiphol waste-to-SAF case. The proposed ecosystem operates at the meso level, focused on an airport network rather than a single organization or regional system. SAF markets, though increasingly supported by policy, remain dependent on regulatory incentives and aren’t yet fully commercially self-sustaining. For these conditions, Minoja and Romano recommend that shared governance is likely more effective than a hub-and-spoke model. Thus, stakeholders would participate jointly in decision-making, monitoring, and conflict resolution, thereby helping align interests. Their analysis of COMIECO, the consortium that coordinated paper and cardboard recycling in Italy, is quite relevant here. Like a potential waste-to-SAF governance vehicle, COMIECO brings together multiple supply chain actors under a shared governance structure to attain collective circular economy objectives. This narrows the focal actor debate from before. Minoja and Romano's (2024) typology makes the choice conditional on CE boundary level, ownership structure, and market incentive strength.</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Hub-and-spoke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decides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Focal firm's managers, by claimed authority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Focal firm's managers, mandated by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 relatively equal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control, graduated sanctions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control, stakeholders to lesser extent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 monitor and sanction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chooses from a wide range of modes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acts as arbiter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 mode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formal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Benevolent patriarch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among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trust in firm and manager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governance system and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the governance system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effective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Micro-level CE, private ownership, market incentives work</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Macro-level CE, public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Meso-level CE, non-profit ownership, weak market incentives</w:t>
            </w:r>
          </w:p>
        </w:tc>
      </w:tr>
    </w:tbl>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equally important question is what this governance structure must actually deliver. In a related heavy-industry setting, Di Vaio et al. (2026) developed the IE-BMI framework by examining carbon-insetting practices in the European port ecosystem, focusing on how governance, digital infrastructure, and environmental claim credibility interact in ecosystem-level business model innovation, paralleling the way Axelson et al. (2021) traced differentiated business model change across the European steel industry above. They find that higher-readiness ports disclose more explicit governance mechanisms, such as data-sharing clauses, sustainability provisions in tenant contracts, and joint investment programs. This matters for the ENLENS case. Their concept of claimability as a governance standard is particularly important here. In the Di Vaio et al. framework, claimability requires four specific conditions: clearly defined value chain boundaries, demonstrable additionality relative to a counterfactual baseline, explicit attribution principles specifying who can claim which reductions, and a robust MRV architecture. SAF under ReFuelEU requires certified lifecycle emissions calculations and chain-of-custody documentation. These do not yet exist at a commercial scale for HTL from mixed airport waste. The creation of the data, monitoring, and verification infrastructure to support the credibility of claims cannot be seen solely as a technical compliance task. It is a key part of the governance that makes the circular business model work.</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5 synthesizes the ecosystem, coalition formation, and governance literature reviewed in this section, from multi-actor analysis through coalition dynamics to governance frameworks for circular fuel ecosystems.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5: Ecosystem dynamics, coalition formation, and value chain governance, key concepts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Multi-actor and ecosystem-level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Focal-actor ecosystem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Hellstrom et al.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firm-level BMI is insufficient; a focal actor must manage interdependencies across the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orchestration beyond bilateral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obvious focal actor exists yet for Schiphol HTL; role must be negotiated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value proposition without orchestrator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Brink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Offshore wind firms aligned around LCoE without a central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Ecosystem-as-structure can coordinate without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shared proposition (certified circular SAF at viable cost) could substitute for a single lead 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 network and resource pool co-evolution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Speich and Ulli-Beer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of analysis shifts to co-evolution of value network and resource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 pool must be designed with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 waste streams, HTL tech, and certification form the resource pool</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Coalition 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Iterative coalition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Bidmon and Knab (2018); Velter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Coalitions form iteratively under institutional pressure, power asymmetries, and boundary work; power reconfiguration is hardest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Incumbent collaboration is necessary but fragile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operators must work with entrenched fuel incumbents rather than replace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Incumbent collaboration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Wadin et al.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Race-to-learn risk is higher in technology alliances with extractable knowledge than in business model co-development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Alliance type shapes knowledge leakage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partnerships alone may not secure durable coalition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biofuel partnership precedent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Mousavi and Bossink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KLM's biofuel programme shows how airline-led procurement can anchor supplier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 offtake can orchestrate upstream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a partial precedent, though HTL adds waste and certification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Leadership and ecosystem 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Planko et al.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Technological innovation system functions explain why some ecosystems develop leaders and others 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every ecosystem produces a lead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 may need deliberate leadership design rather than assuming emergence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 chain co-evolution and governance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 efficiency vs. emissions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Axelson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 efficiency strategies require greater business model change than emissions efficiency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fuel is closer to material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Implies reconfiguring supply chains and actor networks, not just contracts or prices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Focal-actor choice shapes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Carraresi and Broring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Dedicated intermediary can accelerate adoption faster than incumbent core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Leadership choice is a design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to whether Schiphol, an airline, or an intermediary should lead HTL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Governance forms in circular pioneers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Minoja and Romano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Hub-and-spoke, lead-role, and shared governance each distribute power differently across circular value 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Governance form shapes risk and value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 HTL coalition must choose among governance forms, not assume one default</w:t>
            </w:r>
          </w:p>
        </w:tc>
      </w:tr>
    </w:tbl>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 Financial Viability, Risk Allocation, and the Design-Implementation Gap</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8.1 The Financial Viability Problem in Circular Business Model Transitions</w:t>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persistent gap in the circular business model literature is also the most relevant for ENLENS. In a systematic review of financial performance assessments in circular business model transitions, Kanzari et al. (2022) show that financial evaluation is weakest in the early design and investment phases, when decisions are most important. Existing evaluation instruments, anchored in short-horizon accounting metrics, are structurally not aligned with circular business model time structures, in which value accumulates across several product lifecycles, policy-dependent revenue streams rise and fall with regulatory risk, and considerable upfront investments are preceded by uncertain, but potentially substantial, future returns. This creates trouble for HTL from waste. The conversion technology requires capital-intensive infrastructure. Furthermore, waste stream quality is heterogeneous, SAF prices depend on evolving policy, and there is no market example for the distribution of revenue among waste suppliers, technology operators, fuel certifiers, and aviation offtakers. Not captured in existing circular business model financial assessments is the cost of certification infrastructure itself. Under Commission Implementing Regulation (EU) 2022/996 (European Commission, 2022), independent third-party audits must be funded every year independently and actual greenhouse gas value approvals require accredited laboratory verification under Article 14. This is an ongoing operational expense that scales in complexity with the supply chain. For a new pathway like HTL, compared to those like HEFA where there is more experience and economies of scale, this is a cost disadvantage. The certification cost burden must thus properly be allocated across coalition members.</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Thus, the question arises of how circular business models should be evaluated when substantial portions of the value they create fall outside conventional accounting boundaries. Expanding the scope of evaluation seems to alter the economic case. Azcarate-Aguerre et al. (2022), in a building energy retrofit context, show that product-service system business models exceed conventional procurement models on a regular basis when externalities are included in the evaluation. For example, avoiding carbon and disposal costs, residual material value, and productivity co-benefits adjust the comparative economics. Specifically, their Total Value of Ownership methodology is of interest for the ENLENS case. Azcarate-Aguerre et al.'s TVO method quantifies value capture via Net Present Value with shadow-pricing of externalities like carbon and productivity loss, making it a more concrete financial measure of value capture than the narrative approach of Geissdoerfer et al. (2018a). The economics of waste-to-SAF suddenly look much better when you consider all of the benefits created, not just the cost of producing fuel. For example, there would be lower waste-disposal costs for Schiphol, the carbon value of lifecycle emission reductions at the EU ETS carbon price, the ReFuelEU compliance premium for fuel suppliers, the FEETS free allowance benefit for airlines, and the SDL capital support program for conversion technology. Comparing SAF and fossil kerosene is limited to per-tonne fuel costs. These benefits are spread across organizations, creating a bit of a problem; this can be resolved by ensuring everyone receives enough value so it makes sense for them to take part. Another aspect missed by normal per-tonne fuel costs miss the cost of capital advantage for taxonomy aligned projects. Under the EU Taxonomy Regulation (European Parliament &amp; Council of the European Union, 2020, Art. 10(1)(h)), producing clean fuels from renewable or carbon neutral sources is listed as a substantial contribution to climate change mitigation. HTL derived SAF from airport waste that meets the required greenhouse gas savings threshold and the "do no significant harm" test under Article 17, would then be a taxonomy-aligned activity. For ENLENS, Article 8(2) requires large companies like KLM or Schiphol to disclose the proportion of their capital and operating expenditure in taxonomy aligned activities. This creates pressure on actors to increase their exposure, strengthening the long-term off take commitments and thus helping with bankability described by Overholm, 2017. This pressure now applies unevenly across the coalition. With the Omnibus Directive (EU) 2026/470, though a pre-commercial HTL operator would likely fall below the new thresholds and thus have no Taxonomy disclosure obligations, Nevertheless, voluntary reporting under the new standard may help argue that a new HTL operator is aligned with Taxonomy when looking for green or ESG-linked financing subject to Article 8(2) reporting requirements (Directive (EU) 2026/470, 2026). This leaves open the question of how that value can be captured and distributed in a way that sustains long-term participation. Ritala et al. (2021) argue that a fundamental challenge rests in how that value is distributed: given the joint nature of value creation across economic, social, and environmental domains, the majority of financial benefits tend to be captured by economic actors rather than social and environmental systems. For waste-to-SAF, both the atmosphere and the waste management system benefit from lower emissions. These reductions don’t generate income, however. Instead, they only become financially material when regulatory mechanisms such as carbon pricing and renewable fuel certifications convert environmental benefits into financial ones. The ReFuelEU and EU ETS are such instruments that can correct these asymmetries by converting these environmental common goods into financial signals. Using empirical analysis, Leisen et al. (2019) show that revenue streams built entirely on regulatory instruments, however, tend to be fragile compared to streams of revenue from real market demand. This is an important consideration for the sustained viability of waste-to-SAF as a business model. It will need to develop real market demand for certified circular SAF beyond just that created by the mandate. The Klimaatplan 2025-2035 affirms this demand floor at the Dutch level with the mission of a return to 2005 emissions levels by 2030 and a 50% cut relative to 2005 by 2050, and net zero by 2070. These are explicitly in sector measures not offsetting, so SAF at Schiphol can't be substituted with carbon credits elsewhere in the Netherlands. The Klimaatfonds is also committed in this plan which will offer funds for novel SAF production (Ministerie van Klimaat en Groene Groei, 2025).</w:t>
      </w:r>
    </w:p>
    <w:p w:rsidR="00000000" w:rsidDel="00000000" w:rsidP="00000000" w:rsidRDefault="00000000" w:rsidRPr="00000000" w14:paraId="000001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8.2 Risk Allocation across the Supply Chain</w:t>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Sustainable circular business models require explicit mechanisms for distributing risk and value (Boons and Ludeke-Freund, 2013); their absence drives the design-implementation gap. Karanki and Yu (2026) show that without pre-designed redistribution, weaker participants bear disproportionate SAF costs, undermining coalition stability.</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asymmetric cost burden documented by Karanki and Yu (2026) shows why circular business model design can’t assume that participation will be individually rational for every actor. Airlines bear these costs as the first actors in the value chain, but can’t fully recover them via repricing without risking passenger losses. This explains why circular business model design should not treat each actor’s participation as individually rational without looking at the distribution of value. This is addressed by Hellstrom et al. (2015) through their concept of collaboration mechanisms, showing that long-term, fixed-price contracts are highly valuable because they redistribute timing risk. Revenue and demand uncertainty are removed via committing to a given price. The initial coordination investment required to establish such a contract is shared by the buyer and seller. For HTL from waste, this means long-term SAF offtake agreements between an airline and an HTL operator would address such uncertainty. KLM could be such an anchor airline, given its SkyNRG precedent, and the HTL operator could be supported by an SDL capital investment that reduces the operator’s upfront financing burden.</w:t>
      </w:r>
    </w:p>
    <w:p w:rsidR="00000000" w:rsidDel="00000000" w:rsidP="00000000" w:rsidRDefault="00000000" w:rsidRPr="00000000" w14:paraId="000001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Overholm (2017) finds bankability is the binding constraint before other alliance problems can be addressed. For HTL, offtaker alliances are harder to build than financial partnerships, reversing the solar-PV pattern where customer alliances were straightforward. Public co-investment (EU Innovation Fund CfDs, Dutch SDL) can provide the revenue certainty financial partners require, though waste-to-SAF must still develop market demand beyond the mandate.</w:t>
      </w:r>
    </w:p>
    <w:p w:rsidR="00000000" w:rsidDel="00000000" w:rsidP="00000000" w:rsidRDefault="00000000" w:rsidRPr="00000000" w14:paraId="000001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4597400"/>
                <wp:effectExtent b="0" l="0" r="0" t="0"/>
                <wp:docPr id="2" name=""/>
                <a:graphic>
                  <a:graphicData uri="http://schemas.microsoft.com/office/word/2010/wordprocessingGroup">
                    <wpg:wgp>
                      <wpg:cNvGrpSpPr/>
                      <wpg:grpSpPr>
                        <a:xfrm>
                          <a:off x="2373400" y="1480500"/>
                          <a:ext cx="5943600" cy="4597400"/>
                          <a:chOff x="2373400" y="1480500"/>
                          <a:chExt cx="5945200" cy="4598225"/>
                        </a:xfrm>
                      </wpg:grpSpPr>
                      <wpg:grpSp>
                        <wpg:cNvGrpSpPr/>
                        <wpg:grpSpPr>
                          <a:xfrm>
                            <a:off x="2374200" y="1481300"/>
                            <a:ext cx="5943600" cy="4597400"/>
                            <a:chOff x="247375" y="147775"/>
                            <a:chExt cx="7125250" cy="5512850"/>
                          </a:xfrm>
                        </wpg:grpSpPr>
                        <wps:wsp>
                          <wps:cNvSpPr/>
                          <wps:cNvPr id="3" name="Shape 3"/>
                          <wps:spPr>
                            <a:xfrm>
                              <a:off x="247375" y="147775"/>
                              <a:ext cx="7125250" cy="551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739000" y="2020050"/>
                              <a:ext cx="2142000" cy="10455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HTL (operator intermediary venture)</w:t>
                                </w:r>
                              </w:p>
                            </w:txbxContent>
                          </wps:txbx>
                          <wps:bodyPr anchorCtr="0" anchor="ctr" bIns="91425" lIns="91425" spcFirstLastPara="1" rIns="91425" wrap="square" tIns="91425">
                            <a:noAutofit/>
                          </wps:bodyPr>
                        </wps:wsp>
                        <wps:wsp>
                          <wps:cNvSpPr/>
                          <wps:cNvPr id="13" name="Shape 13"/>
                          <wps:spPr>
                            <a:xfrm>
                              <a:off x="252150" y="558450"/>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Insurers (feedstock and asset risk)</w:t>
                                </w:r>
                              </w:p>
                            </w:txbxContent>
                          </wps:txbx>
                          <wps:bodyPr anchorCtr="0" anchor="ctr" bIns="91425" lIns="91425" spcFirstLastPara="1" rIns="91425" wrap="square" tIns="91425">
                            <a:noAutofit/>
                          </wps:bodyPr>
                        </wps:wsp>
                        <wps:wsp>
                          <wps:cNvSpPr/>
                          <wps:cNvPr id="14" name="Shape 14"/>
                          <wps:spPr>
                            <a:xfrm>
                              <a:off x="2739000" y="152550"/>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Financial partners (SDL, CfD, project debt)</w:t>
                                </w:r>
                              </w:p>
                            </w:txbxContent>
                          </wps:txbx>
                          <wps:bodyPr anchorCtr="0" anchor="ctr" bIns="91425" lIns="91425" spcFirstLastPara="1" rIns="91425" wrap="square" tIns="91425">
                            <a:noAutofit/>
                          </wps:bodyPr>
                        </wps:wsp>
                        <wps:wsp>
                          <wps:cNvSpPr/>
                          <wps:cNvPr id="15" name="Shape 15"/>
                          <wps:spPr>
                            <a:xfrm>
                              <a:off x="5225850" y="457225"/>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Financial partners (SDL, CfD, project debt)</w:t>
                                </w:r>
                              </w:p>
                            </w:txbxContent>
                          </wps:txbx>
                          <wps:bodyPr anchorCtr="0" anchor="ctr" bIns="91425" lIns="91425" spcFirstLastPara="1" rIns="91425" wrap="square" tIns="91425">
                            <a:noAutofit/>
                          </wps:bodyPr>
                        </wps:wsp>
                        <wps:wsp>
                          <wps:cNvSpPr/>
                          <wps:cNvPr id="16" name="Shape 16"/>
                          <wps:spPr>
                            <a:xfrm rot="10800000">
                              <a:off x="5225850" y="3441625"/>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[Non-commercial] (CMP, NVWA, Schiphol)</w:t>
                                </w:r>
                              </w:p>
                            </w:txbxContent>
                          </wps:txbx>
                          <wps:bodyPr anchorCtr="0" anchor="ctr" bIns="91425" lIns="91425" spcFirstLastPara="1" rIns="91425" wrap="square" tIns="91425">
                            <a:noAutofit/>
                          </wps:bodyPr>
                        </wps:wsp>
                        <wps:wsp>
                          <wps:cNvSpPr/>
                          <wps:cNvPr id="17" name="Shape 17"/>
                          <wps:spPr>
                            <a:xfrm rot="10800000">
                              <a:off x="2739000" y="3847525"/>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[Manufacturer] (HTL reactor supplier)</w:t>
                                </w:r>
                              </w:p>
                            </w:txbxContent>
                          </wps:txbx>
                          <wps:bodyPr anchorCtr="0" anchor="ctr" bIns="91425" lIns="91425" spcFirstLastPara="1" rIns="91425" wrap="square" tIns="91425">
                            <a:noAutofit/>
                          </wps:bodyPr>
                        </wps:wsp>
                        <wps:wsp>
                          <wps:cNvSpPr/>
                          <wps:cNvPr id="18" name="Shape 18"/>
                          <wps:spPr>
                            <a:xfrm rot="10800000">
                              <a:off x="252150" y="3542850"/>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[Installation partners]( biocrude logistics, build)</w:t>
                                </w:r>
                              </w:p>
                            </w:txbxContent>
                          </wps:txbx>
                          <wps:bodyPr anchorCtr="0" anchor="ctr" bIns="91425" lIns="91425" spcFirstLastPara="1" rIns="91425" wrap="square" tIns="91425">
                            <a:noAutofit/>
                          </wps:bodyPr>
                        </wps:wsp>
                        <wps:wsp>
                          <wps:cNvSpPr/>
                          <wps:cNvPr id="19" name="Shape 19"/>
                          <wps:spPr>
                            <a:xfrm>
                              <a:off x="252150" y="5045025"/>
                              <a:ext cx="5847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Solid = required before value creation; bracketed = conditional, less critical</w:t>
                                </w:r>
                              </w:p>
                            </w:txbxContent>
                          </wps:txbx>
                          <wps:bodyPr anchorCtr="0" anchor="t" bIns="91425" lIns="91425" spcFirstLastPara="1" rIns="91425" wrap="square" tIns="91425">
                            <a:noAutofit/>
                          </wps:bodyPr>
                        </wps:wsp>
                        <wps:wsp>
                          <wps:cNvCnPr/>
                          <wps:spPr>
                            <a:xfrm>
                              <a:off x="3810000" y="1198050"/>
                              <a:ext cx="0" cy="822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3810150" y="1502725"/>
                              <a:ext cx="2486700" cy="517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323150" y="1603950"/>
                              <a:ext cx="2487000" cy="4161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1323150" y="3065550"/>
                              <a:ext cx="2487000" cy="4773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s:wsp>
                          <wps:cNvCnPr/>
                          <wps:spPr>
                            <a:xfrm rot="10800000">
                              <a:off x="3810000" y="3065425"/>
                              <a:ext cx="0" cy="7821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s:wsp>
                          <wps:cNvCnPr/>
                          <wps:spPr>
                            <a:xfrm rot="10800000">
                              <a:off x="3810150" y="3065425"/>
                              <a:ext cx="2486700" cy="3762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3600" cy="4597400"/>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43600" cy="4597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8.3 The Design-Implementation Gap and Organizational Readiness</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Geissdoerfer et al. (2018b) identify this previously mentioned design implementation gap as the central unresolved practical issue for sustainable business model innovation. They see it as an array of challenges that prevent organizations from successfully implementing business model innovations, even when the designs are technically promising. For the ENLENS waste-to-SAF pathway, the gap doesn’t lie within any single firm. Rather, it’s at the ecosystem level that institutional, supply chain, and financial conditions for implementing the circular business model must be developed together. No single actor's readiness is sufficient on its own.</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proceed, we need to examine how organizations and their partners can build the capacity to move from promising design to coordinated, large-scale implementation. Faccin et al. (2025), in a longitudinal process study of a Brazilian petrochemical company’s transformation of its circular business model, identify four dynamic capabilities required at successive phases to achieve it. First is sensing, which is identifying circular economy opportunities. Second is seizing, which is the mobilization of resources to act on said opportunities. Third is transformation, which involves restructuring organizational capabilities to support the new model. Fourth is orchestrating, which involves mobilizing external resources from partners, suppliers, customers, and other ecosystem actors to collaboratively create value. The orchestrating capability emerges during the consolidation phase, when supply chain alignment can become a source of competitive differentiation rather than just an operational requirement, they say. For the HTL pathway, the early phases thence require sensing and seizing capabilities internal to the UvA-Schipol pilot. Commercial-scale operations require orchestrating capabilities across the entire waste-to-SAF value chain. Internal organizational conditions also need to support this transition. Coffay and Bocken (2023) call the gap between top management's sustainability commitments and the day-to-day culture on the ground the culture gap. They see this barrier to implementing a sustainable business model as underanalyzed. They use a three level organizational design framework going from cultural, strategic, to operational, with each level having to be supportive for SBMI to succeed. This is different from the design-implementation gap in Geissdoerfer et al. (2018b), which is mostly at firm level and a tooling deficit. The mentioned culture gap remains even when the design tools are in place. Both gaps are relevant for HTL from waste, though at different levels. Geissdoerfer et al.'s gap is about missing certification and contracting infrastructure across the coalition. The culture gap is in organizations like Schiphol and KLM, where sustainability teams have less urgency from procurement and operations departments. Such a gap is also relevant for airlines and airports, which have committed to ambitious net-zero targets, while their procurement, investment, and operations functions remain focused on cost minimization, which systematically disadvantages novel sustainable pathways. The ENLENS case study will explore whether a cultural gap exists among Dutch aviation stakeholders regarding the waste-to-SAF initiative. Furthermore, examining governance mechanisms such as sustainability-linked contracts or shared ownership in the conversion project helps turn these ambitions into concrete actions.​</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8.4 What the Literature Has and Has Not Addressed</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reviewed literature establishes that circular transformation in regulated sectors requires architectural change (Foss &amp; Saebi, 2017), that the design-implementation gap is systematic (Geissdoerfer et al., 2018b), and that policy alone does not create business model innovation (Bryant et al., 2019). Energy-transition literature shows coordination requires collaboration mechanisms (Hellstrom et al., 2015); waste valorization literature confirms symbiosis ventures face demanding legitimacy requirements (Kanda et al., 2024); ecosystem governance literature shows circular fuel pathways need arrangements beyond bilateral contracting (Konietzko et al., 2020); and fair value distribution is a design requirement (Boons &amp; Ludeke-Freund, 2013).</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literature does not yet address the ENLENS case: policy-driven circular innovation requiring multi-actor coalition formation in a certification-intensive sector, with pre-commercial technology converting heterogeneous feedstocks under parallel waste-management, aviation supply-chain, and carbon-accounting constraints. Aviation economics literature treats business model as a sector-level construct (Karanki &amp; Yu, 2026; Gössling &amp; Humpe, 2023) rather than firm-level value architecture, and ecosystem governance frameworks (Konietzko et al., 2020; Speich &amp; Ulli-Beer, 2023) are not grounded in aviation or circular fuel specifically.</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literature doesn't cover foundational legal classifications in determining feasibility. The Waste Framework Directive's classification of HTL as other recovery rather than recycling (European Parliament &amp; Council of the European Union, 2008, Art. 3(17)) and its end of life waste criteria (Art. 6) to even enter the market before a model can be considered. At the Dutch level, the Waste Management Act (Wet milieubeheer) sets out a waste hierarchy for household waste (Ministerie van Infrastructuur en Waterstaat, n.d., Art. 10.4), while the CMP's minimum standards (Ministerie van Infrastructuur en Waterstaat, 2025), which replaced LAP3 (Ministerie van Infrastructuur en Waterstaat, 2019), take the EU waste classifications and offer permit requirements that a Dutch HTL facility must meet for each feedstock stream. A new Circular Economy Act (Circulaire Economie-wet) is also being created that would align the Wet milieubeheer's rules on substances, products, and waste with circular-economy objectives better (Ministerie van Infrastructuur en Waterstaat, 2025). Though it's not yet adopted, its feedstock classifications of this paper will need to be reviewed. Commission Implementing Regulation (EU) 2022/996 (European Commission, 2022) sets the audit that converts physical feedstock into real sustainability claims and the quarterly mass balance clearing cycle creates cash-flow constraints that should be anticipated. RED III Article 29(1) finds the sustainability criteria burden applicable to waste-derived SAF, with the waste exemption being a potential cost advantage over the crop pathways. And the anti-tankering obligation of ReFuelEU Article 5 helps anchor demand, strengthening the concept of the local waste-to-SAF pathway. The EU ETS's zero emission factor for the biomass fraction of SAF (European Commission, 2018, Art. 38(2)) and the Innovation Fund's Carbon Contracts for Difference mechanism (European Parliament &amp; Council of the European Union, 2023c, Art. 1(13)) are both converters of claims into actual cost advantages, and thus bankable. These are the regulatory preconditions that no business model can ignore. The general Dutch climate governance framework backs this. Together, the Dutch Climate Act (Ministerie van Klimaat en Groene Groei, n.d.-a), Climate Fund (Ministerie van Klimaat en Groene Groei, n.d.-b), Climate Plan 2025, 2035 (Ministerie van Klimaat en Groene Groei, 2025), and National Energy System Plan (Ministerie van Economische Zaken en Klimaat, 2023) outline and govern the opportunity in which the waste-to-SAF business models in the Netherlands must be developed.</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8.5 The Analytical Framework</w:t>
      </w:r>
    </w:p>
    <w:p w:rsidR="00000000" w:rsidDel="00000000" w:rsidP="00000000" w:rsidRDefault="00000000" w:rsidRPr="00000000" w14:paraId="000001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has yielded an analysis model for the ENLENS case study, spanning four levels. At the firm level, Foss and Saebi’s (2017) modular-versus-architectural typology is drawn upon to identify the transformation type each actor must undertake, and Bidmon and Knab’s (2018) three-role typology (barrier, facilitator, niche innovation) is used to assess each actor’s current position relative to the SAF transition. At the inter-firm level, Hellstrom et al.'s (2015) collaboration mechanism concept and Velter et al.’s (2021) boundary work model can be used to examine how coalition formation unfolds and the governance instruments required to sustain this progress through the design-to-implementation transition. At the ecosystem level, Konietzko et al.’s (2020) circular ecosystem innovation principles are fundamental, joined by Di Vaio et al.’s (2026) IE-BMI framework to assess what integrity infrastructure, insetting integrity, and ecosystem orchestration mechanisms may be in place for the circular SAF value chain to create credible and claimable environmental value. At the institutional level, the framework draws on Wasserbaur et al.’s (2022) co-evolutionary perspective on governmental policy and business model interactions, and Kharbeet et al.’s (2026) multilevel trigger taxonomy, tracing the various policy and regulations instruments and frameworks translation into business model design constraints and opportunities for the involved parties.</w:t>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levels aren't independent; Bidmon and Knab (2018) demonstrate that firm-level business model choices are both determined by and can reshape ecosystem and institutional dynamics. Furthermore, Carraresi and Broring (2021) show that the choice of focal company role affects all subsequent supply chain configuration decisions, and Faccin et al. (2025) show that the capability that organizes and sustains ecosystem-level value creation must itself be developed in the earlier sensing, seizing, and transforming phases. This study will follow these interdependencies through ENLENS, considering the following 3 questions that were repeatedly identified as important in circular fuel pathway viability: 1) who risks the finances of technology scaling, 2) how costs and revenues are distributed amongst suppliers, operators, certifiers, and offtakers, and 3) what institutional and contractual mechanisms stabilize the coalition through the pre-commercial stage in technological and policy uncertainty.</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6 synthesizes the financial viability, risk allocation, and design-implementation gap literature reviewed in this section, including the analytical framework derived for the ENLENS case.</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6: Financial viability, risk allocation, and the design-implementation gap, key concepts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viability and risk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risk and value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Boons and Ludeke-Freund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 circular business models require explicit mechanisms for distributing risk and value; absence drives the design-implementation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distribution is a design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Without pre-designed redistribution, weaker coalition members bear disproportionate HTL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Asymmetric SAF cost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Karanki and Yu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Mandate costs fall unevenly across airline business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allocation cannot be assumed equitable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pass-through limits at Schiphol will fall differently on network vs. low-cost carriers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Bankability as binding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Overholm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Bankability must be secured before other alliance problems can be addressed; offtaker alliances are harder than financial partnerships for novel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Offtake precedes finance for HTL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co-investment (Innovation Fund CfDs, SDL) can provide revenue certainty financial partners require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Design-implementation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Systematic design-implementation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Geissdoerfer et al. (2018b)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BMI designs routinely fail at implementation because institutional, supply-chain, and financial conditions are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Gap is structural, not managerial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pilot success at lab scale does not resolve implementation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readiness for circular 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Bocken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Firms need dynamic capabilities to move from promising design to operational circular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Capacity building is part of the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 and partners must build readiness across waste, conversion, and certification simultaneously</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framework (Section 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Four-level analysis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Foss and Saebi (2017); Hellstrom et al. (2015); Konietzko et al. (2020); Boons and Ludeke-Freund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 inter-firm, ecosystem, and institutional levels interact; firm choices are constrained by higher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Integrates literature reviewed in Sections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scaffold against which Section 9 interview evidence and Section 10 discussion are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ENLENS-specific literature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Synthesis (Section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existing study addresses policy-driven circular innovation requiring multi-actor coalition formation under certification-intensive aviation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Gap is case-specific, not generic 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review and the ENLENS project are positioned to address that gap empirically</w:t>
            </w:r>
          </w:p>
        </w:tc>
      </w:tr>
    </w:tbl>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 Interviews: Early Evidence from the Field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9.1 Overview</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section reports on five interviews conducted for the ENLENS project, described in Section 2.5 and summarised in the interview participants table in Section 2. The interviews were chosen to sample distinct functional positions rather than a single actor type, on the reasoning that a business model transformation of this kind cannot be read off any one actor's account. Read together, the five interviews surface a consistent pattern that recurs across every part of the value chain: a mismatch between the short-term, low-commitment way the conventional fuel market has always worked and the long-term, high-commitment way a pre-commercial SAF pathway needs to be financed. Each sub-section below reports one interview; Section 9.7 draws out the cross-cutting findings before the discussion in Section 10 reads this material against the literature.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9.2 Port infrastructure: enabler, not fuel actor</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Port of Amsterdam interview offers the clearest illustration of how far regulatory pressure now travels beyond the actors it directly obligates. The interviewee was clear that the port authority sits outside the fuel transaction chain entirely: production, storage, and blending are handled by private terminal operators, with the port's role limited to the physical and logistical conditions, land, pipeline access, jetties, and berth capacity, under which those actors operate. Even so, the port's own investment planning is shaped by the same transition. The interviewee described an ongoing discussion with a fuel producer about an e-SAF production facility, an existing biodiesel operation run by private companies at the port, and a hub concept being developed with terminal operators for barge, rail, and pipeline import of bio- and e-fuels.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Blending emerged as a specific chokepoint. Kerosene delivered to Schiphol arrives already blended to final specification, which means blending has to happen upstream at the terminals, not at the airport. This is complicated by the fact that bio- and e-kerosene do not arrive in the same steady, homogeneous volumes as conventional kerosene from a refinery: they come from multiple, comparatively small production plants whose batches can differ slightly in composition, so terminals have to keep incoming volumes segregated in smaller tanks until a batch can be blended to specification. The interviewee did not see this as an investment bottleneck in itself, since terminals holding a five-year offtake contract will typically invest in the additional tank capacity needed, but the absence of such contracts at the moment means investment decisions are effectively on hold.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Three constraints were repeatedly identified as more binding than terminal capacity itself: production-side access to green electricity and where production should be sited given how sharply renewable electricity availability varies by geography; the length of the path to financial closure for new production plants, described as taking five to six years from initial concept to output, linked to producers' difficulty securing offtake commitments from airlines unwilling to pay a premium above the regulatory minimum; and the certification and paper trail associated with SAF, described as complicated under current EU and national rules, a burden reported to the port secondhand through KLM rather than experienced directly. Asked directly which actors are essential to make SAF viable, the interviewee named airlines, airports, production plants, and the public sector, but was consistent in declining to position the port authority as a coordinating or lobbying actor in its own right, repeatedly redirecting questions about certification, blending standards, and regulatory detail to KLM, Schiphol, or the terminal operators. It is a limitation of this interview that the informant's own regulatory knowledge was general rather than detailed, which is itself informative about where policy literacy sits across the ecosystem.</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9.3 KLM: SAF as cost, not business model</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airline interview is the most direct evidence in the interview set that a mandate does not automatically produce a business model. The interviewee, responsible for M&amp;A and holdings at KLM and a board member of a SAF joint venture the airline co-founded, was explicit that KLM sees no real value creation from SAF adoption beyond the ordinary appreciation of its minority equity stakes in producer companies. In his words, it is "just a cost for us... just cost increasing," with no business model behind the shift itself.</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Two changes since the ReFuelEU mandate came into force were described as material. First, until 2025 KLM could sell the CO2 credits generated by SAF use into the road transport sector under the old HBE unit system, which offset a meaningful share of the cost; that route closed once aviation itself became mandated, so KLM now bears the full price differential. Second, voluntary sales of SAF to passengers and corporates remain very low even though stated willingness to pay in surveys is much higher, a gap the interviewee attributed partly to a legal constraint: court rulings mean KLM can no longer market SAF as "sustainable," which the interviewee linked directly to reduced ability to sell a green premium to end customers.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most detailed material concerns project finance. A typical SAF project moves through three phases: a pre-feed feasibility phase costing roughly three to ten million euros, a feed phase to reach construction-ready status costing thirty to one hundred million euros, and construction itself costing five hundred million to five billion euros. Financing the feed phase, the middle phase, is described as the binding constraint, because project debt (roughly 70 percent of financing) is only available once a fixed, long-term offtake contract removes revenue risk from the project. This forces airlines into ten to fifteen year offtake commitments before a plant is built, a wholly different undertaking from the one-year fuel contracts airlines are used to. KLM's response has been to help set up a joint SAF investment fund with other airlines, its fuel supplier, and financial partners, explicitly to outsource technical due diligence on producer projects that KLM lacks the internal capability to assess project by project; the interviewee estimated fewer than five people internally are genuinely knowledgeable about SAF finance. On policy, the interviewee argued for treating SAF siting as a European rather than national question given feedstock and renewable electricity availability, and suggested redirecting EU ETS carbon-price revenue toward closing the SAF price gap rather than letting it flow into general government revenue. Asked how costs are likely to be distributed, the interviewee put the split at roughly 50 to 90 percent passed to the passenger depending on how much of a level playing field exists internationally, with the remainder absorbed by the airline.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9.4 The voluntary and certificate market: a second, disconnected market</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interview with a former Neste employee who worked specifically on the company's emission-reduction solutions business surfaces a distinction largely absent from the rest of the draft: a physical SAF market and a separate voluntary certificate market that operates alongside it under different rules. In this model, the physical fuel is sold to airlines at Schiphol and burned in the ordinary course of operations; separately, the emission-reduction value of that fuel is decoupled and sold as a certificate to corporate buyers, typically firms with high business-travel footprints and limited ability to buy physical fuel directly, such as consultancies and banks. Certificates are issued only after the underlying fuel has actually been burned by a named airline partner, and explicitly cannot be counted by the airline itself toward its own ReFuelEU mandate; the two markets are kept legally and administratively separate.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interviewee described this voluntary market as immature relative to the underlying physical market. Terminology is unsettled (SAF certificate, carbon credit, and several company-specific names are used interchangeably), and corporate sustainability teams were, at the time, waiting for the Science Based Targets initiative's aviation scope 3 guidance to be finalised before committing budget, since it was unclear whether a given purchase would count cleanly toward a company's own emissions targets. The interviewee also pointed to a lack of public benchmarking: several corporate clients had made purchases but declined to publicise them, out of concern about greenwashing accusations, which in turn slowed the emergence of the peer pressure and case studies that might have accelerated broader uptake. Cargo and freight buyers were noted as an emerging, more willing segment relative to passenger-side corporate travel.</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9.5 Technology supply: following the customer through the value chain</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interview with a catalyst manufacturer supplying SAF producers, including a long-standing collaboration with Neste on HEFA catalyst, illustrates how a transition of this kind propagates upstream to actors with no direct fuel market exposure. The interviewee described the change inside the company less as a new division and more as a reallocation of an existing research and development portfolio: increased attendance at SAF-specific conferences, renewed participation in EU consortium projects after a lapse, and two current EU-funded projects, one on lignocellulosic feedstock to SAF via pyrolysis and one on algae to SAF via hydrothermal liquefaction, the same conversion technology used in the ENLENS HTL pilot, though applied there to plastics rather than algae.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interviewee's account of the company's role changing across technology readiness levels is a useful complement to the dynamic capabilities material already in the literature review: at low readiness levels the company acts in an advisory capacity, since it does not fund fundamental research itself, and its commercial role grows as a pathway approaches manufacturing scale, since catalyst supply at scale is where the company actually earns revenue. On feedstock, the interviewee flagged a cross-sectoral dynamic not otherwise present in the draft: the ethanol industry, facing declining gasoline-blending demand as road transport electrifies, is actively repositioning toward alcohol-to-jet SAF as an alternative outlet for the same production base, and a similar reconsideration is underway in parts of the paper and pulp industry regarding biomass streams. On investment horizon, the interviewee estimated ten to twenty years as the period the company needs before committing to a joint technology development effort, tied explicitly to how much clarity exists on the regulatory framework a given pathway will operate under. Geography of partnership was described as driven more by technology fit than by national policy specifically, since the company's customers operate internationally regardless of where a given plant is sited.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9.6 An integrated energy major: risk allocation as the core problem</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Shell interview is the most theoretically direct of the five, and largely in its own terms restates the central argument this paper is making from a practitioner's seat. The interviewee, responsible for partnerships and technology in Shell's low carbon fuels business, framed the entire transition as a problem of allocating a set of risks, market risk, technology risk, asset risk, feedstock supply risk, CO2 policy risk, project financeability risk, and insurance risk, among actors who each, in his account, tend to see only their own side of the exposure. He offered his own metaphor for the practical consequence: bringing the value chain's actors into a viable business model, in his words, requires something closer to a marriage counsellor than a commercial negotiator, because the disagreement is less about numbers than about each party failing to see the other's risk position as legitimate.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specific mechanism he described lines up closely with the horizon mismatch KLM's interviewee also raised, from the opposite side of the negotiating table: producers need ten to twenty year offtake commitments to secure project debt, while airlines are structured, financially and organisationally, around six-month to one-year fuel purchasing. He pointed to the EU's proposed double-sided auction mechanism and the UK's Revenue Certainty Mechanism, both already referenced in this paper's policy section, as direct government responses to exactly this mismatch: a public or quasi-public intermediary signs the long-dated contract with the producer and offers airlines a shorter, more familiar commitment, absorbing the horizon risk itself. He also described extreme risk-spreading behaviour among the interviewee's own banking counterparties, citing a Dutch SAF project financed by a consortium of eleven banks as an example of lenders themselves refusing to hold concentrated exposure to a single pre-commercial pathway.</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Shell's own strategy, the interviewee described a deliberate pattern of entering a new fuel or feedstock market first as a trader, to build customer relationships and market knowledge, before committing to production investment, which he offered as the reason Shell stepped back from a planned HEFA production plant while continuing to expand its SAF trading book. He was candid that value capture shifts along the chain over time depending on the relative scarcity of feedstock versus processing capacity, a dynamic that echoes the catalyst supplier's account of HEFA feedstock and processing capacity converging. On new entrants, he distinguished established peers such as BP, Total, and Eni from a larger population of unproven project developers whose commercial pitches were not always matched by delivery capability, and gave a vivid account of the cultural gap between Shell's petrochemical safety culture and the far more informal operating norms of some agricultural-sector feedstock partners, a point that maps closely onto the boundary-work and culture-gap material already covered in Sections 6 and 7 of the literature review. Asked for his own view on policy design, he argued that the EU's feedstock- and pathway-specific rules (Annex IX sub-categories, differentiated treatment of HEFA versus e-SAF versus advanced pathways) are, in his words, more prescriptive than the outcome-based carbon-intensity approach used in California's Low Carbon Fuel Standard, and that this granularity raises cost and slows volume without a clear offsetting benefit, citing an industry estimate that e-SAF currently runs ten to fifteen times the cost of fossil jet fuel. He flagged this as a personal view rather than a company position, and noted a political affordability risk if the cost of the transition rises faster than public willingness to pay for it.</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9.7 Cross-cutting findings from the interviews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Three patterns recur across all five interviews and are picked up again in the discussion below. First, every interviewee who was asked, independently, identified the mismatch between short-term fuel purchasing norms and the long-term offtake commitments a pre-commercial project needs as the central practical obstacle, described in KLM's terms as a project finance problem and in Shell's terms as a risk allocation problem, but pointing at the same mechanism from opposite ends of the negotiating table. Second, actors with no direct fuel transaction exposure, the Port of Amsterdam and the catalyst supplier, both described their own investment and R&amp;D planning as shaped by the same mandate and the same offtake uncertainty that constrain producers and airlines, while both also declined to see themselves as responsible for resolving that uncertainty. Third, the interviews surfaced a second, largely separate voluntary certificate market operating in parallel to the mandated compliance market, governed by different actors (corporate sustainability buyers, standard-setters such as the Science Based Targets initiative) and different rules, which does not appear anywhere in the literature reviewed in Sections 4 through 8 and represents a genuine gap between the academic framing of SAF adoption and how the market actually operates on the ground.</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 Discussion</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10.1 Reading the interviews against the co-evolution literature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Wasserbaur et al. (2022) describe the relationship between government policy and business models as one of co-evolution rather than simple cause and effect: regulation shapes value propositions, cost structures, and revenue models, but firms and ecosystems also adapt to, exploit, and reshape the instruments available to them. Three of the five interviews illustrate this from different points in the chain. The Port of Amsterdam is not a regulated party under ReFuelEU in the way fuel suppliers and airlines are, yet its own investment planning is nonetheless being shaped by the same regulatory signal, mediated through its commercial relationships with terminal operators and producers who are directly obligated. KLM's interviewee described the withdrawal of the pre-2025 HBE credit-selling route as a direct, first-order example of an instrument change reshaping the airline's cost structure overnight, exactly the mechanism Wasserbaur et al. describe. Shell's interviewee went further, describing Shell's own trading-before-producing strategy as a deliberate exploitation of regulatory and market signals rather than a passive response to them, which is closer to the active, reshaping side of co-evolution than either of the other two accounts. Read together, the three interviews suggest co-evolution is not evenly distributed across the ecosystem: better-resourced, more integrated actors like Shell can actively reshape the instruments they operate under, while infrastructure and demand-side actors like the port and the airline are more often reacting to a fixed signal.</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10.2 Barrier, facilitator, or niche innovator</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Bidmon and Knab's (2018) three-role typology, in which business models in a sustainability transition act as barriers, facilitators, or independent niche innovations, helps locate where the interviewed actors currently sit. The Port of Amsterdam's account places it closest to the facilitator role: not resisting the transition, not itself the site of innovation, but its infrastructure decisions are what allow niche production such as the HTL pathway under study, or the e-SAF facility under discussion, to scale if demand materialises. KLM's account is harder to place cleanly. The interviewee's own framing, that SAF adoption is "just cost" with no change to KLM's underlying business model, reads as closer to the barrier role than KLM's public sustainability commitments would suggest, and is a useful corrective to any assumption that a mandated actor is automatically acting as a facilitator. Shell's dual role as both a large-scale trader and an active technology and project investor places it across two of Bidmon and Knab's categories simultaneously, facilitator through its trading infrastructure and financing activity, and a would-be niche innovator through its own production and licensing investments, which suggests the typology may need to be applied at the level of a specific activity within a firm rather than to the firm as a whole for a diversified actor like Shell.</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10.3 The bankability and offtake mismatch, seen from three sides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interviews strongly corroborate two established findings from Sections 7 and 8 of the literature review, and add detail that the literature does not fully capture. Overholm's (2017) claim that bankability is the binding constraint before other alliance-formation problems can be addressed is echoed in near-identical terms by both KLM and Shell, from opposite sides of the same negotiation: KLM describes the ten to fifteen year offtake commitment project finance requires as a fundamentally different undertaking from ordinary fuel purchasing, and Shell describes the same mismatch as the central risk allocation problem the whole sector needs to solve. The chicken-and-egg coordination problem described by Hellstrom et al. (2015) and the European Commission's Sustainable Transport Investment Plan is visible here in more operational detail than the literature provides: KLM's account of the pre-feed, feed, and construction phases, and its identification of the feed phase specifically as the point where projects stall for lack of financeable offtake, gives the abstract coordination problem a concrete shape. What the interviews add beyond the literature is that the party with the physical infrastructure, the Port of Amsterdam, does not see coordinating this standoff as part of its remit even though its own storage and blending decisions depend on the standoff's resolution, and that government-backed intermediary mechanisms (the EU's proposed double-sided auction and the UK's Revenue Certainty Mechanism, both raised independently by Shell's interviewee) are now the concrete institutional response to exactly this gap, a development that postdates most of the literature reviewed in Section 8.</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10.4 A second market the literature does not cover</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None of the demand-side literature reviewed in Section 5.3, including Gössling and Humpe (2023), Karanki and Yu (2026), and Muller and Wittmer (2026), addresses the voluntary certificate market described in the interview with the former Neste employee, in which SAF's emission-reduction value is decoupled from the physical fuel and sold separately to corporate buyers under standards such as the Science Based Targets initiative's aviation guidance. This is a genuine gap rather than a minor omission, since it means a second demand channel, governed by different actors and different rules than the ReFuelEU mandate, is currently operating alongside the mandated compliance market with no clear treatment in the academic literature on SAF adoption economics. Given that Muller and Wittmer (2026) already identify corporate willingness to pay as constrained by internal budget authority rather than preference, the existence of a parallel voluntary certificate market that struggled, at least at the time of interview, with unsettled terminology and unclear standards suggests the corporate demand-side story is more fragmented, and less well captured by a single willingness-to-pay figure, than the current literature implies.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10.5 Modular change at the edges, architectural change at the core, revisited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Applying Foss and Saebi's (2017) modular versus architectural distinction to the fuller interview set sharpens the pattern identified in the earlier draft using only the port interview. The port and the catalyst supplier both describe the changes required of them, additional storage and blending capacity in the port's case, a reallocated research and development portfolio in the catalyst supplier's case, as extensions of existing capabilities rather than a redesign of how they create or capture value. This reads as modular change in Foss and Saebi's terms. KLM's and Shell's accounts point to architectural change concentrated further upstream and in the financing structure itself: KLM's description of a joint investment fund built specifically to outsource project due diligence, and Shell's description of a fundamental reallocation of risk across the chain, both describe firms restructuring core relationships and capabilities rather than extending existing ones. This uneven distribution of change intensity, light at the infrastructure and upstream-supply layer, heavy at the financing and offtake layer, bears directly on the paper's fifth research question: operational continuity looks genuinely achievable at the port, terminal, and technology-supply level without major disruption, but the interviews suggest continuity is far less certain for producers and airlines working through the offtake and financing bottleneck, which is where Axelson et al. (2021) would predict the deepest business model change to concentrate.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10.6 Limitations of the discussion at this stage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discussion remains provisional. Five interviews across five distinct roles is a broader base than the single interview the earlier draft relied on, but it is still a small, purposively selected sample, and several participants' own regulatory knowledge was general rather than detailed in areas outside their direct remit. The reading offered here should be treated as a set of working hypotheses to be tested against further interviews with feedstock suppliers, certification bodies, and Dutch policymakers, which the ENLENS project anticipates conducting in a later phase, rather than as a settled account of how co-evolution, coalition formation, and architectural change are playing out across the Dutch SAF ecosystem as a whole.</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 Conclusion</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paper set out to examine how a policy-driven circular innovation, waste-to-SAF via hydrothermal liquefaction, can be translated into a viable, sustainable business model within the aviation ecosystem. The literature reviewed in Sections 4 through 8 establishes that this translation is not a technical problem but a coordination problem operating simultaneously at the firm, inter-firm, ecosystem, and institutional level, and that circular business model transformation of this kind requires architectural rather than modular change precisely because no single actor controls the feedstock, the conversion technology, the certification infrastructure, and the offtake market at once. The interview evidence presented in Section 9, and discussed in Section 10, is consistent with this picture and adds concrete texture to it. Across five interviews spanning an infrastructure actor, an airline, a former SAF producer employee, a technology supplier, and an integrated energy major, the same underlying mismatch recurs: the long-term commitment a pre-commercial SAF project needs to become bankable does not fit the short-term way fuel has always been bought and sold, and no single actor in the chain, including actors with strong public sustainability commitments, currently sees resolving that mismatch as their own responsibility. This combination, a mismatch felt by nearly every actor paired with no actor clearly accountable for closing it, is arguably the central obstacle this paper has identified, echoing and sharpening the finding of the earlier draft that relied on a single interview.</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contribution of this work is to bring together a literature on sustainable and circular business model innovation that has developed mainly around manufacturing and energy-utility contexts, a literature on SAF adoption economics that treats business model largely as a sector-level construct, a detailed regulatory mapping of the EU and Dutch instruments that govern this specific pathway, and a first empirical pass across five distinct points in the Dutch aviation fuel value chain, and to apply the resulting framework to a case, HTL from airport waste, that does not yet appear in either literature. In doing so it also surfaces two points the literature has not yet addressed: a voluntary certificate market operating alongside the mandated compliance market with its own actors and standards, and a methodological point, that measuring readiness for this kind of transition requires asking not only whether the technology works and whether the policy mandate is binding, but whether any actor in the ecosystem sees itself as responsible for assembling the coalition the mandate presupposes will simply appear.</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remains a limitation as much as a finding. The empirical base at this stage is early, one case study and five interviews, and the analytical framework in Section 8.5 has not yet been tested against interviews with feedstock suppliers, certification bodies, or Dutch policymakers. The next phase of this research will extend interviews across these actor types, track how the coalition around the UvA-Schiphol HTL pilot develops as it approaches commercial scale, and follow closely the resolution of specific open questions identified in this review, including the outcome of the EU's book-and-claim feasibility study, the CMP's treatment of HTL as a processing route for sewage sludge, the design of the EU's proposed double-sided auction mechanism and its UK counterpart, and whether any Dutch e-SAF or advanced bio-SAF project reaches final investment decision in the period ahead. Aviation's decarbonisation depends on regulatory mandates converting into real production capacity, and that conversion, this paper argues, will be decided less by chemistry than by who is willing to build, and pay for, the coalition the mandate assumes.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​References</w:t>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Adner, R., 2017. Ecosystem as structure: an actionable construct for strategy. J. Manag. 43 (1), 39, 58. https://doi.org/10.1177/0149206316678451https://doi.org/10.1177/0149206316678451</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Al-Saleh, Y., &amp; Mahroum, S. (2015). A critical review of the interplay between policy instruments and business models: Greening the built environment a case in point. Journal of Cleaner Production, 109, 260-270. https://doi.org/10.1016/j.jclepro.2014.08.042</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Axelson, M., Oberthur, S., &amp; Nilsson, L. J. (2021). Emission reduction strategies in the EU steel industry: Implications for business model innovation. Journal of Industrial Ecology, 25(2), 390-402. https://doi.org/10.1111/jiec.13124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Azcarate-Aguerre, J. F., Conci, M., Zils, M., Hopkinson, P., &amp; Klein, T. (2022). Building energy retrofit-as-a-service: A Total Value of Ownership assessment methodology to support whole life-cycle building circularity and decarbonisation. Construction Management and Economics, 40(9), 676-689. https://doi.org/10.1080/01446193.2022.2094434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Bidmon, C. M., &amp; Knab, S. F. (2018). The three roles of business models in societal transitions: New linkages between business model and transition research. Journal of Cleaner Production, 178, 903-916. https://doi.org/10.1016/j.jclepro.2017.12.198</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Boons, F., &amp; Ludeke-Freund, F. (2013). Business models for sustainable innovation: State-of-the-art and steps towards a research agenda. Journal of Cleaner Production, 45, 9-19. https://doi.org/10.1016/j.jclepro.2012.07.007</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Brink, T. (2022). Organising direction of innovation ecosystems for extended clean energy production. Journal of Cleaner Production, 376, 134150. https://doi.org/10.1016/j.jclepro.2022.134150</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Bryant, S. T., Straker, K., &amp; Wrigley, C. (2019). The discourses of power: Governmental approaches to business models in the renewable energy transition. Energy Policy, 130, 41-59. https://doi.org/10.1016/j.enpol.2019.03.050</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Carraresi, L., &amp; Broring, S. (2021). How does business model redesign foster resilience in emerging circular value chains? Journal of Cleaner Production, 289, 125823. https://doi.org/10.1016/j.jclepro.2021.125823</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Chirumalla, K., Balestrucci, F., Sannö, A., &amp; Oghazi, P. (2024). The transition from a linear to a circular economy through a multi-level readiness framework: An explorative study in the heavy-duty vehicle manufacturing industry. Journal of Innovation &amp; Knowledge, 9, 100539. https://doi.org/10.1016/j.jik.2024.100539</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Coffay, M., &amp; Bocken, N. (2023). Sustainable by design: An organizational design tool for sustainable business model innovation. Journal of Cleaner Production, 427, 139294. https://doi.org/10.1016/j.jclepro.2023.139294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 Vaio, A., Van Engelenhoven, E., Zaffar, A., Raimo, N., &amp; Vitolla, F. (2026). Innovating business models for circular and regenerative outcomes: Carbon insetting practices in European port ecosystems. Journal of Innovation &amp; Knowledge, 16, 101033. https://doi.org/10.1016/j.jik.2026.101033</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Commission. (2018). Commission Implementing Regulation (EU) 2018/2066 of 19 December 2018 on the monitoring and reporting of greenhouse gas emissions pursuant to Directive 2003/87/EC of the European Parliament and of the Council and amending Commission Regulation (EU) No 601/2012. Official Journal of the European Union, L 334, 1-93. https://eur-lex.europa.eu/eli/reg_impl/2018/2066/oj/eng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Commission. (2022). Commission Implementing Regulation (EU) 2022/996 of 14 June 2022 on rules to verify sustainability and greenhouse gas emissions saving criteria and low indirect land-use change-risk criteria. Official Journal of the European Union, L 168, 1-62. https://eur-lex.europa.eu/eli/reg_impl/2022/996/oj/eng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Commission. (2020). Communication from the Commission to the European Parliament, the Council, the European Economic and Social Committee and the Committee of the Regions: A new Circular Economy Action Plan for a cleaner and more competitive Europe (COM/2020/98 final). https://eur-lex.europa.eu/legal-content/EN/TXT/?qid=1583933814386&amp;uri=COM:2020:98:FIN</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Commission. (2025). Communication from the Commission to the European Parliament, the Council, the European Economic and Social Committee and the Committee of the Regions: Sustainable Transport Investment Plan (COM(2025) 664 final). https://eur-lex.europa.eu/legal-content/EN/TXT/?uri=celex:52025DC0664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&amp; Council of the European Union. (2003). Directive 2003/87/EC of the European Parliament and of the Council of 13 October 2003 establishing a scheme for greenhouse gas emission allowance trading within the Community and amending Council Directive 96/61/EC. Official Journal of the European Union, L 275, 32-46. https://eur-lex.europa.eu/eli/dir/2003/87/oj/eng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&amp; Council of the European Union. (2008). Directive 2008/98/EC of the European Parliament and of the Council of 19 November 2008 on waste and repealing certain Directives. Official Journal of the European Union, L 312, 3-30. https://eur-lex.europa.eu/eli/dir/2008/98/oj/eng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and Council of the European Union. (2009). Regulation (EC) No 1069/2009 of the European Parliament and of the Council of 21 October 2009 laying down health rules as regards animal by-products and derived products not intended for human consumption and repealing Regulation (EC) No 1774/2002 (Animal by-products Regulation). EUR-Lex. https://eur-lex.europa.eu/eli/reg/2009/1069/oj/eng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&amp; Council of the European Union. (2018). Directive (EU) 2018/410 of the European Parliament and of the Council of 14 March 2018 amending Directive 2003/87/EC to enhance cost-effective emission reductions and low-carbon investments, and Decision (EU) 2015/1814. Official Journal of the European Union, L 76, 3-27. https://eur-lex.europa.eu/eli/dir/2018/410/oj/eng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&amp; Council of the European Union. (2020). Regulation (EU) 2020/852 of the European Parliament and of the Council of 18 June 2020 on the establishment of a framework to facilitate sustainable investment, and amending Regulation (EU) 2019/2088. Official Journal of the European Union, L 198, 13-43. https://eur-lex.europa.eu/eli/reg/2020/852/oj/eng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&amp; Council of the European Union. (2023a). Regulation (EU) 2023/2405 of the European Parliament and of the Council of 18 October 2023 on ensuring a level playing field for sustainable air transport (ReFuelEU Aviation). Official Journal of the European Union, L, 2023/2405. https://eur-lex.europa.eu/legal-content/EN/TXT/?uri=CELEX%3A32023R2405</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&amp; Council of the European Union. (2023b). Directive (EU) 2023/2413 of the European Parliament and of the Council of 18 October 2023 amending Directive (EU) 2018/2001, Regulation (EU) 2018/1999 and Directive 98/70/EC as regards the promotion of energy from renewable sources, and repealing Council Directive (EU) 2015/652. Official Journal of the European Union, L, 2023/2413. https://eur-lex.europa.eu/eli/dir/2023/2413/oj/eng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&amp; Council of the European Union. (2023c). Directive (EU) 2023/959 of the European Parliament and of the Council of 10 May 2023 amending Directive 2003/87/EC establishing a system for greenhouse gas emission allowance trading within the Union and Decision (EU) 2015/1814 concerning the establishment and operation of a market stability reserve for the Union greenhouse gas emission trading system. Official Journal of the European Union, L 130, 134-202. https://eur-lex.europa.eu/eli/dir/2023/959/oj</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European Parliament and Council of the European Union. (2026). Directive (EU) 2026/470 of the European Parliament and of the Council of 24 February 2026 amending Directives 2006/43/EC, 2013/34/EU, (EU) 2022/2464 and (EU) 2024/1760 as regards certain corporate sustainability reporting requirements and certain corporate sustainability due diligence requirements. EUR-Lex. https://eur-lex.europa.eu/eli/dir/2026/470/oj/eng</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Faccin, K., Beuter, N., Martins, B., &amp; Vasconcellos, S. L. (2025). Promoting sustainable business model innovation: A dynamic capabilities approach. Management Decision. Advance online publication. https://doi.org/10.1108/MD-07-2024-1548</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Fedele, M., &amp; Formisano, V. (2023). Waste from criticality to resource through an innovative circular business model: A case study in the manufacturing industry. Journal of Cleaner Production, 407, 137143. https://doi.org/10.1016/j.jclepro.2023.137143</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Foss, N. J., &amp; Saebi, T. (2017). Fifteen years of research on business model innovation: How far have we come, and where should we go? Journal of Management, 43(1), 200-227. https://doi.org/10.1177/0149206316675927</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Geissdoerfer, M., Morioka, S. N., de Carvalho, M. M., &amp; Evans, S. (2018a). Business models and supply chains for the circular economy. Journal of Cleaner Production, 190, 712-721. https://doi.org/10.1016/j.jclepro.2018.04.159</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Geissdoerfer, M., Pieroni, M. P. P., Pigosso, D. C. A., &amp; Soufani, K. (2020). Circular business models: A review. Journal of Cleaner Production, 277, 123741. https://doi.org/10.1016/j.jclepro.2020.123741</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Geissdoerfer, M., Vladimirova, D., &amp; Evans, S. (2018b). Sustainable business model innovation: A review. Journal of Cleaner Production, 198, 401-416. https://doi.org/10.1016/j.jclepro.2018.06.240</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Gössling, S., &amp; Humpe, A. (2023). Net-zero aviation: Time for a new business model? Journal of Air Transport Management, 107, 102353. https://doi.org/10.1016/j.jairtraman.2022.102353</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Hansen, E. G., &amp; Revellio, F. (2020). Circular value creation architectures: Make, ally, buy, or laissez-faire. Journal of Industrial Ecology, 24(6), 1250-1273. https://doi.org/10.1111/jiec.13016</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Hellstrom, M., Tsvetkova, A., Gustafsson, M., &amp; Wikstrom, K. (2015). Collaboration mechanisms for business models in distributed energy ecosystems. Journal of Cleaner Production, 102, 226-236. https://doi.org/10.1016/j.jclepro.2015.04.128</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Hofmann, F. (2019). Circular business models: Business approach as driver or obstructer of sustainability transitions? Journal of Cleaner Production, 224, 361-374. https://doi.org/10.1016/j.jclepro.2019.03.115</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International Civil Aviation Organization. (2022). Resolution A41-21: Consolidated statement of continuing ICAO policies and practices related to environmental protection - Climate change. ICAO Assembly, 41st Session. https://www.icao.int/sites/default/files/sp-files/environmental-protection/Documents/Assembly/Resolution_A41-21_Climate_change.pdf</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International Civil Aviation Organization. (2025). Resolution A42-22: Consolidated statement of continuing ICAO policies and practices related to environmental protection - Carbon Offsetting and Reduction Scheme for International Aviation (CORSIA). ICAO Assembly, 42nd Session. https://www.icao.int/sites/default/files/environmental-protection/Assembly42/Resolution-A42-22_CORSIA.pdf</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Kaipainen, J., Urbinati, A., Chiaroni, D., &amp; Aarikka-Stenroos, L. (in press). How companies innovate business models and supply chains for a circular economy: A multiple-case study and framework. Tampere University / Politecnico di Milano. https://cris.tuni.fi/ws/portalfiles/portal/74975162/How_companies_innovate_BMs_and_SCs_for_a_CE_003_.pdf</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Kanda, W., Klofsten, M., Bienkowska, D., Henry, M., &amp; Hjelm, O. (2024). Challenges of circular new ventures: An empirical analysis of 70 cases. Journal of Cleaner Production, 442, 141103. https://doi.org/10.1016/j.jclepro.2024.141103</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Kanzari, A., Rasmussen, J., Nehler, H., &amp; Ingelsson, F. (2022). How financial performance is addressed in light of the transition to circular business models: A systematic literature review. Journal of Cleaner Production, 376, 134134. https://doi.org/10.1016/j.jclepro.2022.134134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Karanki, F., &amp; Yu, C. (2026). The asymmetric impact of sustainable aviation fuel adoption on airline industry. Transport Policy, 180, 104059. https://doi.org/10.1016/j.tranpol.2026.104059</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Kharbeet, G., Khodaei, H., Ortt, R., &amp; Scholten, V. (2026). Triggers of sustainable business model innovation in technology-based startups: An empirical investigation. Journal of Innovation &amp; Knowledge, 16, 101021. https://doi.org/10.1016/j.jik.2026.101021</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Konietzko, J., Bocken, N., &amp; Hultink, E. J. (2020). Circular ecosystem innovation: An initial set of principles. Journal of Cleaner Production, 253, 119942. https://doi.org/10.1016/j.jclepro.2019.119942</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Leisen, R., Steffen, B., &amp; Weber, C. (2019). Regulatory risk and the resilience of new sustainable business models in the energy sector. Journal of Cleaner Production, 219, 865-878. https://doi.org/10.1016/j.jclepro.2019.01.330</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Liang, L., Chen, P., &amp; Ma, M. (2026). Dynamic analysis and simulation of the economic viability of sustainable aviation fuel blending in airlines: Emphasizing China’s pilot policy and future development potential. Transport Policy, 177, 103944. https://doi.org/10.1016/j.tranpol.2025.103944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Economische Zaken en Klimaat. (2023). Nationaal plan energiesysteem: Hoofddocument. Rijksoverheid. https://open.overheid.nl/documenten/2f5cbb52-0631-4aad-b3dd-5088fab859c5/file</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Infrastructuur en Milieu &amp; Ministerie van Economische Zaken. (2016). Nederland circulair in 2050: Rijksbreed programma circulaire economie. Rijksoverheid. https://open.overheid.nl/documenten/ronl-a6ce8220-07e8-4b64-9f3d-e69bb4ed2f9c/pdf</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Infrastructuur en Waterstaat. (2019). Landelijk afvalbeheerplan 2017-2029, eerste herziening. https://lap3.nl</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Infrastructuur en Waterstaat. (2025). Circulair Materialenplan. https://circulairmaterialenplan.nl</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Infrastructuur en Waterstaat. (n.d.). Wet milieubeheer. Wetten.overheid.nl. https://wetten.overheid.nl/BWBR0003245</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Infrastructuur en Waterstaat. (2020). Luchtvaartnota 2020-2050: Verantwoord vliegen naar 2050. Ministerie van Infrastructuur en Waterstaat. https://open.overheid.nl/documenten/ronl-c2ae4e29-a960-4c91-99af-7bca52b8c9f9/pdf</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Klimaat en Groene Groei. (n.d.-a). Klimaatwet. Wetten.overheid.nl. https://wetten.overheid.nl/BWBR0042394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Klimaat en Groene Groei. (n.d.-b). Tijdelijke wet Klimaat- en energiefonds. https://wetten.overheid.nl/BWBR0049322/2024-07-01/0</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Klimaat en Groene Groei. (2025). Klimaatplan 2025-2035: Op weg naar een klimaatneutraal Nederland (Publicatienr. 25400800). Rijksoverheid. https://open.overheid.nl/documenten/1cc2dff1-ea3e-499e-b1e3-04bf487b649d/file</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Ministerie van Infrastructuur en Waterstaat. (n.d.). Omgevingswet. Wetten.overheid.nl. https://wetten.overheid.nl/BWBR0037885</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Minoja, M., &amp; Romano, G. (2024). Effective stakeholder governance in circular economy: Insights from Italian companies. Journal of Cleaner Production, 474, 143584. https://doi.org/10.1016/j.jclepro.2024.143584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Mousavi, S., &amp; Bossink, B. A. G. (2017). Firms’ capabilities for sustainable innovation: The case of biofuel for aviation. Journal of Cleaner Production, 167, 1263-1275. https://doi.org/10.1016/j.jclepro.2017.07.146</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Muller, A., &amp; Wittmer, A. (2026). Corporate decisions on sustainable aviation fuel: the cost-sustainability dilemma in business travel. Transportation Research Part A: Policy and Practice, 206, 104898. https://doi.org/10.1016/j.tra.2026.104898</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Nguyen, L. T., &amp; Mori, A. (2026). Business model innovations and sectoral transformation: A bibliometric-systematic literature review of the oil and gas sector. Resources Policy, 116, 105917. https://doi.org/10.1016/j.resourpol.2026.105917</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Overholm, H. (2017). Alliance formation by intermediary ventures in the solar service industry: Implications for product-service systems research. Journal of Cleaner Production, 140, 288-298. https://doi.org/10.1016/j.jclepro.2015.07.061</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Pieroni, M. P. P., McAloone, T. C., &amp; Pigosso, D. C. A. (2019). Business model innovation for circular economy and sustainability: A review of approaches. Journal of Cleaner Production, 215, 198-216. https://doi.org/10.1016/j.jclepro.2019.01.036</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Planko, J., Cramer, J., Hekkert, M. P., &amp; Chappin, M. M. H. (2017). Combining the technological innovation systems framework with the entrepreneurs’ perspective on innovation. Technology Analysis &amp; Strategic Management, 29(6), 614-625. https://doi.org/10.1080/09537325.2016.1220515</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Richter, M. (2013). Business model innovation for sustainable energy: German utilities and renewable energy. Energy Policy, 62, 1226-1237. https://doi.org/10.1016/j.enpol.2013.05.038</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Ritala, P., Albareda, L., &amp; Bocken, N. (2021). Value creation and appropriation in economic, social, and environmental domains: Recognizing and resolving the institutionalized asymmetries. Journal of Cleaner Production, 290, 125796. https://doi.org/10.1016/j.jclepro.2021.125796</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Shakeel, J., Mardani, A., Chofreh, A. G., Goni, F. A., &amp; Klemes, J. J. (2020). Anatomy of sustainable business model innovation. Journal of Cleaner Production, 261, 121201. https://doi.org/10.1016/j.jclepro.2020.121201</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Short, S. W., Bocken, N. M. P., Barlow, C. Y., &amp; Chertow, M. R. (2014). From refining sugar to growing tomatoes: Industrial ecology and business model evolution. Journal of Industrial Ecology, 18(5), 603-618. https://doi.org/10.1111/jiec.12171</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Smith, P. M., Gaffney, M. J., Shi, W., Hoard, S., Ibarrola Armendariz, I., &amp; Mueller, D. W. (2017). Drivers and barriers to the adoption and diffusion of Sustainable Jet Fuel (SJF) in the U.S. Pacific Northwest. Journal of Air Transport Management, 58, 113-124. https://doi.org/10.1016/j.jairtraman.2016.10.004</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Speich, M., &amp; Ulli-Beer, S. (2023). Applying an ecosystem lens to low-carbon energy transitions: A conceptual framework. Journal of Cleaner Production, 398, 136429. https://doi.org/10.1016/j.jclepro.2023.136429</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Teece, D. J. (2010). Business models, business strategy and innovation. Long Range Planning, 43(2-3), 172-194. https://doi.org/10.1016/j.lrp.2009.07.003</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Velter, M. G. E., Bitzer, V., Bocken, N. M. P., &amp; Kemp, R. (2021). Boundary work for collaborative sustainable business model innovation: The journey of a Dutch SME. Journal of Business Models, 9(4), 36-66. https://doi.org/10.5278/jbm.v9i4.6267</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Wadin, J. L., Ahlgren, K., &amp; Bengtsson, L. (2017). Joint business model innovation for sustainable transformation of industries: A large multinational utility in alliance with a small solar energy company. Journal of Cleaner Production, 160, 139-150. https://doi.org/10.1016/j.jclepro.2017.03.151</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Wainstein, M. E., &amp; Bumpus, A. G. (2016). Business models as drivers of the low carbon power system transition: A multi-level perspective. Journal of Cleaner Production, 126, 572-585. https://doi.org/10.1016/j.jclepro.2016.02.095</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Wasserbaur, R., Sakao, T., &amp; Milios, L. (2022). Interactions of governmental policies and business models for a circular economy: A systematic literature review. Journal of Cleaner Production, 337, 130329. https://doi.org/10.1016/j.jclepro.2021.130329</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Yang, M., Vladimirova, D., &amp; Evans, S. (2017). Creating and capturing value through sustainability. Research-Technology Management, 60(3), 30-39. https://doi.org/10.1080/08956308.2017.1301001</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Zhang, X., Antonialli, F., Bonnardel, S. M., &amp; Bareille, O. (2024). Where business model innovation comes from and where it goes: A bibliometric review. Creativity and Innovation Management, 33(2), 109-126. https://doi.org/10.1111/caim.12558</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p>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am Hornschild-Bear" w:id="0" w:date="2026-07-08T10:11:43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 still needs to be</w:t>
      </w:r>
    </w:p>
  </w:comment>
  <w:comment w:author="Liam Hornschild-Bear" w:id="2" w:date="2026-07-08T10:12:21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date?</w:t>
      </w:r>
    </w:p>
  </w:comment>
  <w:comment w:author="Liam Hornschild-Bear" w:id="1" w:date="2026-07-08T10:12:00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down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E" w15:done="0"/>
  <w15:commentEx w15:paraId="0000018F" w15:done="0"/>
  <w15:commentEx w15:paraId="0000019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ur-lex.europa.eu/eli/dir/2008/98/oj/eng" TargetMode="External"/><Relationship Id="rId42" Type="http://schemas.openxmlformats.org/officeDocument/2006/relationships/hyperlink" Target="https://eur-lex.europa.eu/legal-content/EN/TXT/?uri=CELEX%3A32018L0410" TargetMode="External"/><Relationship Id="rId41" Type="http://schemas.openxmlformats.org/officeDocument/2006/relationships/hyperlink" Target="https://eur-lex.europa.eu/eli/reg/2009/1069/oj/eng" TargetMode="External"/><Relationship Id="rId44" Type="http://schemas.openxmlformats.org/officeDocument/2006/relationships/hyperlink" Target="https://eur-lex.europa.eu/eli/reg/2020/852/oj/eng" TargetMode="External"/><Relationship Id="rId43" Type="http://schemas.openxmlformats.org/officeDocument/2006/relationships/hyperlink" Target="https://eur-lex.europa.eu/eli/dir/2018/410/oj/eng" TargetMode="External"/><Relationship Id="rId46" Type="http://schemas.openxmlformats.org/officeDocument/2006/relationships/hyperlink" Target="https://eur-lex.europa.eu/eli/dir/2023/2413/oj/eng" TargetMode="External"/><Relationship Id="rId45" Type="http://schemas.openxmlformats.org/officeDocument/2006/relationships/hyperlink" Target="https://eur-lex.europa.eu/legal-content/EN/TXT/?uri=CELEX%3A32023R2405" TargetMode="External"/><Relationship Id="rId107" Type="http://schemas.openxmlformats.org/officeDocument/2006/relationships/hyperlink" Target="https://doi.org/10.1016/j.jclepro.2018.12.240" TargetMode="External"/><Relationship Id="rId106" Type="http://schemas.openxmlformats.org/officeDocument/2006/relationships/hyperlink" Target="https://doi.org/10.1016/j.jclepro.2015.07.061" TargetMode="External"/><Relationship Id="rId105" Type="http://schemas.openxmlformats.org/officeDocument/2006/relationships/hyperlink" Target="https://doi.org/10.1016/j.jclepro.2016.03.085" TargetMode="External"/><Relationship Id="rId104" Type="http://schemas.openxmlformats.org/officeDocument/2006/relationships/hyperlink" Target="https://doi.org/10.1016/j.resourpol.2026.105917" TargetMode="External"/><Relationship Id="rId109" Type="http://schemas.openxmlformats.org/officeDocument/2006/relationships/hyperlink" Target="https://doi.org/10.1080/09537325.2016.1249838" TargetMode="External"/><Relationship Id="rId108" Type="http://schemas.openxmlformats.org/officeDocument/2006/relationships/hyperlink" Target="https://doi.org/10.1016/j.jclepro.2019.01.036" TargetMode="External"/><Relationship Id="rId48" Type="http://schemas.openxmlformats.org/officeDocument/2006/relationships/hyperlink" Target="https://eur-lex.europa.eu/eli/dir/2023/959/oj" TargetMode="External"/><Relationship Id="rId47" Type="http://schemas.openxmlformats.org/officeDocument/2006/relationships/hyperlink" Target="https://eur-lex.europa.eu/legal-content/EN/TXT/?uri=CELEX%3A32023L0959" TargetMode="External"/><Relationship Id="rId49" Type="http://schemas.openxmlformats.org/officeDocument/2006/relationships/hyperlink" Target="https://eur-lex.europa.eu/eli/dir/2026/470/oj/eng" TargetMode="External"/><Relationship Id="rId103" Type="http://schemas.openxmlformats.org/officeDocument/2006/relationships/hyperlink" Target="https://doi.org/10.1016/j.resourpol.2026.105917" TargetMode="External"/><Relationship Id="rId102" Type="http://schemas.openxmlformats.org/officeDocument/2006/relationships/hyperlink" Target="https://doi.org/10.1016/j.tra.2026.104898" TargetMode="External"/><Relationship Id="rId101" Type="http://schemas.openxmlformats.org/officeDocument/2006/relationships/hyperlink" Target="https://doi.org/10.1016/j.tra.2026.104898" TargetMode="External"/><Relationship Id="rId100" Type="http://schemas.openxmlformats.org/officeDocument/2006/relationships/hyperlink" Target="https://doi.org/10.1016/j.jclepro.2017.07.146" TargetMode="External"/><Relationship Id="rId31" Type="http://schemas.openxmlformats.org/officeDocument/2006/relationships/hyperlink" Target="https://doi.org/10.1016/j.jik.2026.101033" TargetMode="External"/><Relationship Id="rId30" Type="http://schemas.openxmlformats.org/officeDocument/2006/relationships/hyperlink" Target="https://doi.org/10.1016/j.jclepro.2023.139294" TargetMode="External"/><Relationship Id="rId33" Type="http://schemas.openxmlformats.org/officeDocument/2006/relationships/hyperlink" Target="https://eur-lex.europa.eu/legal-content/EN/TXT/?uri=CELEX%3A32018R2066" TargetMode="External"/><Relationship Id="rId32" Type="http://schemas.openxmlformats.org/officeDocument/2006/relationships/hyperlink" Target="https://doi.org/10.1016/j.jik.2026.101033" TargetMode="External"/><Relationship Id="rId35" Type="http://schemas.openxmlformats.org/officeDocument/2006/relationships/hyperlink" Target="https://eur-lex.europa.eu/eli/reg_impl/2022/996/oj/eng" TargetMode="External"/><Relationship Id="rId34" Type="http://schemas.openxmlformats.org/officeDocument/2006/relationships/hyperlink" Target="https://eur-lex.europa.eu/eli/reg_impl/2018/2066/oj/eng" TargetMode="External"/><Relationship Id="rId37" Type="http://schemas.openxmlformats.org/officeDocument/2006/relationships/hyperlink" Target="https://eur-lex.europa.eu/legal-content/EN/TXT/?uri=celex:52025DC0664" TargetMode="External"/><Relationship Id="rId36" Type="http://schemas.openxmlformats.org/officeDocument/2006/relationships/hyperlink" Target="https://eur-lex.europa.eu/legal-content/EN/TXT/?qid=1583933814386&amp;uri=COM:2020:98:FIN" TargetMode="External"/><Relationship Id="rId39" Type="http://schemas.openxmlformats.org/officeDocument/2006/relationships/hyperlink" Target="https://eur-lex.europa.eu/eli/dir/2003/87/oj/eng" TargetMode="External"/><Relationship Id="rId38" Type="http://schemas.openxmlformats.org/officeDocument/2006/relationships/hyperlink" Target="https://eur-lex.europa.eu/legal-content/EN/TXT/?uri=CELEX%3A32003L0087" TargetMode="External"/><Relationship Id="rId20" Type="http://schemas.openxmlformats.org/officeDocument/2006/relationships/hyperlink" Target="https://doi.org/10.1016/j.jclepro.2012.07.007" TargetMode="External"/><Relationship Id="rId22" Type="http://schemas.openxmlformats.org/officeDocument/2006/relationships/hyperlink" Target="https://doi.org/10.1016/j.jclepro.2022.134150" TargetMode="External"/><Relationship Id="rId21" Type="http://schemas.openxmlformats.org/officeDocument/2006/relationships/hyperlink" Target="https://doi.org/10.1016/j.jclepro.2022.134150" TargetMode="External"/><Relationship Id="rId24" Type="http://schemas.openxmlformats.org/officeDocument/2006/relationships/hyperlink" Target="https://doi.org/10.1016/j.enpol.2019.03.050" TargetMode="External"/><Relationship Id="rId23" Type="http://schemas.openxmlformats.org/officeDocument/2006/relationships/hyperlink" Target="https://doi.org/10.1016/j.enpol.2019.03.050" TargetMode="External"/><Relationship Id="rId129" Type="http://schemas.openxmlformats.org/officeDocument/2006/relationships/hyperlink" Target="https://doi.org/10.1016/j.jclepro.2016.02.095" TargetMode="External"/><Relationship Id="rId128" Type="http://schemas.openxmlformats.org/officeDocument/2006/relationships/hyperlink" Target="https://doi.org/10.1016/j.jclepro.2016.03.056" TargetMode="External"/><Relationship Id="rId127" Type="http://schemas.openxmlformats.org/officeDocument/2006/relationships/hyperlink" Target="https://doi.org/10.1016/j.jclepro.2017.03.151" TargetMode="External"/><Relationship Id="rId126" Type="http://schemas.openxmlformats.org/officeDocument/2006/relationships/hyperlink" Target="https://doi.org/10.1016/j.jclepro.2016.10.115" TargetMode="External"/><Relationship Id="rId26" Type="http://schemas.openxmlformats.org/officeDocument/2006/relationships/hyperlink" Target="https://doi.org/10.1016/j.jclepro.2021.125823" TargetMode="External"/><Relationship Id="rId121" Type="http://schemas.openxmlformats.org/officeDocument/2006/relationships/hyperlink" Target="https://doi.org/10.1016/j.jclepro.2023.136429" TargetMode="External"/><Relationship Id="rId25" Type="http://schemas.openxmlformats.org/officeDocument/2006/relationships/hyperlink" Target="https://doi.org/10.1016/j.jclepro.2020.125823" TargetMode="External"/><Relationship Id="rId120" Type="http://schemas.openxmlformats.org/officeDocument/2006/relationships/hyperlink" Target="https://doi.org/10.1016/j.jclepro.2023.136429" TargetMode="External"/><Relationship Id="rId28" Type="http://schemas.openxmlformats.org/officeDocument/2006/relationships/hyperlink" Target="https://doi.org/10.1016/j.jik.2024.100539" TargetMode="External"/><Relationship Id="rId27" Type="http://schemas.openxmlformats.org/officeDocument/2006/relationships/hyperlink" Target="https://doi.org/10.1016/j.jik.2024.100539" TargetMode="External"/><Relationship Id="rId125" Type="http://schemas.openxmlformats.org/officeDocument/2006/relationships/hyperlink" Target="https://doi.org/10.5278/jbm.v9i4.6267" TargetMode="External"/><Relationship Id="rId29" Type="http://schemas.openxmlformats.org/officeDocument/2006/relationships/hyperlink" Target="https://doi.org/10.1016/j.jclepro.2023.139294" TargetMode="External"/><Relationship Id="rId124" Type="http://schemas.openxmlformats.org/officeDocument/2006/relationships/hyperlink" Target="https://doi.org/10.5278/jbm.v9i4.7033" TargetMode="External"/><Relationship Id="rId123" Type="http://schemas.openxmlformats.org/officeDocument/2006/relationships/hyperlink" Target="https://doi.org/10.1016/j.lrp.2009.07.003" TargetMode="External"/><Relationship Id="rId122" Type="http://schemas.openxmlformats.org/officeDocument/2006/relationships/hyperlink" Target="https://doi.org/10.1016/j.lrp.2009.07.003" TargetMode="External"/><Relationship Id="rId95" Type="http://schemas.openxmlformats.org/officeDocument/2006/relationships/hyperlink" Target="https://open.overheid.nl/documenten/1cc2dff1-ea3e-499e-b1e3-04bf487b649d/file" TargetMode="External"/><Relationship Id="rId94" Type="http://schemas.openxmlformats.org/officeDocument/2006/relationships/hyperlink" Target="https://wetten.overheid.nl/BWBR0049322/2024-07-01/0" TargetMode="External"/><Relationship Id="rId97" Type="http://schemas.openxmlformats.org/officeDocument/2006/relationships/hyperlink" Target="https://doi.org/10.1016/j.jclepro.2024.143584" TargetMode="External"/><Relationship Id="rId96" Type="http://schemas.openxmlformats.org/officeDocument/2006/relationships/hyperlink" Target="https://wetten.overheid.nl/BWBR0037885" TargetMode="External"/><Relationship Id="rId11" Type="http://schemas.openxmlformats.org/officeDocument/2006/relationships/hyperlink" Target="https://doi.org/10.1016/j.jclepro.2015.06.108" TargetMode="External"/><Relationship Id="rId99" Type="http://schemas.openxmlformats.org/officeDocument/2006/relationships/hyperlink" Target="https://doi.org/10.1016/j.jclepro.2017.07.146" TargetMode="External"/><Relationship Id="rId10" Type="http://schemas.openxmlformats.org/officeDocument/2006/relationships/hyperlink" Target="https://doi.org/10.1177/0149206316678451" TargetMode="External"/><Relationship Id="rId98" Type="http://schemas.openxmlformats.org/officeDocument/2006/relationships/hyperlink" Target="https://doi.org/10.1016/j.jclepro.2024.143584" TargetMode="External"/><Relationship Id="rId13" Type="http://schemas.openxmlformats.org/officeDocument/2006/relationships/hyperlink" Target="https://doi.org/10.1111/jiec.13124" TargetMode="External"/><Relationship Id="rId12" Type="http://schemas.openxmlformats.org/officeDocument/2006/relationships/hyperlink" Target="https://doi.org/10.1016/j.jclepro.2014.08.042" TargetMode="External"/><Relationship Id="rId91" Type="http://schemas.openxmlformats.org/officeDocument/2006/relationships/hyperlink" Target="https://wetten.overheid.nl/BWBR0003245" TargetMode="External"/><Relationship Id="rId90" Type="http://schemas.openxmlformats.org/officeDocument/2006/relationships/hyperlink" Target="https://circulairmaterialenplan.nl" TargetMode="External"/><Relationship Id="rId93" Type="http://schemas.openxmlformats.org/officeDocument/2006/relationships/hyperlink" Target="https://wetten.overheid.nl/BWBR0042394" TargetMode="External"/><Relationship Id="rId92" Type="http://schemas.openxmlformats.org/officeDocument/2006/relationships/hyperlink" Target="https://open.overheid.nl/documenten/ronl-c2ae4e29-a960-4c91-99af-7bca52b8c9f9/pdf" TargetMode="External"/><Relationship Id="rId118" Type="http://schemas.openxmlformats.org/officeDocument/2006/relationships/hyperlink" Target="https://doi.org/10.1111/jiec.12171" TargetMode="External"/><Relationship Id="rId117" Type="http://schemas.openxmlformats.org/officeDocument/2006/relationships/hyperlink" Target="https://doi.org/10.1111/jiec.12171" TargetMode="External"/><Relationship Id="rId116" Type="http://schemas.openxmlformats.org/officeDocument/2006/relationships/hyperlink" Target="https://doi.org/10.1016/j.jclepro.2020.121201" TargetMode="External"/><Relationship Id="rId115" Type="http://schemas.openxmlformats.org/officeDocument/2006/relationships/hyperlink" Target="https://doi.org/10.1016/j.jclepro.2020.121201" TargetMode="External"/><Relationship Id="rId119" Type="http://schemas.openxmlformats.org/officeDocument/2006/relationships/hyperlink" Target="https://doi.org/10.1016/j.jairtraman.2016.10.010" TargetMode="External"/><Relationship Id="rId15" Type="http://schemas.openxmlformats.org/officeDocument/2006/relationships/hyperlink" Target="https://doi.org/10.1080/01446193.2022.2089073" TargetMode="External"/><Relationship Id="rId110" Type="http://schemas.openxmlformats.org/officeDocument/2006/relationships/hyperlink" Target="https://doi.org/10.1080/09537325.2016.1220515" TargetMode="External"/><Relationship Id="rId14" Type="http://schemas.openxmlformats.org/officeDocument/2006/relationships/hyperlink" Target="https://doi.org/10.1111/jiec.13124" TargetMode="External"/><Relationship Id="rId17" Type="http://schemas.openxmlformats.org/officeDocument/2006/relationships/hyperlink" Target="https://doi.org/10.1016/j.jclepro.2017.12.238" TargetMode="External"/><Relationship Id="rId16" Type="http://schemas.openxmlformats.org/officeDocument/2006/relationships/hyperlink" Target="https://doi.org/10.1080/01446193.2022.2094434" TargetMode="External"/><Relationship Id="rId19" Type="http://schemas.openxmlformats.org/officeDocument/2006/relationships/hyperlink" Target="https://doi.org/10.1016/j.jclepro.2012.07.007" TargetMode="External"/><Relationship Id="rId114" Type="http://schemas.openxmlformats.org/officeDocument/2006/relationships/hyperlink" Target="https://doi.org/10.1016/j.jclepro.2021.125796" TargetMode="External"/><Relationship Id="rId18" Type="http://schemas.openxmlformats.org/officeDocument/2006/relationships/hyperlink" Target="https://doi.org/10.1016/j.jclepro.2017.12.198" TargetMode="External"/><Relationship Id="rId113" Type="http://schemas.openxmlformats.org/officeDocument/2006/relationships/hyperlink" Target="https://doi.org/10.1016/j.jclepro.2021.125796" TargetMode="External"/><Relationship Id="rId112" Type="http://schemas.openxmlformats.org/officeDocument/2006/relationships/hyperlink" Target="https://doi.org/10.1016/j.enpol.2013.05.038" TargetMode="External"/><Relationship Id="rId111" Type="http://schemas.openxmlformats.org/officeDocument/2006/relationships/hyperlink" Target="https://doi.org/10.1016/j.enpol.2013.05.038" TargetMode="External"/><Relationship Id="rId84" Type="http://schemas.openxmlformats.org/officeDocument/2006/relationships/hyperlink" Target="https://doi.org/10.1016/j.jclepro.2019.01.330" TargetMode="External"/><Relationship Id="rId83" Type="http://schemas.openxmlformats.org/officeDocument/2006/relationships/hyperlink" Target="https://doi.org/10.1016/j.jclepro.2019.02.072" TargetMode="External"/><Relationship Id="rId86" Type="http://schemas.openxmlformats.org/officeDocument/2006/relationships/hyperlink" Target="https://doi.org/10.1016/j.tranpol.2025.103944" TargetMode="External"/><Relationship Id="rId85" Type="http://schemas.openxmlformats.org/officeDocument/2006/relationships/hyperlink" Target="https://doi.org/10.1016/j.tranpol.2025.103944" TargetMode="External"/><Relationship Id="rId88" Type="http://schemas.openxmlformats.org/officeDocument/2006/relationships/hyperlink" Target="https://open.overheid.nl/documenten/ronl-a6ce8220-07e8-4b64-9f3d-e69bb4ed2f9c/pdf" TargetMode="External"/><Relationship Id="rId87" Type="http://schemas.openxmlformats.org/officeDocument/2006/relationships/hyperlink" Target="https://open.overheid.nl/documenten/2f5cbb52-0631-4aad-b3dd-5088fab859c5/file" TargetMode="External"/><Relationship Id="rId89" Type="http://schemas.openxmlformats.org/officeDocument/2006/relationships/hyperlink" Target="https://lap3.nl" TargetMode="External"/><Relationship Id="rId80" Type="http://schemas.openxmlformats.org/officeDocument/2006/relationships/hyperlink" Target="https://doi.org/10.1016/j.jik.2026.101021" TargetMode="External"/><Relationship Id="rId82" Type="http://schemas.openxmlformats.org/officeDocument/2006/relationships/hyperlink" Target="https://doi.org/10.1016/j.jclepro.2019.119942" TargetMode="External"/><Relationship Id="rId81" Type="http://schemas.openxmlformats.org/officeDocument/2006/relationships/hyperlink" Target="https://doi.org/10.1016/j.jclepro.2019.11994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i.org/10.1016/j.jclepro.2024.141103" TargetMode="External"/><Relationship Id="rId72" Type="http://schemas.openxmlformats.org/officeDocument/2006/relationships/hyperlink" Target="https://cris.tuni.fi/ws/portalfiles/portal/74975162/How_companies_innovate_BMs_and_SCs_for_a_CE_003_.pdf" TargetMode="External"/><Relationship Id="rId75" Type="http://schemas.openxmlformats.org/officeDocument/2006/relationships/hyperlink" Target="https://doi.org/10.1016/j.jclepro.2022.134134" TargetMode="External"/><Relationship Id="rId74" Type="http://schemas.openxmlformats.org/officeDocument/2006/relationships/hyperlink" Target="https://doi.org/10.1016/j.jclepro.2024.141103" TargetMode="External"/><Relationship Id="rId77" Type="http://schemas.openxmlformats.org/officeDocument/2006/relationships/hyperlink" Target="https://doi.org/10.1016/j.tranpol.2026.104059" TargetMode="External"/><Relationship Id="rId76" Type="http://schemas.openxmlformats.org/officeDocument/2006/relationships/hyperlink" Target="https://doi.org/10.1016/j.jclepro.2022.134134" TargetMode="External"/><Relationship Id="rId79" Type="http://schemas.openxmlformats.org/officeDocument/2006/relationships/hyperlink" Target="https://doi.org/10.1016/j.jik.2026.101021" TargetMode="External"/><Relationship Id="rId78" Type="http://schemas.openxmlformats.org/officeDocument/2006/relationships/hyperlink" Target="https://doi.org/10.1016/j.tranpol.2026.104059" TargetMode="External"/><Relationship Id="rId71" Type="http://schemas.openxmlformats.org/officeDocument/2006/relationships/hyperlink" Target="https://www.icao.int/sites/default/files/environmental-protection/Assembly42/Resolution-A42-22_CORSIA.pdf" TargetMode="External"/><Relationship Id="rId70" Type="http://schemas.openxmlformats.org/officeDocument/2006/relationships/hyperlink" Target="https://www.icao.int/sites/default/files/sp-files/environmental-protection/Documents/Assembly/Resolution_A41-21_Climate_change.pdf" TargetMode="External"/><Relationship Id="rId132" Type="http://schemas.openxmlformats.org/officeDocument/2006/relationships/hyperlink" Target="https://doi.org/10.1080/08956308.2017.1301001" TargetMode="External"/><Relationship Id="rId131" Type="http://schemas.openxmlformats.org/officeDocument/2006/relationships/hyperlink" Target="https://doi.org/10.1080/08956308.2017.1301001" TargetMode="External"/><Relationship Id="rId130" Type="http://schemas.openxmlformats.org/officeDocument/2006/relationships/hyperlink" Target="https://doi.org/10.1016/j.jclepro.2022.130329" TargetMode="External"/><Relationship Id="rId134" Type="http://schemas.openxmlformats.org/officeDocument/2006/relationships/hyperlink" Target="https://doi.org/10.1111/caim.12558" TargetMode="External"/><Relationship Id="rId133" Type="http://schemas.openxmlformats.org/officeDocument/2006/relationships/hyperlink" Target="https://doi.org/10.1111/caim.12558" TargetMode="External"/><Relationship Id="rId62" Type="http://schemas.openxmlformats.org/officeDocument/2006/relationships/hyperlink" Target="https://doi.org/10.1016/j.jairtraman.2022.102353" TargetMode="External"/><Relationship Id="rId61" Type="http://schemas.openxmlformats.org/officeDocument/2006/relationships/hyperlink" Target="https://doi.org/10.1016/j.jclepro.2018.06.240" TargetMode="External"/><Relationship Id="rId64" Type="http://schemas.openxmlformats.org/officeDocument/2006/relationships/hyperlink" Target="https://doi.org/10.1111/jiec.13016" TargetMode="External"/><Relationship Id="rId63" Type="http://schemas.openxmlformats.org/officeDocument/2006/relationships/hyperlink" Target="https://doi.org/10.1016/j.jairtraman.2022.102353" TargetMode="External"/><Relationship Id="rId66" Type="http://schemas.openxmlformats.org/officeDocument/2006/relationships/hyperlink" Target="https://doi.org/10.1016/j.jclepro.2015.04.128" TargetMode="External"/><Relationship Id="rId65" Type="http://schemas.openxmlformats.org/officeDocument/2006/relationships/hyperlink" Target="https://doi.org/10.1111/jiec.13016" TargetMode="External"/><Relationship Id="rId68" Type="http://schemas.openxmlformats.org/officeDocument/2006/relationships/hyperlink" Target="https://doi.org/10.1016/j.jclepro.2019.03.115" TargetMode="External"/><Relationship Id="rId67" Type="http://schemas.openxmlformats.org/officeDocument/2006/relationships/hyperlink" Target="https://doi.org/10.1016/j.jclepro.2015.04.128" TargetMode="External"/><Relationship Id="rId60" Type="http://schemas.openxmlformats.org/officeDocument/2006/relationships/hyperlink" Target="https://doi.org/10.1016/j.jclepro.2018.06.240" TargetMode="External"/><Relationship Id="rId69" Type="http://schemas.openxmlformats.org/officeDocument/2006/relationships/hyperlink" Target="https://doi.org/10.1016/j.jclepro.2019.03.115" TargetMode="External"/><Relationship Id="rId51" Type="http://schemas.openxmlformats.org/officeDocument/2006/relationships/hyperlink" Target="https://doi.org/10.1108/MD-07-2024-1548" TargetMode="External"/><Relationship Id="rId50" Type="http://schemas.openxmlformats.org/officeDocument/2006/relationships/hyperlink" Target="https://doi.org/10.1108/MD-07-2024-1548" TargetMode="External"/><Relationship Id="rId53" Type="http://schemas.openxmlformats.org/officeDocument/2006/relationships/hyperlink" Target="https://doi.org/10.1016/j.jclepro.2023.137143" TargetMode="External"/><Relationship Id="rId52" Type="http://schemas.openxmlformats.org/officeDocument/2006/relationships/hyperlink" Target="https://doi.org/10.1016/j.jclepro.2023.137143" TargetMode="External"/><Relationship Id="rId55" Type="http://schemas.openxmlformats.org/officeDocument/2006/relationships/hyperlink" Target="https://doi.org/10.1177/0149206316675927" TargetMode="External"/><Relationship Id="rId54" Type="http://schemas.openxmlformats.org/officeDocument/2006/relationships/hyperlink" Target="https://doi.org/10.1177/0149206316675927" TargetMode="External"/><Relationship Id="rId57" Type="http://schemas.openxmlformats.org/officeDocument/2006/relationships/hyperlink" Target="https://doi.org/10.1016/j.jclepro.2018.04.159" TargetMode="External"/><Relationship Id="rId56" Type="http://schemas.openxmlformats.org/officeDocument/2006/relationships/hyperlink" Target="https://doi.org/10.1016/j.jclepro.2018.04.159" TargetMode="External"/><Relationship Id="rId59" Type="http://schemas.openxmlformats.org/officeDocument/2006/relationships/hyperlink" Target="https://doi.org/10.1016/j.jclepro.2020.123741" TargetMode="External"/><Relationship Id="rId58" Type="http://schemas.openxmlformats.org/officeDocument/2006/relationships/hyperlink" Target="https://doi.org/10.1016/j.jclepro.2020.1237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UsGUBdjKBU0Inmzij/UXlUIkA==">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