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360" w:lineRule="auto"/>
        <w:jc w:val="center"/>
        <w:rPr>
          <w:rFonts w:ascii="Times New Roman" w:cs="Times New Roman" w:eastAsia="Times New Roman" w:hAnsi="Times New Roman"/>
          <w:sz w:val="24"/>
          <w:szCs w:val="24"/>
        </w:rPr>
      </w:pPr>
      <w:sdt>
        <w:sdtPr>
          <w:id w:val="-895260512"/>
          <w:tag w:val="goog_rdk_0"/>
        </w:sdtPr>
        <w:sdtContent>
          <w:commentRangeStart w:id="0"/>
        </w:sdtContent>
      </w:sdt>
      <w:r w:rsidDel="00000000" w:rsidR="00000000" w:rsidRPr="00000000">
        <w:rPr>
          <w:rFonts w:ascii="Times New Roman" w:cs="Times New Roman" w:eastAsia="Times New Roman" w:hAnsi="Times New Roman"/>
          <w:sz w:val="24"/>
          <w:szCs w:val="24"/>
          <w:rtl w:val="0"/>
        </w:rPr>
        <w:t xml:space="preserve">Business Model Transformation under Regulatory Pressure (Draft Literature Review)): The Case of Waste-to-SAF in Aviation</w:t>
      </w:r>
      <w:commentRangeEnd w:id="0"/>
      <w:r w:rsidDel="00000000" w:rsidR="00000000" w:rsidRPr="00000000">
        <w:commentReference w:id="0"/>
      </w:r>
      <w:sdt>
        <w:sdtPr>
          <w:id w:val="-1819629558"/>
          <w:tag w:val="goog_rdk_1"/>
        </w:sdtPr>
        <w:sdtContent>
          <w:commentRangeStart w:id="1"/>
        </w:sdtContent>
      </w:sdt>
      <w:r w:rsidDel="00000000" w:rsidR="00000000" w:rsidRPr="00000000">
        <w:rPr>
          <w:rtl w:val="0"/>
        </w:rPr>
      </w:r>
    </w:p>
    <w:p w:rsidR="00000000" w:rsidDel="00000000" w:rsidP="00000000" w:rsidRDefault="00000000" w:rsidRPr="00000000" w14:paraId="00000002">
      <w:pPr>
        <w:spacing w:after="240" w:before="240" w:line="360" w:lineRule="auto"/>
        <w:rPr>
          <w:rFonts w:ascii="Times New Roman" w:cs="Times New Roman" w:eastAsia="Times New Roman" w:hAnsi="Times New Roman"/>
          <w:sz w:val="24"/>
          <w:szCs w:val="24"/>
        </w:rPr>
      </w:pP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0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Methodology:</w:t>
      </w:r>
    </w:p>
    <w:p w:rsidR="00000000" w:rsidDel="00000000" w:rsidP="00000000" w:rsidRDefault="00000000" w:rsidRPr="00000000" w14:paraId="0000000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 combines a systematic literature search on business model innovation and sustainable business model theory with a targeted regulatory mapping of the instruments governing waste-to-SAF pathways in the EU and the Netherlands.</w:t>
      </w:r>
    </w:p>
    <w:p w:rsidR="00000000" w:rsidDel="00000000" w:rsidP="00000000" w:rsidRDefault="00000000" w:rsidRPr="00000000" w14:paraId="0000000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Search strategy and databases</w:t>
      </w:r>
    </w:p>
    <w:p w:rsidR="00000000" w:rsidDel="00000000" w:rsidP="00000000" w:rsidRDefault="00000000" w:rsidRPr="00000000" w14:paraId="0000000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independent databases searched, Business Source Premier (EBSCO) and Scopus, covering the period from database inception through May 2026.</w:t>
      </w:r>
    </w:p>
    <w:p w:rsidR="00000000" w:rsidDel="00000000" w:rsidP="00000000" w:rsidRDefault="00000000" w:rsidRPr="00000000" w14:paraId="0000000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 terms structured using a Venn diagram logic with two circles, an initial design that separated a theoretical circle covering business model and sustainable business model literature from a phenomenon circle covering aviation sustainability literature.</w:t>
      </w:r>
    </w:p>
    <w:p w:rsidR="00000000" w:rsidDel="00000000" w:rsidP="00000000" w:rsidRDefault="00000000" w:rsidRPr="00000000" w14:paraId="0000000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phenomenon circle was later removed from the combined query in consultation with a research team member, since it introduced excessive noise from aeronautical engineering literature, and aviation-specific terms instead folded into a dedicated intersection query.</w:t>
      </w:r>
    </w:p>
    <w:p w:rsidR="00000000" w:rsidDel="00000000" w:rsidP="00000000" w:rsidRDefault="00000000" w:rsidRPr="00000000" w14:paraId="0000000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theoretical circle (Circle 1) combined a block of business model innovation and transformation terms with a block of sustainability and circular economy terms, searched across subject headings, titles, abstracts, and author keywords in EBSCO, and across title, abstract, and keyword fields in Scopus.</w:t>
      </w:r>
    </w:p>
    <w:p w:rsidR="00000000" w:rsidDel="00000000" w:rsidP="00000000" w:rsidRDefault="00000000" w:rsidRPr="00000000" w14:paraId="0000000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intersection query (Sustainable Business Models in Aviation) combined four blocks covering business model terminology, fuel and feedsock terminology, aviation terminology, and sustainability and decarbonization terminology.</w:t>
      </w:r>
    </w:p>
    <w:p w:rsidR="00000000" w:rsidDel="00000000" w:rsidP="00000000" w:rsidRDefault="00000000" w:rsidRPr="00000000" w14:paraId="0000000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-Wildcard truncation and proximity operators used to capture term variants, for example word-distance operators of three words to capture phrases such as emissions reduction or carbon minimization.</w:t>
      </w:r>
    </w:p>
    <w:p w:rsidR="00000000" w:rsidDel="00000000" w:rsidP="00000000" w:rsidRDefault="00000000" w:rsidRPr="00000000" w14:paraId="0000000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-Filters applied for English language, peer-reviewed status, and academic journal or article document type.</w:t>
      </w:r>
    </w:p>
    <w:p w:rsidR="00000000" w:rsidDel="00000000" w:rsidP="00000000" w:rsidRDefault="00000000" w:rsidRPr="00000000" w14:paraId="0000000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 counts logged at each stage, with Business Source Premier Circle 1 returning 2,526 records, Business Source Premier Intersection returning 29 records, Scopus Circle 1 returning 2,274 records, and Scopus Intersection returning 341 records.</w:t>
      </w:r>
    </w:p>
    <w:p w:rsidR="00000000" w:rsidDel="00000000" w:rsidP="00000000" w:rsidRDefault="00000000" w:rsidRPr="00000000" w14:paraId="0000000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Deduplication and screening</w:t>
      </w:r>
    </w:p>
    <w:p w:rsidR="00000000" w:rsidDel="00000000" w:rsidP="00000000" w:rsidRDefault="00000000" w:rsidRPr="00000000" w14:paraId="0000000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records exported to Zotero for reference management.</w:t>
      </w:r>
    </w:p>
    <w:p w:rsidR="00000000" w:rsidDel="00000000" w:rsidP="00000000" w:rsidRDefault="00000000" w:rsidRPr="00000000" w14:paraId="0000001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-Manual deduplication in Zotero proved too slow given the volume of records, so an automated deduplication tool (zoplicate) was used instead.</w:t>
      </w:r>
    </w:p>
    <w:p w:rsidR="00000000" w:rsidDel="00000000" w:rsidP="00000000" w:rsidRDefault="00000000" w:rsidRPr="00000000" w14:paraId="0000001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combined pre-deduplication set totaled approximately 5,170 records, reduced to 4,301 records after deduplication.</w:t>
      </w:r>
    </w:p>
    <w:p w:rsidR="00000000" w:rsidDel="00000000" w:rsidP="00000000" w:rsidRDefault="00000000" w:rsidRPr="00000000" w14:paraId="0000001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deduplicated set was uploaded to ASReview for screening, with title coverage at 100 percent, abstract coverage at 99 percent, and DOI or URL coverage at 92.6 percent.</w:t>
      </w:r>
    </w:p>
    <w:p w:rsidR="00000000" w:rsidDel="00000000" w:rsidP="00000000" w:rsidRDefault="00000000" w:rsidRPr="00000000" w14:paraId="0000001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-Records screened and labeled as relevant, not relevant, or left unlabeled.</w:t>
      </w:r>
    </w:p>
    <w:p w:rsidR="00000000" w:rsidDel="00000000" w:rsidP="00000000" w:rsidRDefault="00000000" w:rsidRPr="00000000" w14:paraId="0000001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ABS Academic Journal Guide 2024 rankings then applied, retaining only journals classified in categories 1 and 2, which reduced the set to 224 papers.</w:t>
      </w:r>
    </w:p>
    <w:p w:rsidR="00000000" w:rsidDel="00000000" w:rsidP="00000000" w:rsidRDefault="00000000" w:rsidRPr="00000000" w14:paraId="0000001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quality check was performed on the next 200 records in the ASReview ranking, continuing until 50 consecutive irrelevant records reached, followed by team discussion of borderline inclusions.</w:t>
      </w:r>
    </w:p>
    <w:p w:rsidR="00000000" w:rsidDel="00000000" w:rsidP="00000000" w:rsidRDefault="00000000" w:rsidRPr="00000000" w14:paraId="0000001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Reference checking</w:t>
      </w:r>
    </w:p>
    <w:p w:rsidR="00000000" w:rsidDel="00000000" w:rsidP="00000000" w:rsidRDefault="00000000" w:rsidRPr="00000000" w14:paraId="00000017">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-Backward and forward reference checking was conducted on key included articles, following citation chains to and from foundational sources such as Foss and Saebi (2017) and Pieroni et al. (2019).</w:t>
      </w:r>
    </w:p>
    <w:p w:rsidR="00000000" w:rsidDel="00000000" w:rsidP="00000000" w:rsidRDefault="00000000" w:rsidRPr="00000000" w14:paraId="0000001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step surfaced additional articles not captured by the original search strings, which then screened using the same relevance criteria.</w:t>
      </w:r>
    </w:p>
    <w:p w:rsidR="00000000" w:rsidDel="00000000" w:rsidP="00000000" w:rsidRDefault="00000000" w:rsidRPr="00000000" w14:paraId="0000001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Regulatory and legal instrument mapping</w:t>
      </w:r>
    </w:p>
    <w:p w:rsidR="00000000" w:rsidDel="00000000" w:rsidP="00000000" w:rsidRDefault="00000000" w:rsidRPr="00000000" w14:paraId="0000001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case study sits at the intersection of business model theory and a dense regulatory environment, a separate mapping exercise was conducted for the legal and policy instruments governing SAF and waste valorization.</w:t>
      </w:r>
    </w:p>
    <w:p w:rsidR="00000000" w:rsidDel="00000000" w:rsidP="00000000" w:rsidRDefault="00000000" w:rsidRPr="00000000" w14:paraId="0000001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mapping followed a trickle-down approach, starting from the ReFuelEU Aviation Regulation as the anchor instrument.</w:t>
      </w:r>
    </w:p>
    <w:p w:rsidR="00000000" w:rsidDel="00000000" w:rsidP="00000000" w:rsidRDefault="00000000" w:rsidRPr="00000000" w14:paraId="0000001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operative article of ReFuelEU was read in full on EUR-Lex, the official EU law portal, and cross-references within the text followed outward to related instruments.</w:t>
      </w:r>
    </w:p>
    <w:p w:rsidR="00000000" w:rsidDel="00000000" w:rsidP="00000000" w:rsidRDefault="00000000" w:rsidRPr="00000000" w14:paraId="0000001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process led from ReFuelEU to RED III for feedstock eligibility, to the EU ETS Directive and its Monitoring and Reporting Regulation for carbon accounting, to the Waste Framework Directive for waste classification, and to the EU Taxonomy Regulation for sustainable finance criteria.</w:t>
      </w:r>
    </w:p>
    <w:p w:rsidR="00000000" w:rsidDel="00000000" w:rsidP="00000000" w:rsidRDefault="00000000" w:rsidRPr="00000000" w14:paraId="0000001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-Implementing and delegated acts referenced within these primary instruments, such as Commission Implementing Regulation (EU) 2022/996 on sustainability verification, retrieved and reviewed in the same way.</w:t>
      </w:r>
    </w:p>
    <w:p w:rsidR="00000000" w:rsidDel="00000000" w:rsidP="00000000" w:rsidRDefault="00000000" w:rsidRPr="00000000" w14:paraId="0000002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same trickle-down logic was aplled at the Dutch level, starting from national instruments that transpose or sit alongside the EU rules.</w:t>
      </w:r>
    </w:p>
    <w:p w:rsidR="00000000" w:rsidDel="00000000" w:rsidP="00000000" w:rsidRDefault="00000000" w:rsidRPr="00000000" w14:paraId="0000002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-Dutch primary legislation and policy documents retrieved from wetten.overheid.nl for statutory texts such as the Klimaatwet and the Omgevingswet, and from open.overheid.nl and relevant ministry websites for policy documents such as the Luchtvaartnota, the Klimaatplan, the Nationaal Plan Energiesysteem, and the Circulair Materialenplan.</w:t>
      </w:r>
    </w:p>
    <w:p w:rsidR="00000000" w:rsidDel="00000000" w:rsidP="00000000" w:rsidRDefault="00000000" w:rsidRPr="00000000" w14:paraId="0000002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a Dutch instrument referenced an EU directive or regulation, or vice versa, that link was followed to confirm how the national instrument transposes or operationalizes the EU-level rule.</w:t>
      </w:r>
    </w:p>
    <w:p w:rsidR="00000000" w:rsidDel="00000000" w:rsidP="00000000" w:rsidRDefault="00000000" w:rsidRPr="00000000" w14:paraId="0000002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citation-following approach was chosen over a keyword search of legal databases because the regulatory architecture is deeply cross-referential, and a keyword search risked missing implementing detail held in cross-referenced articles rather than in the primary instrument itself.</w:t>
      </w:r>
    </w:p>
    <w:p w:rsidR="00000000" w:rsidDel="00000000" w:rsidP="00000000" w:rsidRDefault="00000000" w:rsidRPr="00000000" w14:paraId="00000024">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Introduction</w:t>
      </w:r>
      <w:r w:rsidDel="00000000" w:rsidR="00000000" w:rsidRPr="00000000">
        <w:rPr>
          <w:rtl w:val="0"/>
        </w:rPr>
      </w:r>
    </w:p>
    <w:p w:rsidR="00000000" w:rsidDel="00000000" w:rsidP="00000000" w:rsidRDefault="00000000" w:rsidRPr="00000000" w14:paraId="00000026">
      <w:pPr>
        <w:spacing w:after="240" w:before="240" w:line="360" w:lineRule="auto"/>
        <w:rPr>
          <w:rFonts w:ascii="Times New Roman" w:cs="Times New Roman" w:eastAsia="Times New Roman" w:hAnsi="Times New Roman"/>
          <w:sz w:val="24"/>
          <w:szCs w:val="24"/>
        </w:rPr>
      </w:pPr>
      <w:sdt>
        <w:sdtPr>
          <w:id w:val="-109638451"/>
          <w:tag w:val="goog_rdk_2"/>
        </w:sdtPr>
        <w:sdtContent>
          <w:commentRangeStart w:id="2"/>
        </w:sdtContent>
      </w:sdt>
      <w:r w:rsidDel="00000000" w:rsidR="00000000" w:rsidRPr="00000000">
        <w:rPr>
          <w:rFonts w:ascii="Times New Roman" w:cs="Times New Roman" w:eastAsia="Times New Roman" w:hAnsi="Times New Roman"/>
          <w:sz w:val="24"/>
          <w:szCs w:val="24"/>
          <w:rtl w:val="0"/>
        </w:rPr>
        <w:t xml:space="preserve">Unlike</w:t>
      </w:r>
      <w:commentRangeEnd w:id="2"/>
      <w:r w:rsidDel="00000000" w:rsidR="00000000" w:rsidRPr="00000000">
        <w:commentReference w:id="2"/>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most</w:t>
      </w:r>
      <w:r w:rsidDel="00000000" w:rsidR="00000000" w:rsidRPr="00000000">
        <w:rPr>
          <w:rFonts w:ascii="Times New Roman" w:cs="Times New Roman" w:eastAsia="Times New Roman" w:hAnsi="Times New Roman"/>
          <w:sz w:val="24"/>
          <w:szCs w:val="24"/>
          <w:rtl w:val="0"/>
        </w:rPr>
        <w:t xml:space="preserve"> industrial sectors, commercial aviation has relied on a single primary energy source since its birth. Conventional jet fuel is heavily relied on as it is embedded across aircraft design, certification infrastructure, fueling logistics, and contractual arrangements. This has left the industry dependent, but also accelerating regulatory disruption. This paper takes a business model lens, examining how value is created, delivered, and captured across the actors that make up the aviation fuel ecosystem, to understand how this policy-driven disruption can be converted into a viable, commercial pathway. Bidmon and Knab (2018) would term this intersection an industry recipe, which is the collectively stabilized logic of how value is created and captured in a self-reinforcing manner across all regime actors simultaneously. This reinforcing cycle is now however under direct legal challenge by the ReFuelEU Aviation Regulation (European Parliament &amp; Council of the European Union, 2023a) with its imposition of a binding minimum share of sustainable aviation fuel (SAF) at EU airports, escalating from 2% in 2025 to 70% by 2050 (Annex I). Article 4(6) permits aviation fuel suppliers to show compliance using a mass balance system under RED III, so SAF doesn't need to be physically traceable to a specific tank, which allows the book-and-claim system as well as pipeline-blending arrangements. Article 12 sets non-compliance fines at twice the price differential between SAF and conventional fuel per non compliant ton, setting the cost floor that shapes the maximum price paid for SAF and setting a revenue ceiling for SAF producers. Article 9 prohibits double claiming the same batch of SAF under the EU ETS and CORSIA. The EU Emissions Trading System (ETS; European Parliament &amp; Council of the European Union, 2003) will no longer have free allowances for airlines from 2026, leaving operators with the full carbon cost of fossil kerosene. Concurrently, the Renewable Energy Directive (RED III; European Parliament &amp; Council of the European Union, 2023b) determines which feedstocks and production methods qualify as advanced biofuels and are eligible for double-counting incentives, which are important in making waste-based SAF economically viable. The operative provision is Article 29(1), subparagraph two, which exempts biofuels made from waste and residues from the land use, biodiversity, and peatland sustainability criteria that apply to crop based fuels. They only have to meet the greenhouse gas savings threshold. </w:t>
      </w:r>
    </w:p>
    <w:p w:rsidR="00000000" w:rsidDel="00000000" w:rsidP="00000000" w:rsidRDefault="00000000" w:rsidRPr="00000000" w14:paraId="0000002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Applied to the ENLENS case, these instruments take on specific meaning. </w:t>
      </w:r>
      <w:r w:rsidDel="00000000" w:rsidR="00000000" w:rsidRPr="00000000">
        <w:rPr>
          <w:rFonts w:ascii="Times New Roman" w:cs="Times New Roman" w:eastAsia="Times New Roman" w:hAnsi="Times New Roman"/>
          <w:sz w:val="24"/>
          <w:szCs w:val="24"/>
          <w:shd w:fill="f4cccc" w:val="clear"/>
          <w:rtl w:val="0"/>
        </w:rPr>
        <w:t xml:space="preserve">Article 4(6)’s mass balance allowance means HTL-derived SAF doesn't need to be physically traceable to a specific tank, which allows the book-and-claim system, as well as pipeline-blending arrangements that permit the Rotterdam-SARA pathway.</w:t>
      </w:r>
      <w:r w:rsidDel="00000000" w:rsidR="00000000" w:rsidRPr="00000000">
        <w:rPr>
          <w:rFonts w:ascii="Times New Roman" w:cs="Times New Roman" w:eastAsia="Times New Roman" w:hAnsi="Times New Roman"/>
          <w:sz w:val="24"/>
          <w:szCs w:val="24"/>
          <w:rtl w:val="0"/>
        </w:rPr>
        <w:t xml:space="preserve"> For Schiphol’s many international flights, Article 9’s prohibition on double claiming decides which carbon scheme, the EU ETS or CORSIA, generates more value for a given SAF batch and how offtake agreements must be structured to specify which scheme applies. For HTL from airport waste, the Article 29(1) waste and residue exemption means the expensive audit burden of agricultural feedstock pathways doesn't apply, reducing compliance costs. </w:t>
      </w:r>
    </w:p>
    <w:p w:rsidR="00000000" w:rsidDel="00000000" w:rsidP="00000000" w:rsidRDefault="00000000" w:rsidRPr="00000000" w14:paraId="0000002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challenge that emerges, in other words, is that policy-driven demand doesn’t automatically create supply, and supply alone doesn’t constitute a business model. Modeling SAF pathways to net-zero, Gössling and Humpe (2023) find that even the most optimistic cost trajectory would require a large increase in ticket  prices or growth constraints to achieve net-zero goals in the current aviation business model, given that it is one that requires volume growth and is of low margin, which conflicts with the economics of any SAF pathway. Liang et al. (2026), modelling China’s SAF pilot policy via system dynamics, find that blending mandates without a proper subsidy system make airlines economic performance non-viable and finding that such subsidies would need to cover at least 70% of SAF cost differential to restore profitability under a 5% blending scenario. In the EU, the concept of a subsidy threshold acts quite differently. Where Liang et al. count it as a direct percentage of SAF cost covered, the EU instruments (CfDs, ETS zero-rating, SDE++) distribute across multiple actors at different points in the value chain so no single threshold figure can capture the equivalent policy burden. Using US panel data and a translog cost function, Karanki and Yu (2026) find that SAF adoption impacts are uneven across airline business models. Low-cost carriers face revenue losses twice that of full-service carriers under the same blending scenarios (approx 33% vs 15% under a 20% SAF blend), which creates a further challenge for uniformity in policy.  </w:t>
      </w:r>
    </w:p>
    <w:p w:rsidR="00000000" w:rsidDel="00000000" w:rsidP="00000000" w:rsidRDefault="00000000" w:rsidRPr="00000000" w14:paraId="00000029">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Hydrothermal Liquefaction (HTL) pathway from mixed airport waste is the circular innovation pathway discussed in this paper and being explored in collaboration with Schiphol Airport in this ENLENS project. The specific stream considered stems from organic waste streams, specifically sewage sludge and organic municipal solid waste, which can be converted into a biocrude intermediate that can then be valorized into jet-range molecules. Both would qualify under Annex IX Part A of Red III, and thus HTL-derived SAF would incur double-counting under the renewable energy framework and meet the 70% greenhouse gas savings threshold required for RefuelEU compliance. The UvA-Schiphol pilot has proven the technical feasibility, however implementation at commercial scale has not yet occurred, and a move from the pilot to a commercial operation would depend not only on successful scaling but also on the design of a viable multi-actor business model. In other words, the question isn’t whether HTL from waste can produce jet-grade fuel, but rather how this policy-driven innovation can become a viable, sustainable business model within this ecosystem's business recipe.</w:t>
      </w:r>
    </w:p>
    <w:p w:rsidR="00000000" w:rsidDel="00000000" w:rsidP="00000000" w:rsidRDefault="00000000" w:rsidRPr="00000000" w14:paraId="0000002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approach to business model innovation draws on Boons and Ludeke-Freund (2013), who covered business models for sustainability and found that commercialization mechanisms are systematically neglected within sustainable innovation research. Furthermore, Foss and Saebi (2017), who also systematically cover business model innovation literature, find that architectural change across interdependent model components is the defining characteristic of genuinely transformative innovation. Given the many independent actors without a common ownership structure or governance, the waste-to-SAF approach cannot change in isolation and must instead be reconfigured simultaneously across value proposition, value creation, delivery system, and value capture mechanisms.</w:t>
      </w:r>
    </w:p>
    <w:p w:rsidR="00000000" w:rsidDel="00000000" w:rsidP="00000000" w:rsidRDefault="00000000" w:rsidRPr="00000000" w14:paraId="0000002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Business Model Innovation and the Sustainable Business Model: Definitional Foundations</w:t>
      </w:r>
    </w:p>
    <w:p w:rsidR="00000000" w:rsidDel="00000000" w:rsidP="00000000" w:rsidRDefault="00000000" w:rsidRPr="00000000" w14:paraId="0000002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The Business Model as Unit of Analysis</w:t>
      </w:r>
    </w:p>
    <w:p w:rsidR="00000000" w:rsidDel="00000000" w:rsidP="00000000" w:rsidRDefault="00000000" w:rsidRPr="00000000" w14:paraId="0000002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Approaching business model transformation analysis should start with definitional clarity, as Geissdoerfer et al. (2018b) found in their systematic literature review that the field of business model innovation is somewhat ambiguous, limiting the accumulation of theory. Across business and the reviewed literature, a business model is largely understood as the architecture of value creation, delivery, and capture mechanisms: how something of value is produced, how that value is delivered to customers, and how the enterprise entices customers to pay and converts those payments to profit Teece (2010). Richter (2013), using this concept for the energy sector, uses </w:t>
      </w:r>
      <w:r w:rsidDel="00000000" w:rsidR="00000000" w:rsidRPr="00000000">
        <w:rPr>
          <w:rFonts w:ascii="Times New Roman" w:cs="Times New Roman" w:eastAsia="Times New Roman" w:hAnsi="Times New Roman"/>
          <w:sz w:val="24"/>
          <w:szCs w:val="24"/>
          <w:shd w:fill="f4cccc" w:val="clear"/>
          <w:rtl w:val="0"/>
        </w:rPr>
        <w:t xml:space="preserve">Osterwalder and Pigneur's (2009)</w:t>
      </w:r>
      <w:r w:rsidDel="00000000" w:rsidR="00000000" w:rsidRPr="00000000">
        <w:rPr>
          <w:rFonts w:ascii="Times New Roman" w:cs="Times New Roman" w:eastAsia="Times New Roman" w:hAnsi="Times New Roman"/>
          <w:sz w:val="24"/>
          <w:szCs w:val="24"/>
          <w:rtl w:val="0"/>
        </w:rPr>
        <w:t xml:space="preserve"> four-pillar canvas, using business models as a tool for analyzing incumbent strategies instead of designing new ones. This matters when applying the concept across regulated sectors. Richter (2013) found an example through the German utilities sector, in which incumbents did develop business models for large-scale renewable generation that worked with their existing logic. The distributed, customer side generation did not succeed when they couldn't develop viable models, which indicates circular business model innovation might be the fit within existing industry recipes, over, perhaps, technological readiness. The innovation thereof is defined as designed, novel, nontrivial changes to the key elements of a firm’s business model and/or the architecture linking them, as defined by Foss and Saebi (2017). </w:t>
      </w:r>
      <w:r w:rsidDel="00000000" w:rsidR="00000000" w:rsidRPr="00000000">
        <w:rPr>
          <w:rFonts w:ascii="Times New Roman" w:cs="Times New Roman" w:eastAsia="Times New Roman" w:hAnsi="Times New Roman"/>
          <w:sz w:val="24"/>
          <w:szCs w:val="24"/>
          <w:shd w:fill="fff2cc" w:val="clear"/>
          <w:rtl w:val="0"/>
        </w:rPr>
        <w:t xml:space="preserve">This distinguishes the difference between changes impacting individual components (like adding a SAF procurement line to an existing fuel purchasing business model) from architecture changes impacting multiple interdependencies (like redesigning  waste management operation of an airport as a circular feedstock supply chain that generates both disposal cost savings and SAF compliance value at the same time).</w:t>
      </w:r>
      <w:r w:rsidDel="00000000" w:rsidR="00000000" w:rsidRPr="00000000">
        <w:rPr>
          <w:rFonts w:ascii="Times New Roman" w:cs="Times New Roman" w:eastAsia="Times New Roman" w:hAnsi="Times New Roman"/>
          <w:sz w:val="24"/>
          <w:szCs w:val="24"/>
          <w:rtl w:val="0"/>
        </w:rPr>
        <w:t xml:space="preserve"> In this Foss and Saebi (2017) definition, the waste-to-SAF change would be an architectural one, which the literature reviewed in the following sections finds to be more difficult than modular changes.</w:t>
      </w:r>
    </w:p>
    <w:p w:rsidR="00000000" w:rsidDel="00000000" w:rsidP="00000000" w:rsidRDefault="00000000" w:rsidRPr="00000000" w14:paraId="0000002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Moving on to a sustainability context, it only becomes more difficult. Boons and Ludeke-Freund (2013) find that many sustainable innovation studies have treated firms as black boxes, disregarding how these new technologies actually reach the market, how value chains are governed, and how financial benefits are distributed. To support sustainable innovation, according to them, the value proposition must deliver measurable ecological or social value with economic value, the supply chain must make sure upstream suppliers share accountability, the customer interface must motivate not displace responsibility, and the financial model must reflect appropriate distribution of costs and benefits across all actors. These are presented as normative design criteria, not descriptive, which separates them from frameworks like Geissdoerfer et al. (2018a) which describe what they do not what they should do. These additions are relevant to the waste-to-SAF challenge as neither the feedstock supply from Schiphol’s waste streams nor the financial returns from SAF compliance is governed by a single firm. The value proposition for circular aviation fuel is insufficient without coherent, in-place technology financing, fuel production, blending, and certification infrastructure. This is challenging given the degree of separation between them, and thus must be aligned in some means for success rather than assumed away.</w:t>
      </w:r>
    </w:p>
    <w:p w:rsidR="00000000" w:rsidDel="00000000" w:rsidP="00000000" w:rsidRDefault="00000000" w:rsidRPr="00000000" w14:paraId="0000003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Zhang et al. (2024), through a bibliometric review of 1,032 BMI publications between 2000 and 2021, mapped the growth of the sustainable/circular BMI field and found a lack of ecosystem-level analysis, especially for the field’s needs in practice. </w:t>
      </w:r>
      <w:r w:rsidDel="00000000" w:rsidR="00000000" w:rsidRPr="00000000">
        <w:rPr>
          <w:rFonts w:ascii="Times New Roman" w:cs="Times New Roman" w:eastAsia="Times New Roman" w:hAnsi="Times New Roman"/>
          <w:sz w:val="24"/>
          <w:szCs w:val="24"/>
          <w:shd w:fill="f4cccc" w:val="clear"/>
          <w:rtl w:val="0"/>
        </w:rPr>
        <w:t xml:space="preserve">This move towards an ecosystem-level performance assessment is incredibly relevant to ENLENS, given the value distributed across waste generators, tech operators, certification bodies, and fuel consumers via waste-to-SAF pathways, which cannot be evaluated at the single-firm level.</w:t>
      </w:r>
      <w:r w:rsidDel="00000000" w:rsidR="00000000" w:rsidRPr="00000000">
        <w:rPr>
          <w:rFonts w:ascii="Times New Roman" w:cs="Times New Roman" w:eastAsia="Times New Roman" w:hAnsi="Times New Roman"/>
          <w:sz w:val="24"/>
          <w:szCs w:val="24"/>
          <w:rtl w:val="0"/>
        </w:rPr>
        <w:t xml:space="preserve"> In Shakeel et al. (2020), BMI is seen as bringing novelty to each BM component, SBM embeds sustainability into those components, and SBMI needs both at the same time, not one after the other. As a result, there is a sustainable value proposition, value creation and delivery, and value capture component, that is different from the SBM components due to the requirement that sustainability and innovation are co-present not additive. The concept of sustainable innovation involving coordinated change across the entire business model is common throughout the literature.</w:t>
      </w:r>
    </w:p>
    <w:p w:rsidR="00000000" w:rsidDel="00000000" w:rsidP="00000000" w:rsidRDefault="00000000" w:rsidRPr="00000000" w14:paraId="0000003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From Sustainable to Circular: A Necessary Distinction</w:t>
      </w:r>
    </w:p>
    <w:p w:rsidR="00000000" w:rsidDel="00000000" w:rsidP="00000000" w:rsidRDefault="00000000" w:rsidRPr="00000000" w14:paraId="0000003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relationship between sustainable and circular business models comes with an important caveat. Circular business models are considered a subcategory of sustainable business models by Geissdoerfer et al. (2020), as they specifically focus on cycling, extending, intensifying, or dematerializing material and energy loops. Each of these changes the value proposition, value creation and delivery, and value capture differently. Whether CBMs are a subcategory of SBMs is contested in this literature. Sometimes sustainability is seen as an essential part of circularity, sometimes circularity is defined just in terms of closing resource loops. Geissdoerfer et al. (2020) note this and that only some CBM conceptualizations incorporate sustainability aspects. A circular model is necessary, but not enough by itself for sustainability. In other words, lowering waste and resource use is vital, but doesn’t on its own create social benefits, fair outcomes, or lower overall consumption. Relevant to this, Hofmann (2019) finds that most circular business model research adopts ecological modernist logic, focusing on decoupling economic growth from resource consumption, although not questioning growth itself, and paying less attention to rebound effects and social equity. This means that for HTL-from-waste, SAF from airport waste closes a loop and reduces lifecycle emissions relative to fossil kerosene, provided the business model enables additional aviation growth, which may increase absolute emissions. Thus, whether waste-to-SAF is a truly sustainable business model comes down not only to the circular logic of the conversion pathway but also to the governance framework that determines whether it enables or constrains aviation sector emissions in absolute terms.</w:t>
      </w:r>
    </w:p>
    <w:p w:rsidR="00000000" w:rsidDel="00000000" w:rsidP="00000000" w:rsidRDefault="00000000" w:rsidRPr="00000000" w14:paraId="0000003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difference between circular economy and sustainability also exists throughout the literature. Pieroni et al. (2019) find that circular economy- and sustainability-oriented business model innovation have largely developed along separate paths, based on a systematic review of 92 approaches to BMI for circular economy and sustainability. They find CE-oriented approaches have resource efficiency, resource longevity, and economic growth as their core value drivers, leaving social relevance as a secondary effect.  Social impact, meaningful work, ethical sourcing, and long-term business viability are just as important as profit to sustainability-oriented approaches. For HTL from airport waste, the conversion is CE-oriented as it closes a material loop, but whether it is genuinely sustainable turns on governance choices about whether the end product enables or constrains total fuel emissions. This was also asked by Hofmann (2019) about rebound effects. Both streams are mainly focused on sensing and seizing. Only 20% of approaches address implementation and organizational change. For waste-to-fuel, the design–implementation gap is a symptom of missing institutional, supply-chain, and financial conditions rather than business model design by itself. Thus, the design-implementation gap identified by Geissdoerfer et al. (2018b) isn’t just a firm-level management problem. For waste-to-fuel, this shows the absence of the institutional, supply chain, and financial conditions that a circular business model would need in practice.</w:t>
      </w:r>
    </w:p>
    <w:p w:rsidR="00000000" w:rsidDel="00000000" w:rsidP="00000000" w:rsidRDefault="00000000" w:rsidRPr="00000000" w14:paraId="0000003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 Business Model Innovation Types and the Scale of Required Change</w:t>
      </w:r>
    </w:p>
    <w:p w:rsidR="00000000" w:rsidDel="00000000" w:rsidP="00000000" w:rsidRDefault="00000000" w:rsidRPr="00000000" w14:paraId="0000003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Bidmon and Knab (2018) attempt to combine business model innovation together with sustainability transitions theory. They propose that business models in such societal transitions play the role of barriers (by locking in the current system via cognitive lock-in and structural path dependencies that blind managers to new value creation opportunities), as facilitators (by helping new technologies scale up to become business opportunities), and as independent niche innovations (by challenging the old system with new ways of doing business, even without major technological breakthroughs). This paper's waste-to-SAF pathway approach is most like the second role, as the technology is a niche innovation, and the business model must be designed to turn it into a commercially viable operation. For ENLENS, this means primarily a study of the business model conditions that enable a pre-commercial technology to become commercial within the regulatory window, spurred by escalating SAF mandates.​</w:t>
      </w:r>
    </w:p>
    <w:p w:rsidR="00000000" w:rsidDel="00000000" w:rsidP="00000000" w:rsidRDefault="00000000" w:rsidRPr="00000000" w14:paraId="0000003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 bibliometric-systematic review of the oil and gas sector under pressure, Nguyen and Mori (2026) identified three main paths: double down on existing sectors, branch out into new sectors and maintain the existing ones, or go all-in on the sustainable alternative. The latter, more transformative ones, aren’t common and are enabled primarily by specific conditions such as small scale, government ownership, a declining mature asset base, and first-mover advantages, making this of interest to the aviation sector’s aspirations. Most airlines and airports will continue down the second path, though, adding SAF procurement to existing conventional fuel contracts at the minimum blending ratios. The waste-to-SAF circular business model at Schiphol, however, requires at least some actors to cover the costs of the radical transformation. Nguyen and Mori (2026) also find a rational disconnect between public sustainability commitments and actual investment behavior parted by conflicting policy signals. Nguyen and Mori (2026) find the hypocrisy disconnect between firm's sustainability commitments and their actual investment patterns, largely because market incentives and government policies often wander in different directions. This works well with Bidmon and Knab's (2018) cognitive lock-in concept but with strategic rational adaptation to contradictory identified as the barrier, not incumbent blindness, which means there might be several remedies.  Bidmon and Knab focus on changing how firms think, whereas Nguyen and Mori see consistent government policy as necessary to make sustainable business model innovation commercially attractive and rational enough to remedy the strategic hypocrisy. </w:t>
      </w:r>
    </w:p>
    <w:p w:rsidR="00000000" w:rsidDel="00000000" w:rsidP="00000000" w:rsidRDefault="00000000" w:rsidRPr="00000000" w14:paraId="0000003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Review Approach and Structure</w:t>
      </w:r>
    </w:p>
    <w:p w:rsidR="00000000" w:rsidDel="00000000" w:rsidP="00000000" w:rsidRDefault="00000000" w:rsidRPr="00000000" w14:paraId="0000003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literature review will proceed thematically by covering five interconnected bodies of knowledge. The first will cover the conceptual foundations of business model innovation and sustainable business model theory, to place the problems faced in waste-to-SAF in the existing landscape. The following section will then cover how regulatory pressure translates into business model change, both in the greater energy transition and also aviation-specific literature on SAF economics and adoption. The section thereafter covers business model design and the challenge of waste valorization as a value-creation logic, drawing on the industrial ecology and circular economy literature. The next section covers ecosystem dynamics, coalition formation, and governance mechanisms that make multi-actor circular value chains viable, with a focus on co-evolution between value and supply chains. The following section covers financial viability, risk allocations, and design implementation gaps. The final section then covers the gaps and contributions of the existing literature and the framework that can be derived thereof.</w:t>
      </w:r>
    </w:p>
    <w:p w:rsidR="00000000" w:rsidDel="00000000" w:rsidP="00000000" w:rsidRDefault="00000000" w:rsidRPr="00000000" w14:paraId="0000003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Regulatory Pressure and Business Model Transformation in Regulated Sectors</w:t>
      </w:r>
    </w:p>
    <w:p w:rsidR="00000000" w:rsidDel="00000000" w:rsidP="00000000" w:rsidRDefault="00000000" w:rsidRPr="00000000" w14:paraId="0000003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 Policy as Business Model Shaper: A Discussion of Co-evolutionary Dynamics</w:t>
      </w:r>
    </w:p>
    <w:p w:rsidR="00000000" w:rsidDel="00000000" w:rsidP="00000000" w:rsidRDefault="00000000" w:rsidRPr="00000000" w14:paraId="0000003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turning to the Dutch and Schiphol-specific case, it is worth first laying out the macro-level SAF policy discussion at the EU level, since this is what the Dutch instruments discussed later sit on top of. The relationship of governmental policy and the business model isn't simply push and pull; rather, it is described in the literature as one of co-evolution. A review of 45 articles on governmental policy and business model interactions, with a focus on circular economy, by Wasserbaur et al. (2022) finds that regulatory and legislative instruments primarily impact model value propositions, cost structures, and revenue models, and that business models are able to adapt to, exploit, and reshape those instruments in return. Their policy-BMI interaction matrix is directly applicable to ENLENS: the ReFuelEU penalty floor shapes how SAF suppliers make their value proposition, the EU ETS zero-rating for SAF changes cost structures for airlines (European Commission, 2018, Art. 38(2)), and the SDL program and SDE++ feed-in premium affect revenue models for conversion technology operators. The SDL program is financed through the Tijdelijke wet Klimaat- en energiefonds, the €35 billion Klimaatfonds, whose Article 2(2)(b) covers greenhouse gas reduction pursuits which the SAF pathway is a part of and can draw from the fund und</w:t>
      </w:r>
    </w:p>
    <w:p w:rsidR="00000000" w:rsidDel="00000000" w:rsidP="00000000" w:rsidRDefault="00000000" w:rsidRPr="00000000" w14:paraId="0000003C">
      <w:pPr>
        <w:spacing w:after="240" w:before="240" w:line="360" w:lineRule="auto"/>
        <w:rPr>
          <w:rFonts w:ascii="Times New Roman" w:cs="Times New Roman" w:eastAsia="Times New Roman" w:hAnsi="Times New Roman"/>
          <w:sz w:val="24"/>
          <w:szCs w:val="24"/>
          <w:shd w:fill="f4cccc" w:val="clear"/>
        </w:rPr>
      </w:pPr>
      <w:r w:rsidDel="00000000" w:rsidR="00000000" w:rsidRPr="00000000">
        <w:rPr>
          <w:rFonts w:ascii="Times New Roman" w:cs="Times New Roman" w:eastAsia="Times New Roman" w:hAnsi="Times New Roman"/>
          <w:sz w:val="24"/>
          <w:szCs w:val="24"/>
          <w:shd w:fill="f4cccc" w:val="clear"/>
          <w:rtl w:val="0"/>
        </w:rPr>
        <w:t xml:space="preserve">3.2 Co-evolutionary Dynamics in the Dutch and Schiphol-Specific Context</w:t>
      </w:r>
    </w:p>
    <w:p w:rsidR="00000000" w:rsidDel="00000000" w:rsidP="00000000" w:rsidRDefault="00000000" w:rsidRPr="00000000" w14:paraId="0000003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 Article 3(3). Time is of the essence though for any HTL project, given the fund closes to new revenues from January 2031 (Ministerie van Klimaat en Groene Groei, n.d.-b). [Ask] Each of these instruments will be mapped against the specific business model components of each actor in the ENLENS waste-to-SAF chain. It should be noted that RED III Article 27(2)(e) and (f) establish the multipliers that determine how much compliance value each SAF type generates. Advanced biofuels from Annex IX Part A feedstocks count double their energy content towards Member State transport targets. In the Dutch renewable transport framework, this impacts the compliance value that an HTL operator can register per tonne of fuel produced. Following the RED III transposition, the HBE system was replaced by the ERE methodology, and aviation fuels were excluded from the national obligation scope that EREs serve. Now, HTL derived SAF sold for aviation use generates ReFuelEU compliance value rather than ERE credits, with ERE value only available if volumes are sold into the road transport pool. Due to the anti-stacking provisions in Article 7(5) of the Besluit energie vervoer, HTL operators must choose between ERE revenues and SDE++ support at the point of investment decision, which could affect project financing (European Parliament &amp; Council of the European Union, 2023b, Art. 27). The Dutch national circular economy framework is also a constraint on feedstock access. The Rijksbrede programma Circulaire Economie (Ministerie van Infrastructuur en Milieu &amp; Ministerie van Economische Zaken, 2016) establishes a cascading principle for biomass use. Essentially, feedstocks must be applied at their highest-value application first, with fuel production being only for residual streams that can't be used for anything else. Chapter 5.1.5 of the program brings this to aviation, which is a proper biomass application as no renewable alternative yet exists for long-haul flight. The cascading principle is a double-edged sword though. Though it supports using airport waste for HTL conversion over other cases, strengthening the access case, it also means that the airport waste could be used for a higher value application first, which might cause problems with quality and heterogeneity. This is also outlined in the Circulair Materialenplan (CMP; Ministerie van Infrastructuur en Waterstaat, 2025), for which the CMP now needs to be consulted for granting, monitoring, and enforcing waste permits. The CMP's minimumstandaard mechanism prevents a waste stream from being processed below the standard the hierarchy assigns it. If the minimum standard for a given fraction of Schiphol's waste is recycling, that fraction can't be diverted to a lower ranked recovery route like HTL. Thus, ENLENS needs to take CMP classifications. Section 4.2.3 of the Rijksbrede programma Circulaire Economie  also mentions that subsidies promoting the combustion of feedstocks that could be recycled at higher value may be phased out, posing some longer term risk. The National Plan Energiesysteem does designate aviation and shipping as priority uses for scarce sustainable carbon carriers though and says the government will intervene when there is a feedstock shortage, offering some protection (Ministerie van Economische Zaken en Klimaat, 2023). The plan identifies co-locating biogenic CO2 capture at existing biofuel facilities as the most viable Dutch pathway for e-SAF, a related but different route than HTL though.</w:t>
      </w:r>
    </w:p>
    <w:p w:rsidR="00000000" w:rsidDel="00000000" w:rsidP="00000000" w:rsidRDefault="00000000" w:rsidRPr="00000000" w14:paraId="0000003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ff2cc" w:val="clear"/>
          <w:rtl w:val="0"/>
        </w:rPr>
        <w:t xml:space="preserve">The certification infrastructure that connects feedstocks to fuel to compliance claim is worth covering here.</w:t>
      </w:r>
      <w:r w:rsidDel="00000000" w:rsidR="00000000" w:rsidRPr="00000000">
        <w:rPr>
          <w:rFonts w:ascii="Times New Roman" w:cs="Times New Roman" w:eastAsia="Times New Roman" w:hAnsi="Times New Roman"/>
          <w:sz w:val="24"/>
          <w:szCs w:val="24"/>
          <w:rtl w:val="0"/>
        </w:rPr>
        <w:t xml:space="preserve"> Commission Implementing Regulation (EU) 2022/996 (European Commission, 2022) regulates such translation, defining the audit, mass balance, and traceability rules for SAF actors before claims can be made. Article 10 requires all economic operators, including waste collectors and processors, to undergo on-site auditing by accredited certification bodies for those delivering five or more tonnes per month (Article 13(4)). For ENLENS, with Schiphol as the waste generator, the HTL operator as processor, and any intermediate logistics handlers are individually auditable with their own compliance obligations. Article 19(2)(1) requires a quarterly mass balance clearing cycle, so the sustainability characteristics assigned to a batch of HTL biocrude must be reconciled with physical outputs every 3 months, which could contain cash flow and is extra administrative work. For a precommercial operator, this could prove difficult administratively and could shape the decisions in coalition formation, which connects back to Di Vaio et al.’s (2026) concept of claimability that must first be met before SAF revenue can in this case be recognized.  The EU ETS itself has parallel monitoring, reporting, and verification (MRV) that converts RED III sustainability certificates into an actual reduction in an airline's surrender obligation. Under the Commission's Monitoring and Reporting Regulation (European Commission, 2018), only the emission factor for the biomass fraction of any fuel, like SAF, is set to zero, so only the normal negligible fossil fraction of HTL-derived SAF generates a reportable emission (Art. 38(2)). Airlines can rely on the SAF supplier's own certified emission factor and don't have to do an independent laboratory analysis here (Art. 53(6)-(7)). The biomass fraction can be determined from purchase records and doesn't need physical tracking, gated by the RED III criteria (Art. 54. This means, an HTL operator's RED III certificate becomes an ETS cost saving for an airline counterparty, and determines where in the value chain the accreditation task is.</w:t>
      </w:r>
    </w:p>
    <w:p w:rsidR="00000000" w:rsidDel="00000000" w:rsidP="00000000" w:rsidRDefault="00000000" w:rsidRPr="00000000" w14:paraId="0000003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contrast, Bryant et al. (2019), using a content analysis of 63 government energy strategy documents from Europe and Australasia, find that these strategies almost universally fail to engage with the business model effects of their own targets. Their idea of the energy rhetoric gap is relevant: governments talk boldly about energy transformation but typically don't assess if the business models they assume will be created are actually financially feasible, as with the EU SAF framework. The ReFuelEU’s obligations and fines for non-compliance don’t specify viable business models, and there is no historical template for waste-derived circular aviation fuel pathways either. Though not enough to dismiss the policy as inadequate, the ENLENS research addresses a gap the regulation presupposes will be filled by market actors and researchers, and thus, the paper is relevant. Bryant et al. (2019), interestingly identified six governmental energy-policy discourses: Energy Scout, Energy Pontificator, Energy Muddler, Political Footballer, Pure Politics, and Neoliberal Energy Economics. This typology is useful to classify how governments approach transition governance. The Dutch regulation currently seems closest to the Energy Scout discourse, given their long term targets with active state coordination and support for new pathways. Even in this role though, as Bryant et al. note, this type of government assumes viable business models emerge without specifying how. At the Dutch level, the Klimaatwet brings some specificity with a binding target of 95% greenhouse gas reduction by 2050 and Article 4(2) Article 4(2) requires the government to take corrective action if progress falls behind schedule, giving SAF investors greater confidence that policy support will remain on track. Article 8(3) allows the government to enter into negotiated sector agreements to assist in reaching these targets (Ministerie van Klimaat en Groene Groei, n.d.-a). For airports specifically, the Luchtvaartnota 2020-2050 adds another demand anchor just for Schiphol. Chapter 1.2 makes Schiphol's future growth capacity dependent on whether it can achieve a 14% SAF belnd share by 2030. Dutch domestic aviation CO2 targets must be met through in-sector abatement rather than carbon offsets (Ministerie van Infrastructuur en Waterstaat, 2020, Ch. 1.2, Ch. 5.2.1). For business model design, this means SAF from HTL creates compliance value that carbon credits can't substitute, so there is a niche of protected demand at Schiphol with some shielding from market conditions. Chapter 7.2 includes the Netherland's ambition to be a European SAF production hub using Rotterdam's refinery and pipeline infrastructure. This provides some footing regarding the direction of the Netherlands ant thus some security for co-locating and binding the HTL conversion with the existing SARAS logistics network.</w:t>
      </w:r>
    </w:p>
    <w:p w:rsidR="00000000" w:rsidDel="00000000" w:rsidP="00000000" w:rsidRDefault="00000000" w:rsidRPr="00000000" w14:paraId="0000004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analysis of six German energy-sector business models by Leisen et al. (2019) and 34 expert interviews found a disproportionate concentration of regulatory risk on revenue streams relative to costs, and that niche-dependent business models are structurally vulnerable to policy change. Their separation of two types of regulatory risk works well for SAF, with the first being direct, with price-setting tools like feed-in tariffs or blending premiums to shape financial return. The second is indirect, with rules governing market access, eligibility, and certification that determine who can participate. On the direct side, the ReFuelEU’s compliance premium creates real revenue risk when mandates are weakened or non-compliance penalties are changed. On the indirect side, a few questions remain to be answered before the possibility of commercial operation. For example, whether HTL feedstocks qualify under RED III Annex IX Part A, whether HTL-derived SAF can be certified through ASTM pathways, and whether sewage sludge is actually an eligible feedstock under CMP rules?</w:t>
      </w:r>
    </w:p>
    <w:p w:rsidR="00000000" w:rsidDel="00000000" w:rsidP="00000000" w:rsidRDefault="00000000" w:rsidRPr="00000000" w14:paraId="0000004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1 synthesizes these instruments, moving from the general SAF-related demand mandates and feedstock eligibility rules through to the more specific e-SAF sub-mandates and Dutch financial support schemes that build on top of them.</w:t>
      </w:r>
    </w:p>
    <w:p w:rsidR="00000000" w:rsidDel="00000000" w:rsidP="00000000" w:rsidRDefault="00000000" w:rsidRPr="00000000" w14:paraId="0000004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1: Key regulatory instruments impacting waste-to-SAF as a business model</w:t>
      </w:r>
    </w:p>
    <w:tbl>
      <w:tblPr>
        <w:tblStyle w:val="Table1"/>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90"/>
        <w:gridCol w:w="840"/>
        <w:gridCol w:w="2595"/>
        <w:gridCol w:w="2670"/>
        <w:gridCol w:w="1605"/>
        <w:tblGridChange w:id="0">
          <w:tblGrid>
            <w:gridCol w:w="1590"/>
            <w:gridCol w:w="840"/>
            <w:gridCol w:w="2595"/>
            <w:gridCol w:w="2670"/>
            <w:gridCol w:w="16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spacing w:line="3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Instrument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spacing w:line="3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spacing w:line="3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Key provision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spacing w:line="3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Business model mechanism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spacing w:line="3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HTL Relevance</w:t>
            </w:r>
          </w:p>
        </w:tc>
      </w:tr>
      <w:tr>
        <w:trPr>
          <w:cantSplit w:val="0"/>
          <w:trHeight w:val="400"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48">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Demand mandate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ReFuelEU Aviation</w:t>
            </w:r>
          </w:p>
          <w:p w:rsidR="00000000" w:rsidDel="00000000" w:rsidP="00000000" w:rsidRDefault="00000000" w:rsidRPr="00000000" w14:paraId="0000004E">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 (EU) 2023/2405</w:t>
            </w:r>
          </w:p>
          <w:p w:rsidR="00000000" w:rsidDel="00000000" w:rsidP="00000000" w:rsidRDefault="00000000" w:rsidRPr="00000000" w14:paraId="0000004F">
            <w:pPr>
              <w:spacing w:line="36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EU</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Minimum SAF shares at EU airports: 2% (2025) -&gt; 6% (2030) -&gt; 20% (2035) -&gt; 70% (2050) and e-SAF sub-mandates from 2030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Penalty floor (higher than 2x price gap per tonne short) sets maximum SAF price buyers will pay; anti-tankering rule anchors demand geographically to departure airport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demand floor</w:t>
            </w:r>
          </w:p>
          <w:p w:rsidR="00000000" w:rsidDel="00000000" w:rsidP="00000000" w:rsidRDefault="00000000" w:rsidRPr="00000000" w14:paraId="00000054">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Schiphol anchor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Luchtvaartnota 2020–2050</w:t>
            </w:r>
          </w:p>
          <w:p w:rsidR="00000000" w:rsidDel="00000000" w:rsidP="00000000" w:rsidRDefault="00000000" w:rsidRPr="00000000" w14:paraId="00000056">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NL policy commitment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 SAF blend NL airports by 2030 (vs. EU 6%); aviation CO2 to return to 2005 levels by 2030; in-sector abatement only, no offsets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Creates domestic demand above EU mandate; carbon credits cannot substitute SAF, protecting niche for local circular pathways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protected demand</w:t>
            </w:r>
          </w:p>
          <w:p w:rsidR="00000000" w:rsidDel="00000000" w:rsidP="00000000" w:rsidRDefault="00000000" w:rsidRPr="00000000" w14:paraId="0000005B">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no offset substitution</w:t>
            </w:r>
          </w:p>
        </w:tc>
      </w:tr>
      <w:tr>
        <w:trPr>
          <w:cantSplit w:val="0"/>
          <w:trHeight w:val="400"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5C">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Feedstock eligibility and sustainability certification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RED III</w:t>
            </w:r>
          </w:p>
          <w:p w:rsidR="00000000" w:rsidDel="00000000" w:rsidP="00000000" w:rsidRDefault="00000000" w:rsidRPr="00000000" w14:paraId="00000062">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Dir. (EU) 2023/2413, Art. 29, 29a, 27(2)(e)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EU</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SAF from Annex IX Part A feedstocks (sewage sludge, organic MSW) counts double toward transport targets; 70% lifecycle GHG savings threshold; waste/residue exemption from land-use criteria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Double-counting multiplier increases compliance value of advanced bio-SAF; waste exemption removes costly agricultural sustainability audit burden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double counting</w:t>
            </w:r>
          </w:p>
          <w:p w:rsidR="00000000" w:rsidDel="00000000" w:rsidP="00000000" w:rsidRDefault="00000000" w:rsidRPr="00000000" w14:paraId="00000067">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audit cost reduction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Impl. Reg. (EU) 2022/996</w:t>
            </w:r>
          </w:p>
          <w:p w:rsidR="00000000" w:rsidDel="00000000" w:rsidP="00000000" w:rsidRDefault="00000000" w:rsidRPr="00000000" w14:paraId="00000069">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Art. 10, 13(4), 19(2)</w:t>
            </w:r>
          </w:p>
          <w:p w:rsidR="00000000" w:rsidDel="00000000" w:rsidP="00000000" w:rsidRDefault="00000000" w:rsidRPr="00000000" w14:paraId="0000006A">
            <w:pPr>
              <w:spacing w:line="36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EU</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On-site audit required for all supply chain actors over 5 t/month; quarterly mass balance clearing; GHG actual values require accredited lab verification before commercial 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Quarterly reconciliation creates cash-flow constraint; audit cost scales with supply chain length; creates gatekeeper role for certification bodies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admin burden</w:t>
            </w:r>
          </w:p>
          <w:p w:rsidR="00000000" w:rsidDel="00000000" w:rsidP="00000000" w:rsidRDefault="00000000" w:rsidRPr="00000000" w14:paraId="0000006F">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cash-flow timing</w:t>
            </w:r>
          </w:p>
        </w:tc>
      </w:tr>
      <w:tr>
        <w:trPr>
          <w:cantSplit w:val="0"/>
          <w:trHeight w:val="400"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70">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Carbon pricing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EU ETS</w:t>
            </w:r>
          </w:p>
          <w:p w:rsidR="00000000" w:rsidDel="00000000" w:rsidP="00000000" w:rsidRDefault="00000000" w:rsidRPr="00000000" w14:paraId="00000076">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Dir. 2003/87/EC; Dir. (EU) 2023/959; MRR Art. 38(2)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EU</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Free allowances for airlines fully phased out from 2026; SAF combustion zero-rated (biomass fraction); airlines cannot double-claim ETS zero-rating and CORSIA for same batch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Full fossil kerosene carbon cost from 2026 widens effective SAF premium airlines can justify; zero-rating converts RED III certificate into airline cost saving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cost competitiveness</w:t>
            </w:r>
          </w:p>
          <w:p w:rsidR="00000000" w:rsidDel="00000000" w:rsidP="00000000" w:rsidRDefault="00000000" w:rsidRPr="00000000" w14:paraId="0000007B">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no double-claim</w:t>
            </w:r>
          </w:p>
        </w:tc>
      </w:tr>
      <w:tr>
        <w:trPr>
          <w:cantSplit w:val="0"/>
          <w:trHeight w:val="400"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7C">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Waste classification and permitting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Waste Framework Directive</w:t>
            </w:r>
          </w:p>
          <w:p w:rsidR="00000000" w:rsidDel="00000000" w:rsidP="00000000" w:rsidRDefault="00000000" w:rsidRPr="00000000" w14:paraId="00000082">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Dir. 2008/98/EC, Art. 3(17), 4, 6</w:t>
            </w:r>
          </w:p>
          <w:p w:rsidR="00000000" w:rsidDel="00000000" w:rsidP="00000000" w:rsidRDefault="00000000" w:rsidRPr="00000000" w14:paraId="00000083">
            <w:pPr>
              <w:spacing w:line="36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EU</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HTL classified as "other recovery", not recycling; end-of-waste criteria must be met before biocrude enters commercial fuel supply chain; Member States may deviate from hierarchy where lifecycle GHG justify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End-of-waste status is a regulatory gate before product can be sold; Art. 4(2) deviation provides legal route for NL to prioritise HTL where GHG savings are demonstrably superior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classification gate</w:t>
            </w:r>
          </w:p>
          <w:p w:rsidR="00000000" w:rsidDel="00000000" w:rsidP="00000000" w:rsidRDefault="00000000" w:rsidRPr="00000000" w14:paraId="00000088">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Art. 4(2) deviation path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Circulair Materialenplan (CMP)</w:t>
            </w:r>
          </w:p>
          <w:p w:rsidR="00000000" w:rsidDel="00000000" w:rsidP="00000000" w:rsidRDefault="00000000" w:rsidRPr="00000000" w14:paraId="0000008A">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Replaces LAP3, Dec 2025</w:t>
            </w:r>
          </w:p>
          <w:p w:rsidR="00000000" w:rsidDel="00000000" w:rsidP="00000000" w:rsidRDefault="00000000" w:rsidRPr="00000000" w14:paraId="0000008B">
            <w:pPr>
              <w:spacing w:line="36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HTL not listed as standard processing route for sewage sludge; operators must argue case-by-case that HTL represents higher-quality processing than the minimum standard route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Case-by-case approval/no routine permit increases timeline and regulatory risk for pre-commercial operators; advocacy for CMP revision needed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no standard permit route</w:t>
            </w:r>
          </w:p>
          <w:p w:rsidR="00000000" w:rsidDel="00000000" w:rsidP="00000000" w:rsidRDefault="00000000" w:rsidRPr="00000000" w14:paraId="00000090">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future revision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Omgevingswet / BAL</w:t>
            </w:r>
          </w:p>
          <w:p w:rsidR="00000000" w:rsidDel="00000000" w:rsidP="00000000" w:rsidRDefault="00000000" w:rsidRPr="00000000" w14:paraId="00000092">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NL, in force Jan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Environmental permit now required under Omgevingswet for HTL installations; food-derived waste requires additional NVWA authorisation under Reg. (EC) 1069/2009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Dual permitting requirement (Omgevingswet + NVWA) extends pre-commercial timeline; must be resolved before scale-up of mixed airport waste streams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dual permit burden</w:t>
            </w:r>
          </w:p>
        </w:tc>
      </w:tr>
      <w:tr>
        <w:trPr>
          <w:cantSplit w:val="0"/>
          <w:trHeight w:val="400"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97">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Financial support instruments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EU Innovation Fund (CfDs)</w:t>
            </w:r>
          </w:p>
          <w:p w:rsidR="00000000" w:rsidDel="00000000" w:rsidP="00000000" w:rsidRDefault="00000000" w:rsidRPr="00000000" w14:paraId="0000009D">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Dir. (EU) 2023/959, Art. 1(13)(h)</w:t>
            </w:r>
          </w:p>
          <w:p w:rsidR="00000000" w:rsidDel="00000000" w:rsidP="00000000" w:rsidRDefault="00000000" w:rsidRPr="00000000" w14:paraId="0000009E">
            <w:pPr>
              <w:spacing w:line="36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EU</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Carbon Contracts for Difference guarantee strike price for pre-commercial producers; covers up to 60% of costs via grants or up to 100% via competitive bidding; eligible for pre-commercial SAF</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Revenue certainty from CfD makes pre-commercial HTL bankable without full market maturity; closes gap identified in Overholm (2017) on alliance formation pre-bankability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bankability instrument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Programma SDL</w:t>
            </w:r>
          </w:p>
          <w:p w:rsidR="00000000" w:rsidDel="00000000" w:rsidP="00000000" w:rsidRDefault="00000000" w:rsidRPr="00000000" w14:paraId="000000A4">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NL, ~€300M allocated</w:t>
            </w:r>
          </w:p>
          <w:p w:rsidR="00000000" w:rsidDel="00000000" w:rsidP="00000000" w:rsidRDefault="00000000" w:rsidRPr="00000000" w14:paraId="000000A5">
            <w:pPr>
              <w:spacing w:line="36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Capital support for e-SAF and alcohol-to-jet production scale-up; managed by RVO; aligned with ERE framework from Jan 2026; cannot be combined with SDE++ for same batch (anti-stacking)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Most directly relevant public instrument for HTL pilot at current pre-commercial stage; anti-stacking rule requires explicit business model choice between SDL and SDE++ revenue streams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capital de-risking</w:t>
            </w:r>
          </w:p>
          <w:p w:rsidR="00000000" w:rsidDel="00000000" w:rsidP="00000000" w:rsidRDefault="00000000" w:rsidRPr="00000000" w14:paraId="000000AA">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anti-stacking constraint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Tijdelijke wet Klimaat- en energiefonds</w:t>
            </w:r>
          </w:p>
          <w:p w:rsidR="00000000" w:rsidDel="00000000" w:rsidP="00000000" w:rsidRDefault="00000000" w:rsidRPr="00000000" w14:paraId="000000AC">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NL, Art. 2(2)(b), closes Jan 2031</w:t>
            </w:r>
          </w:p>
          <w:p w:rsidR="00000000" w:rsidDel="00000000" w:rsidP="00000000" w:rsidRDefault="00000000" w:rsidRPr="00000000" w14:paraId="000000AD">
            <w:pPr>
              <w:spacing w:line="36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Multi-year €35B fund covering GHG-reducing techniques in the business sector; no new revenues accepted from Jan 2031; measures must be additional to pre-2022 policy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Time-limited window creates urgency; HTL projects qualifying under Art. 2(2)(b) must reach funding decision before 2031 closure, constraining pre-commercial development timeline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funding access</w:t>
            </w:r>
          </w:p>
          <w:p w:rsidR="00000000" w:rsidDel="00000000" w:rsidP="00000000" w:rsidRDefault="00000000" w:rsidRPr="00000000" w14:paraId="000000B2">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- 2031 deadline</w:t>
            </w:r>
          </w:p>
        </w:tc>
      </w:tr>
      <w:tr>
        <w:trPr>
          <w:cantSplit w:val="0"/>
          <w:trHeight w:val="400"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B3">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International framework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CORSIA</w:t>
            </w:r>
          </w:p>
          <w:p w:rsidR="00000000" w:rsidDel="00000000" w:rsidP="00000000" w:rsidRDefault="00000000" w:rsidRPr="00000000" w14:paraId="000000B9">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ICAO Res. A42-22, para. 6, 20</w:t>
            </w:r>
          </w:p>
          <w:p w:rsidR="00000000" w:rsidDel="00000000" w:rsidP="00000000" w:rsidRDefault="00000000" w:rsidRPr="00000000" w14:paraId="000000BA">
            <w:pPr>
              <w:spacing w:line="36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SAF use reduces airline offset purchase obligations for international flights; same batch cannot be double-claimed under both CORSIA and EU ETS; no mandatory SAF volume requirement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Creates alternative compliance value stream for HTL-SAF sold to non-EU international routes; double-claim prohibition requires explicit offtake contract specification of which scheme applies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additional market</w:t>
            </w:r>
          </w:p>
          <w:p w:rsidR="00000000" w:rsidDel="00000000" w:rsidP="00000000" w:rsidRDefault="00000000" w:rsidRPr="00000000" w14:paraId="000000BF">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contract complexity</w:t>
            </w:r>
          </w:p>
        </w:tc>
      </w:tr>
    </w:tbl>
    <w:p w:rsidR="00000000" w:rsidDel="00000000" w:rsidP="00000000" w:rsidRDefault="00000000" w:rsidRPr="00000000" w14:paraId="000000C0">
      <w:pPr>
        <w:spacing w:after="240" w:before="24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 Lessons from the Energy Transition: Collaboration Mechanisms and the Chicken-and-Egg Problem</w:t>
      </w:r>
    </w:p>
    <w:p w:rsidR="00000000" w:rsidDel="00000000" w:rsidP="00000000" w:rsidRDefault="00000000" w:rsidRPr="00000000" w14:paraId="000000C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energy transition literature provides perhaps the most relevant material to assist in the SAF challenge. Both involve incumbent-dominated regulated sectors undergoing policy-mandated changes toward novel fuel or energy pathways, and both are characterized by the chicken-and-egg problem of coordinating investments. Everyone is waiting to see what others do before acting, but nobody can know what will happen until someone acts first. In their study of Finnish distributed energy systems, Hellstrom et al. (2015) created a collaboration mechanism concept to address this problem. Collaboration mechanisms trigger and sustain cooperative value creation and capture by identifying value drivers in each ecosystem partner’s business model and matching them to overcome barriers to ecosystem formation. Their biogas-for-traffic case covers a long-term fixed-price fuel supply contract, which acts as the collaboration mechanism by resolving investor uncertainty by making the fuel supplier’s revenue predictable, securing downstream commitments from bus operators by guaranteeing fuel availability, and coordinating business model change across firms that previously had no relationship. This is a clear connection and is relevant to HTL operators at Schiphol, who are securing long-term SAF offtake agreements with airlines while simultaneously negotiating waste supply contracts with municipal waste authorities.</w:t>
      </w:r>
    </w:p>
    <w:p w:rsidR="00000000" w:rsidDel="00000000" w:rsidP="00000000" w:rsidRDefault="00000000" w:rsidRPr="00000000" w14:paraId="000000C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Wainstein and Bumpus (2016) argue that business models can both reinforce the current carbon-intensive system and also help new, innovative companies challenge and change it. Studying the U.S. solar third-party ownership market shows that financial innovation, especially the design of third-party ownership contracts and power purchase agreements that made these installations bankable, was vital to enabling market-scale deployment of residential photovoltaics. Unique to this study was that business models are the primary unity of analysis in the niche-regime interactions not technologies. Two different business models can use the same technology with two different outcomes. The resistance to carbon transition by the existing players is best understood as lock-in at the business model level. Financial innovation, specifically power purchase agreements and tax equity structures that made solar installations bankable without upfront cost for the customer was the main driver of the deployment, separate from solar panel technology development. Al-Saleh and Mahroum (2015) took a different approach as they looked into business response to different policy instruments, while Wainstein and Bumpus looked into the role of business models in the niche-regime interaction and arguing that financial innovation helps niche players to take on incumbents. For waste-to-SAF financial instrument design, specifically how off-take agreements, blending contracts, public co-investment, and carbon credit mechanisms are structured, may have a greater impact on commercial success than differences in HTL technology performance within its normal operating range. </w:t>
      </w:r>
    </w:p>
    <w:p w:rsidR="00000000" w:rsidDel="00000000" w:rsidP="00000000" w:rsidRDefault="00000000" w:rsidRPr="00000000" w14:paraId="000000C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Al-Saleh and Mahroum (2015) provide a model to understand how aviation actors will respond to SAF mandates. The paper argues that the dominant technology-push and demand-pull framing in innovation policy literature is lacking as it views business behavior as a response to technology availability and economic incentive, rather than specific policy instruments. Their stick, carrot, and sermon typology captures behavioral responses. Stick-type, like mandatory blending requirements or fines typically lead to buck-passing, in which compliance costs are unloaded onto other parties without creating new value. Carrot-type, like SDL capital subsidies, can lead to carpet-bagging, in which actors exploit temporary financial incentives but don't build for the long term. Sermon-type, on the other hand, like government sustainability frameworks, can lead to value-driven actions but only where entrepreneurial interest was before the financial support. This applies differently to SAF than it did for Al-Saleh and Mahroum, as aviation both in stick through the mandate, carrot through the SDL, SDE++, and CfDs, and sermon through the Luchtvaartnota and Klimaatplan. So the actor's response depends on which instrument is most relevant to the business model instead of a single type. Airlines and airports may respond with buck-passing if their business model is primarily designed around compliance. Opportunistic actors are likely to exploit SDL or SDE++ subsidies without building durable supply chains. Genuinely committed actors, on the other hand, may create circular fuel pathways as strategic vehicles for transformation. The ENLENS study considers which of these is emerging among Dutch aviation ecosystem actors.</w:t>
      </w:r>
    </w:p>
    <w:p w:rsidR="00000000" w:rsidDel="00000000" w:rsidP="00000000" w:rsidRDefault="00000000" w:rsidRPr="00000000" w14:paraId="000000C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 SAF-Specific Evidence on Aviation Business Model Pressure</w:t>
      </w:r>
    </w:p>
    <w:p w:rsidR="00000000" w:rsidDel="00000000" w:rsidP="00000000" w:rsidRDefault="00000000" w:rsidRPr="00000000" w14:paraId="000000C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ff2cc" w:val="clear"/>
          <w:rtl w:val="0"/>
        </w:rPr>
        <w:t xml:space="preserve">Good intentions may get companies onto the SAF runway, but economics are the determinant of takeoff.</w:t>
      </w:r>
      <w:r w:rsidDel="00000000" w:rsidR="00000000" w:rsidRPr="00000000">
        <w:rPr>
          <w:rFonts w:ascii="Times New Roman" w:cs="Times New Roman" w:eastAsia="Times New Roman" w:hAnsi="Times New Roman"/>
          <w:sz w:val="24"/>
          <w:szCs w:val="24"/>
          <w:rtl w:val="0"/>
        </w:rPr>
        <w:t xml:space="preserve"> Gössling and Humpe (2023) model four scenarios of SAF costs on the road to net zero, finding that the aviation industry’s volume-growth, low-margin business model is unlikely to be viable in a heavily dependent future SAF world. It would require strong growth constraints or a rethink of how fares are structured. Even the complete adoption of the cheapest synthetic fuel (solar-powered e-kerosene at 2050 projection prices) would need an 80% average fare increase by 2050, according to them. In other words, the circular business model design counters the destructive effects of pass-through costs. This creates a ceiling on SAF adoption, regardless of supply-side innovation.</w:t>
      </w:r>
    </w:p>
    <w:p w:rsidR="00000000" w:rsidDel="00000000" w:rsidP="00000000" w:rsidRDefault="00000000" w:rsidRPr="00000000" w14:paraId="000000C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Liang et al. (2026), using system dynamics modeling, find that the economic impact of SAF blending mandates comes down to how price elasticity of demand, the SAF cost premium, and subsidy levels interact. Though particular to China, they find that a basic subsidy covering at least 70% of the SAF cost differential is required to restore airline profitability under a 5% blending scenario. The concept of policy instruments closing the cost gap rather than assuming market signals will close it is just as important for the EU. </w:t>
      </w:r>
      <w:r w:rsidDel="00000000" w:rsidR="00000000" w:rsidRPr="00000000">
        <w:rPr>
          <w:rFonts w:ascii="Times New Roman" w:cs="Times New Roman" w:eastAsia="Times New Roman" w:hAnsi="Times New Roman"/>
          <w:sz w:val="24"/>
          <w:szCs w:val="24"/>
          <w:shd w:fill="f4cccc" w:val="clear"/>
          <w:rtl w:val="0"/>
        </w:rPr>
        <w:t xml:space="preserve">Karanki and Yu (2026) further examine distributional specificity, showing that the costs of SAF blending mandates are not shared equally across airlines. Especially for low-cost carriers, their customer base is simply more price-sensitive, and these airlines have lower markups and are thus more affected at low blending levels than more traditional airlines.</w:t>
      </w:r>
      <w:r w:rsidDel="00000000" w:rsidR="00000000" w:rsidRPr="00000000">
        <w:rPr>
          <w:rFonts w:ascii="Times New Roman" w:cs="Times New Roman" w:eastAsia="Times New Roman" w:hAnsi="Times New Roman"/>
          <w:sz w:val="24"/>
          <w:szCs w:val="24"/>
          <w:rtl w:val="0"/>
        </w:rPr>
        <w:t xml:space="preserve"> Karanki and Yu approach cost pass-through as a market-driven pricing decision constrained by demand elasticity. ReFuelEU's non-compliance fine (Article 12) on the other hand, builds a price ceiling on SAF, limiting the buyers’ willingness to pay instead of relying on airlines’ pricing decisions. </w:t>
      </w:r>
    </w:p>
    <w:p w:rsidR="00000000" w:rsidDel="00000000" w:rsidP="00000000" w:rsidRDefault="00000000" w:rsidRPr="00000000" w14:paraId="000000C8">
      <w:pPr>
        <w:spacing w:after="240" w:before="240" w:line="360" w:lineRule="auto"/>
        <w:rPr>
          <w:rFonts w:ascii="Times New Roman" w:cs="Times New Roman" w:eastAsia="Times New Roman" w:hAnsi="Times New Roman"/>
          <w:sz w:val="24"/>
          <w:szCs w:val="24"/>
        </w:rPr>
      </w:pPr>
      <w:r w:rsidDel="00000000" w:rsidR="00000000" w:rsidRPr="00000000">
        <w:rPr>
          <w:rtl w:val="0"/>
        </w:rPr>
      </w:r>
    </w:p>
    <w:tbl>
      <w:tblPr>
        <w:tblStyle w:val="Table2"/>
        <w:tblW w:w="9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80"/>
        <w:gridCol w:w="885"/>
        <w:gridCol w:w="1275"/>
        <w:gridCol w:w="840"/>
        <w:gridCol w:w="1320"/>
        <w:gridCol w:w="1320"/>
        <w:gridCol w:w="1320"/>
        <w:tblGridChange w:id="0">
          <w:tblGrid>
            <w:gridCol w:w="2280"/>
            <w:gridCol w:w="885"/>
            <w:gridCol w:w="1275"/>
            <w:gridCol w:w="840"/>
            <w:gridCol w:w="1320"/>
            <w:gridCol w:w="1320"/>
            <w:gridCol w:w="1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SAF scenario (USD)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FSA fare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FSA revenue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FSA loss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LCC fare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LCC revenue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LCC loss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Baseline (conventional jet fuel)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17.7B</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3.53B</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 SAF blend (2.5x premium)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15.0B</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2.36B</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 SAF blend (2.5x premium)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258</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15.2B</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136</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2.34B</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 SAF blend (1.5x premium)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15.0B</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2.37B</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w:t>
            </w:r>
          </w:p>
        </w:tc>
      </w:tr>
    </w:tbl>
    <w:p w:rsidR="00000000" w:rsidDel="00000000" w:rsidP="00000000" w:rsidRDefault="00000000" w:rsidRPr="00000000" w14:paraId="000000EC">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ff2cc" w:val="clear"/>
          <w:rtl w:val="0"/>
        </w:rPr>
        <w:t xml:space="preserve">Muller and Wittmer (2026) find that Swiss-headquartered firms strongly prefer certified, high-blend SAF from bulk deals, but often lack budget authority to do so.</w:t>
      </w:r>
      <w:r w:rsidDel="00000000" w:rsidR="00000000" w:rsidRPr="00000000">
        <w:rPr>
          <w:rFonts w:ascii="Times New Roman" w:cs="Times New Roman" w:eastAsia="Times New Roman" w:hAnsi="Times New Roman"/>
          <w:sz w:val="24"/>
          <w:szCs w:val="24"/>
          <w:rtl w:val="0"/>
        </w:rPr>
        <w:t xml:space="preserve"> Their willingness-to-pay analysis shows that for long haul routes, corporate demand alone is unlikely to close the SAF price gap. Though firms have strong preference for SAF, budget constraints and lacking procurement authority make these purchases difficult to become reality, thus highlighting the need for policy support or pool procurement. Specifically for the long haul routes, WTP is far below the market prices so the barrier isn't necessarily preference, but rather issues within their companies. Conceptually this is different from how Karanki and Yu (2026) see the SAF cost problem. They see it as a market pricing and elasticity question for airlines, Muller and Wittmer see the barrier as inside corporate governance structures. The solution could be organization reform and pooled procurement instead of just price signals. Smith et al. (2017) further look into downstream aviation fuel supply chain stakeholders. They find that in the U.S. Pacific Northwest, airline buyer commitment, not technological readiness or policy pressure, is the dominant driver of SAF adoption in practice. Specifically, SAF projects transition from speculative to bankable investments when long-term offtake agreements are secured with credible airline counterparties.</w:t>
      </w:r>
    </w:p>
    <w:p w:rsidR="00000000" w:rsidDel="00000000" w:rsidP="00000000" w:rsidRDefault="00000000" w:rsidRPr="00000000" w14:paraId="000000E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International policy seems to be backing this direction though, with ICAO calling on states and industry to promote SAF and lower carbon aviation fuel purchase agreements to meet its goal of net-zero international aviation emissions by 2050 (International Civil Aviation Organization, 2022, para. 27c). The European Commission in its Sustainable Transport Investment Plan (European Commission, 2025) further backs this. It reported that  as of 2024, only 0.6% of all jet fuel dispensed at EU airports was SAF, despite the 2% mandate having entered into force that same year. Further, not.a single eSAF project in the EU had reached a final investment decision by late 2025, blaming the differences in expectations by airlines on the length of offtake agreements and the amount a producer would need. The Commission's proposed response would be to create a double-sided auction in which a public or quasi-public body holds long-term supply contracts on one side and concludes shorter-term ones with the airlines, absorbing the refinancing risk. This type of collaboration is outlined in the literature as necessary to overcome the chicken-and-egg problem of coordination. The STIP shows that the design-implementation gap isn't specific to HTL but all new SAF pathways and that closing it will require more than just normal contracting.</w:t>
      </w:r>
    </w:p>
    <w:p w:rsidR="00000000" w:rsidDel="00000000" w:rsidP="00000000" w:rsidRDefault="00000000" w:rsidRPr="00000000" w14:paraId="000000E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Together, these studies outline the demand-side parameters for which the ENLENS circular business model must operate, framing SAF viability not as a technical issue but as a business model- and governance-dependent one. </w:t>
      </w:r>
      <w:r w:rsidDel="00000000" w:rsidR="00000000" w:rsidRPr="00000000">
        <w:rPr>
          <w:rFonts w:ascii="Times New Roman" w:cs="Times New Roman" w:eastAsia="Times New Roman" w:hAnsi="Times New Roman"/>
          <w:sz w:val="24"/>
          <w:szCs w:val="24"/>
          <w:shd w:fill="fff2cc" w:val="clear"/>
          <w:rtl w:val="0"/>
        </w:rPr>
        <w:t xml:space="preserve">In other words, two identical conversion technologies can have very different outcomes. One reaches cruising altitude, while another never leaves the runway.</w:t>
      </w:r>
      <w:r w:rsidDel="00000000" w:rsidR="00000000" w:rsidRPr="00000000">
        <w:rPr>
          <w:rFonts w:ascii="Times New Roman" w:cs="Times New Roman" w:eastAsia="Times New Roman" w:hAnsi="Times New Roman"/>
          <w:sz w:val="24"/>
          <w:szCs w:val="24"/>
          <w:rtl w:val="0"/>
        </w:rPr>
        <w:t xml:space="preserve"> The difference comes from the allocation of costs and risks, the instruments combined, and whether diverse coalition actors can be assembled and the assembly sustained. Article 5 of ReFuelEU outlines an anti-tankering obligation, which requires airlines to uplift at least 90% of their required fuel at each EU departure airport. For KLM and other airlines, this would mean they can't just purchase it at a cheaper hub outside Amsterdam, while continuing to operate at Schiphol. Demand is anchored geographically to Schiphol. This strengthens the case for local waste-to-SAF production and prevents carbon leakage at the airport level (European Parliament &amp; Council of the European Union, 2023a, Art. 5). This is under review, as Article 15 of ReFuelEU also directs the testing of a tradable book and claim style SAF certificate system, which could decouple it. Feasibility study results are expected in the second quarter of 2026 (European Parliament &amp; Council of the European Union, 2023a, Art. 15). If implemented, this could widen the buyer pool but also create competition for a Schiphol based producer.</w:t>
      </w:r>
    </w:p>
    <w:p w:rsidR="00000000" w:rsidDel="00000000" w:rsidP="00000000" w:rsidRDefault="00000000" w:rsidRPr="00000000" w14:paraId="000000F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Circular Business Model Design and Waste Valorization as Value Creation Logic</w:t>
      </w:r>
    </w:p>
    <w:p w:rsidR="00000000" w:rsidDel="00000000" w:rsidP="00000000" w:rsidRDefault="00000000" w:rsidRPr="00000000" w14:paraId="000000F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 Circular Business Model Architecture in Industrial Contexts</w:t>
      </w:r>
    </w:p>
    <w:p w:rsidR="00000000" w:rsidDel="00000000" w:rsidP="00000000" w:rsidRDefault="00000000" w:rsidRPr="00000000" w14:paraId="000000F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Whilst the circular business model literature has primarily covered manufacturing, the frameworks it has developed remain useful for circular fuel pathways. Though before examining such, there is a legal constraint to mention that shapes what claims HTL-from-waste can make. The Waste Framework Directive (European Parliament &amp; Council of the European Union, 2008) in the Article 4 waste hierarchy, ranks prevention, preparing for re-use, recycling, other recovery, and disposal in descending order of preference. Article 3(17) defines recycling to exclude energy recovery and the reprocessing of materials to be used as fuels. Thus, HTL, which converts waste into a fuel precursor, is technically other recovery, not recycling. For ENLENS, this means that HTL can't be presented as a recycling operation in filings and disclosures, limiting reputation and policy value for Schiphol. That having been said, under Article 4(2), Member States can depart from the hierarchy where justified, giving a legal avenue for the Netherlands to pursue HTL when lifecycle GHG savings are superior. This is a real path, but not a default win. Article 6(1) sets out the conditions HTL biocrude must meet to cease being classified as waste and be traded as a commercial product: it must have a specific use, an established market, meet technical requirements, and not cause overall environmental harm. Until the end of waste status is established for biocrude, the product can't be sold into commercial fuel supply chains. This regulatory gate must be considered (European Parliament &amp; Council of the European Union, 2008, Art. 6).</w:t>
      </w:r>
    </w:p>
    <w:p w:rsidR="00000000" w:rsidDel="00000000" w:rsidP="00000000" w:rsidRDefault="00000000" w:rsidRPr="00000000" w14:paraId="000000F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ff2cc" w:val="clear"/>
          <w:rtl w:val="0"/>
        </w:rPr>
        <w:t xml:space="preserve">At the Dutch level, the Omgevingswet (Environment and Planning Act) are now the Dutch teeth of these EU classifications together with its subordinate Besluit activiteiten leefomgeving (BAL), replacing the Wet milieubeheer. Neither LAP3 or CMP list HTL as a standard processing route for sewage sludge, routine permits can't be acquired by the HTL operator by reference to the minimum standard and thus will be treated as a case by case.</w:t>
      </w:r>
      <w:r w:rsidDel="00000000" w:rsidR="00000000" w:rsidRPr="00000000">
        <w:rPr>
          <w:rFonts w:ascii="Times New Roman" w:cs="Times New Roman" w:eastAsia="Times New Roman" w:hAnsi="Times New Roman"/>
          <w:sz w:val="24"/>
          <w:szCs w:val="24"/>
          <w:rtl w:val="0"/>
        </w:rPr>
        <w:t xml:space="preserve"> For a waste to SAF business this would mean needing to prove high quality processing exceeding the environmental value of the standard route, increasing the risk and timeline (Ministerie van Infrastructuur en Waterstaat, n.d.). Currently, the CMP explicitly classifies liquid fuel production from waste as other recovery, not recycling, which agrees with the EU position. That having been said, because CMP's chain plans aren't yet complete for all waste streams, the LAP3 sector plans remain in force for those CMP has not yet replaced, which includes used oil, off-spec fuel residues, plastics, and animal by-products (Ministerie van Infrastructuur en Waterstaat, 2019). As Schiphol's mixed waste might contain catering left overs, packaging plastics, and used oils, an HTL operator needs to ensure compliance with both CMP and LAP3 expectations depending on which fraction of the stream is being valorized. Food derived waste must be separately authorized by the Nederlandse Voedsel en Warenautoriteit (NVWA) under EU Regulation 1069/2009 on animal by-products (Regulation (EC) No 1069/2009).</w:t>
      </w:r>
    </w:p>
    <w:p w:rsidR="00000000" w:rsidDel="00000000" w:rsidP="00000000" w:rsidRDefault="00000000" w:rsidRPr="00000000" w14:paraId="000000F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Geissdoerfer et al. (2018a) study created an integrative framework for circular business models and supply chain management. They find that optimal sustainability performance is achieved when the three main elements of a business model go circular simultaneously. The first, value proposition, asks what circular claim is being made, and for whom. The value and creation delivery system examines which loop-closing activities occur and through which actor arrangements they occur. The value-capture mechanism examines how pricing, subsidies, and contracts make participation worthwhile for the parties involved. </w:t>
      </w:r>
      <w:r w:rsidDel="00000000" w:rsidR="00000000" w:rsidRPr="00000000">
        <w:rPr>
          <w:rFonts w:ascii="Times New Roman" w:cs="Times New Roman" w:eastAsia="Times New Roman" w:hAnsi="Times New Roman"/>
          <w:sz w:val="24"/>
          <w:szCs w:val="24"/>
          <w:shd w:fill="f4cccc" w:val="clear"/>
          <w:rtl w:val="0"/>
        </w:rPr>
        <w:t xml:space="preserve">This concurrence requirement is empirically confirmed by Kaipainen et al. (in press) in a multiple-case study of Finnish and Italian circular-economy pioneer companies.</w:t>
      </w:r>
      <w:r w:rsidDel="00000000" w:rsidR="00000000" w:rsidRPr="00000000">
        <w:rPr>
          <w:rFonts w:ascii="Times New Roman" w:cs="Times New Roman" w:eastAsia="Times New Roman" w:hAnsi="Times New Roman"/>
          <w:sz w:val="24"/>
          <w:szCs w:val="24"/>
          <w:rtl w:val="0"/>
        </w:rPr>
        <w:t xml:space="preserve"> Companies with the most successful circular transitions had simultaneous innovations at both the firm-level business model and the inter-firm supply chain, neither of which worked sufficiently without the other.</w:t>
      </w:r>
    </w:p>
    <w:p w:rsidR="00000000" w:rsidDel="00000000" w:rsidP="00000000" w:rsidRDefault="00000000" w:rsidRPr="00000000" w14:paraId="000000F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capital-intensive, regulated adjacent industry of heavy-duty vehicle manufacturing, Chirumalla et al. (2024) create a grounded readiness framework for circular economy transition. Similarly to the above studies, they find a requirement for simultaneous progress across four main areas. Specifically, the ecosystem of external partners, the customer and business model, the company's culture and internal capabilities, and design and product development. The main contribution of this is the demonstration that these four don’t advance in succession, but rather co-evolve. Firms attempting a circular transition in a successive manner risk discovering later on that earlier choices locked out important ecosystem partners. Applied to the HTL-from-waste case, this implies that feedstock supply chain design (ecosystem of external partners), SAF certification and offtake contract design (customer and business model), Schiphol's own circular economy positioning (culture and capabilities), and HTL process optimization and feedstock quality standards (design and product development) must all advance together from early in the coalition formation process. It is important to keep in mind, conceptually, that Chirumalla et al.'s readiness framework is intended for a single focal firm making an internal transition, where the four areas are within one organization. For HTL, these four areas sit within different ones, so readiness must occur across all legal entities, not just one.</w:t>
      </w:r>
    </w:p>
    <w:p w:rsidR="00000000" w:rsidDel="00000000" w:rsidP="00000000" w:rsidRDefault="00000000" w:rsidRPr="00000000" w14:paraId="000000F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Aviation, it turns out, isn't the first industry to discover that closing loops is easier said than done. </w:t>
      </w:r>
      <w:r w:rsidDel="00000000" w:rsidR="00000000" w:rsidRPr="00000000">
        <w:rPr>
          <w:rFonts w:ascii="Times New Roman" w:cs="Times New Roman" w:eastAsia="Times New Roman" w:hAnsi="Times New Roman"/>
          <w:sz w:val="24"/>
          <w:szCs w:val="24"/>
          <w:shd w:fill="fff2cc" w:val="clear"/>
          <w:rtl w:val="0"/>
        </w:rPr>
        <w:t xml:space="preserve">Hansen and Revellio (2020) find four strategic configurations for organizing reverse-cycle operations</w:t>
      </w:r>
      <w:r w:rsidDel="00000000" w:rsidR="00000000" w:rsidRPr="00000000">
        <w:rPr>
          <w:rFonts w:ascii="Times New Roman" w:cs="Times New Roman" w:eastAsia="Times New Roman" w:hAnsi="Times New Roman"/>
          <w:sz w:val="24"/>
          <w:szCs w:val="24"/>
          <w:rtl w:val="0"/>
        </w:rPr>
        <w:t xml:space="preserve"> in the consumer electronics sector. The first is vertically integrated, with full internal control of circular activities. The second is network, with coordination based on alliances between independent actors. The third is outsourcing, in which reverse activities are contracted to specialists while retaining brand ownership. Finally, the fourth is laissez-faire, which is permission of independent third parties to fill circular gaps without coordination. Hansen and Revellio find that because standardized recycling is brand-independent and low in asset specificity, it's easy to outsource, while high vertical integration is instead associated with their slowing strategies. HTL doesn't fit any category perfectly. EU law already classifies it as "other recovery". But by Hansen and Revellio's logic, HTL would still require more vertical integration than a normal closed loop activity as the conversion technology is asset specific and reliable access to quality controlled feedstock can't be left to chance.</w:t>
      </w:r>
    </w:p>
    <w:p w:rsidR="00000000" w:rsidDel="00000000" w:rsidP="00000000" w:rsidRDefault="00000000" w:rsidRPr="00000000" w14:paraId="000000F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 Waste Valorization and the Open Circular Economy Business Model</w:t>
      </w:r>
    </w:p>
    <w:p w:rsidR="00000000" w:rsidDel="00000000" w:rsidP="00000000" w:rsidRDefault="00000000" w:rsidRPr="00000000" w14:paraId="000000F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Fedele and Formisano (2023) introduce the concept of the open circular economy business model to describe models that open their doors to externally generated waste streams rather than only to internally generated ones. They cover the case of Saxa Gres, which began converting municipal waste incinerator ash into high-quality ceramic tile production. This is super relevant to HTL, as both involve material that was previously a public liability and now has the opportunity to become commercially valuable, generate revenue, and remove removal costs for that organization. This is in contrast to the traditional closed-loop CEBM that recirculates internal waste within a company's own production. The open model treats external waste as a strategic input. This distinction applies to the HTL pathway, where Schiphol's waste becomes a feedstock for a third-party. In the Fedele and Formisano (2023) document, the multi-actor value distribution starts with value flowing to the commercial producer via cost reduction and the advantage provided by ecolabel certification, continuing to the waste-generating municipality, which avoids disposal costs and environmental compliance difficulty, before then moving to the regional community via employment and environmental protection. This is quite similar to the expected value distribution of the Schiphol HTL case, with value going to Schiphol via avoided waste disposal costs and SAF compliance contribution, to the HTL operator via conversion revenue and green premium, to airlines via ReFuelEU compliance value, FEETS free allowance eligibility, and finally to the wider regulatory system by showing an advanced biofuel pathway and reduction of lifecycle emissions.</w:t>
      </w:r>
    </w:p>
    <w:p w:rsidR="00000000" w:rsidDel="00000000" w:rsidP="00000000" w:rsidRDefault="00000000" w:rsidRPr="00000000" w14:paraId="000000F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CMP regulatory gap for HTL processing of sewage sludge remains of concern in Dutch policy. At the EU level, the Circular Economy Action Plan (European Commission, 2020) targets developing EU-wide end of waste criteria for key waste streams and harmonize the application of status rules, which is relevant to the classification of biocrude as exit waste to enter commercial fuel supply. Section 4.3 of the Action Plan finds the lack of such criteria as a barrier for scaling, which is also identified in this review. The planned carbon removal certification framework in Section 6.1 could create an additional future revenue stream for waste-to-SAF if it can demonstrate substantially lower lifecycle emissions than fossil kerosene. Although not yet available for aviation, this should be considered. Kanda et al. (2024) have several challenge types they see are the same across all circular business model archetypes and those that are unique. For industrial symbiosis ventures, they find long permit processes as a sector-specific institutional barrier while waste classification ambiguity occurs mainly in food and agricultural sectors where regulatory frameworks focus on food chain protection instead of circular recovery. For HTL, this is important, give has both the permit issue typical of industrial symbiosis and the ambiguity. For ENLENS, the Article 23 of the Waste Framework Directive (European Parliament &amp; Council of the European Union, 2008) requires any facility carrying out waste treatment, including HTL conversion, to get a permit from the competent authority, which means additional compliance work. Article 5(1), however, gives an alternative classification. If airport waste streams can satisfy the conditions for by-product status, they could bypass waste classification completely. This is an open question. Dutch guidance specifies that by product status means that the intended use of the material is certain, lawful, and of sufficiently high value, with the burden of proof lying with the holder not the permitting authority (Ministerie van Infrastructuur en Waterstaat, 2019). For Schiphol's waste, certainty of use would require a binding offtake agreement, for example, before by-product status could even be claimed, which goes back to the chicken-and-egg coordination issue. The classification that makes the feedstock easiest to supply is itself dependent on the commercial commitment from the rest of the value chain. This classification will likely be assessed case by case for now, given it having done so in the past (Ministerie van Infrastructuur en Waterstaat, 2019). Throughout the literature, legitimacy and strategic partnership formation are identified as binding constraints on circular venture scaling, rather than technology maturity or capital availability, which supports the governance focus of the ENLENS research question. In other words, the molecules are ready, but institutional legitimacy and coalition stability may not be. </w:t>
      </w:r>
    </w:p>
    <w:p w:rsidR="00000000" w:rsidDel="00000000" w:rsidP="00000000" w:rsidRDefault="00000000" w:rsidRPr="00000000" w14:paraId="000000F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Coproduct revenue growth is an important sign of SAF's long-term prospects as well. The study by Short et al. (2014) of British Sugar’s evolution over three decades into a multi-product biorefinery serves as such a precedent. Coproduct revenue, in this case, grew from a small fraction to approximately 25% of total revenue via a series of internal loop-closing innovations. New regulatory conditions and supply chain partnerships at each stage allowed so. Circular business model transformation in capital-intensive, regulated industrial sectors is hence possible, but long-cycled. Essentially, their sugar waste becoming biorefinery feedstock under the UK renewable fuel obligation is structurally incredibly similar to SAF from waste under the ReFuelEU. including the technology-licensing partnership with Praj Industries for biorefinery technology and the Vivergo joint venture with BP and DuPont that scaled bioethanol production, supports Hellstrom et al.'s (2015) previously mentioned collaboration mechanism framework. British Sugar's mechanisms are more technology and equity partnerships rather than Hellstrom's fixed-price offtake contract.</w:t>
      </w:r>
    </w:p>
    <w:p w:rsidR="00000000" w:rsidDel="00000000" w:rsidP="00000000" w:rsidRDefault="00000000" w:rsidRPr="00000000" w14:paraId="000000FB">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Yang et al. (2017) provide a diagnostic methodology in their value-uncaptured framework that we can use for the ENLENS design phase. First, there is value surplus, which means value exists but is unrequired. Second, there is a value absence: value is required but does not exist. Third is value missed, meaning it exists but remains unexploited. Fourth is value destroyed, which means that it's generating negative outcomes. These map well onto the Schiphol state of waste, with 'value destroyed' perhaps the most relevant. Mixed waste currently generates disposal costs and incineration emissions that impose costs on multiple actors without creating any returns. The value missed is the conversion opportunity: chemical energy and organic carbon in mixed airport waste streams have productive potential that HTL can access, but incineration destroys. Value absence is the infrastructural gap, as the certified conversion and offtake infrastructure that facilitates systematic waste-to-fuel recovery at a commercial scale does not yet exist. And finally, value surplus is the regulatory opportunity, given that SAF compliance value created by ReFuelEU mandates exceeds what the current tiny SAF market can absorb, leaving a structural excess of demand-side compliance needs over supply-side production capacity.</w:t>
      </w:r>
    </w:p>
    <w:p w:rsidR="00000000" w:rsidDel="00000000" w:rsidP="00000000" w:rsidRDefault="00000000" w:rsidRPr="00000000" w14:paraId="000000F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Ecosystem Dynamics, Coalition Formation, and Value Chain Governance</w:t>
      </w:r>
    </w:p>
    <w:p w:rsidR="00000000" w:rsidDel="00000000" w:rsidP="00000000" w:rsidRDefault="00000000" w:rsidRPr="00000000" w14:paraId="000000F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 The Multi-Actor Challenge: From Firm-Level to Ecosystem-Level Analysis</w:t>
      </w:r>
    </w:p>
    <w:p w:rsidR="00000000" w:rsidDel="00000000" w:rsidP="00000000" w:rsidRDefault="00000000" w:rsidRPr="00000000" w14:paraId="000000F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Multiple streams of the reviewed literature have found that a main component of circular business model innovation in infrastructure-intensive sectors is that it cannot be achieved by a single firm. No single firm can make a circular fuel value chain viable on its own. It takes a tailored ecosystem of actors working together. Konietzko et al. (2020) argue that circularity is a property of a system (such as a city's mobility system), rather than a property of an individual product or service. They create principles that give priority to the collective of actors rather than optimizing a single company’s business model. Directly applicable from this to ENLENS is their minimum viable circular ecosystem concept, the smallest actor configuration that can create and test circular value propositions, which can be used in the ENLENS design problem. For ENLENS, we need to know which actor combination can demonstrate the HTL pathway on a commercial scale before the full coalition comes together.</w:t>
      </w:r>
    </w:p>
    <w:p w:rsidR="00000000" w:rsidDel="00000000" w:rsidP="00000000" w:rsidRDefault="00000000" w:rsidRPr="00000000" w14:paraId="00000100">
      <w:pPr>
        <w:spacing w:after="240" w:before="240" w:line="360" w:lineRule="auto"/>
        <w:rPr>
          <w:rFonts w:ascii="Times New Roman" w:cs="Times New Roman" w:eastAsia="Times New Roman" w:hAnsi="Times New Roman"/>
          <w:sz w:val="24"/>
          <w:szCs w:val="24"/>
          <w:shd w:fill="f4cccc" w:val="clear"/>
        </w:rPr>
      </w:pPr>
      <w:r w:rsidDel="00000000" w:rsidR="00000000" w:rsidRPr="00000000">
        <w:rPr>
          <w:rFonts w:ascii="Times New Roman" w:cs="Times New Roman" w:eastAsia="Times New Roman" w:hAnsi="Times New Roman"/>
          <w:sz w:val="24"/>
          <w:szCs w:val="24"/>
          <w:rtl w:val="0"/>
        </w:rPr>
        <w:t xml:space="preserve">Hellstrom et al. (2015) found that individual business model design is insufficient for ecosystem-level value creation. They believe collaboration mechanisms that require a focal actor to  identify shared value opportunities and help with interdependencies across participants. </w:t>
      </w:r>
      <w:r w:rsidDel="00000000" w:rsidR="00000000" w:rsidRPr="00000000">
        <w:rPr>
          <w:rFonts w:ascii="Times New Roman" w:cs="Times New Roman" w:eastAsia="Times New Roman" w:hAnsi="Times New Roman"/>
          <w:sz w:val="24"/>
          <w:szCs w:val="24"/>
          <w:shd w:fill="f4cccc" w:val="clear"/>
          <w:rtl w:val="0"/>
        </w:rPr>
        <w:t xml:space="preserve">Speich and Ulli-Beer (2023) continue this but change the unity of analysis from bilateral collaboration mechanisms to the co-evolution of the value network and the resource pool. Hellstrom et al. see coordination as a task the focal actor must create, while Speich and Ulli-Beer see it as the result of collaboration between organizations and the resources they can access. For HTL, if the focal orchestrator is necessary, Hellstrom et al.'s model identifies who should be the leader. If ecosystem-level resources determine feasibility, Speic and Ulli-Beer's resource pool concept becomes the prior analytical question. For Schiphol-HTL, the resource pool would be the airport's waste streams, once they have been quantified, sorted, and quality-characterized. The HTL conversion technology and engineering knowledge , the Rotterdam-SARAS pipeline infrastructure that enables mass-balance SAF attribution, and the existing SAF certification frameworks together determine what a compliance product can look like. The value network has to be designed around how this resource pool can be deployed so that all participants can achieve commercially viable outcomes. Neither can be designed in isolation from the other.</w:t>
      </w:r>
    </w:p>
    <w:p w:rsidR="00000000" w:rsidDel="00000000" w:rsidP="00000000" w:rsidRDefault="00000000" w:rsidRPr="00000000" w14:paraId="00000101">
      <w:pPr>
        <w:spacing w:after="240" w:before="240" w:line="360" w:lineRule="auto"/>
        <w:rPr>
          <w:rFonts w:ascii="Times New Roman" w:cs="Times New Roman" w:eastAsia="Times New Roman" w:hAnsi="Times New Roman"/>
          <w:sz w:val="24"/>
          <w:szCs w:val="24"/>
          <w:shd w:fill="fff2cc" w:val="clear"/>
        </w:rPr>
      </w:pPr>
      <w:r w:rsidDel="00000000" w:rsidR="00000000" w:rsidRPr="00000000">
        <w:rPr>
          <w:rFonts w:ascii="Times New Roman" w:cs="Times New Roman" w:eastAsia="Times New Roman" w:hAnsi="Times New Roman"/>
          <w:sz w:val="24"/>
          <w:szCs w:val="24"/>
          <w:shd w:fill="fff2cc" w:val="clear"/>
          <w:rtl w:val="0"/>
        </w:rPr>
        <w:t xml:space="preserve">Brink (2022) looked at offshore wind and found that firms can align around a shared value proposition even without a central coordinator. During the preparation for a new offshore windpark, independent enterprises found a shared value proposition around the Levelized Cost of Energy (LCoE), which structured complementary innovation initiatives even without a leading firm. This model builds on Adner's (2017) "ecosystem-as-structure" which is when the value proposition defines the configuration of the ecosystem, unlike "ecosystem-as-affiliation," in which it's defined by membership in a network. For HTL the difference matters as when a common value proposition like certified circular SAF at competitive prices can coordinate actors, then a coordinator doesn't need to be chosen through formal governance. Hellstrom et al. (2015) require an identified focal firm to initiate and maintain coordination, but Brink's model suggests the shared proposition can do so instead. For waste to aviation, this is relevant, given that it is unclear who would even be the orchestrator. Schiphol is a waste generator and an interested party, airlines are mandatory buyers under ReFuelEU, and the HTL operator is a new entrant. A shared value proposition, like turning Amsterdam airport waste into certified SAF that cuts scope 3 emissions at a competitive cost, would coordinate the ecosystem that no single business model could do on its own, therefore serving as the ecosystem-level alignment mechanism.</w:t>
      </w:r>
    </w:p>
    <w:p w:rsidR="00000000" w:rsidDel="00000000" w:rsidP="00000000" w:rsidRDefault="00000000" w:rsidRPr="00000000" w14:paraId="0000010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 Coalition Formation: Triggers, Barriers, and Value Chain Co-evolution</w:t>
      </w:r>
    </w:p>
    <w:p w:rsidR="00000000" w:rsidDel="00000000" w:rsidP="00000000" w:rsidRDefault="00000000" w:rsidRPr="00000000" w14:paraId="00000103">
      <w:pPr>
        <w:spacing w:after="240" w:before="240" w:line="360" w:lineRule="auto"/>
        <w:rPr>
          <w:rFonts w:ascii="Times New Roman" w:cs="Times New Roman" w:eastAsia="Times New Roman" w:hAnsi="Times New Roman"/>
          <w:sz w:val="24"/>
          <w:szCs w:val="24"/>
          <w:shd w:fill="f4cccc" w:val="clear"/>
        </w:rPr>
      </w:pPr>
      <w:r w:rsidDel="00000000" w:rsidR="00000000" w:rsidRPr="00000000">
        <w:rPr>
          <w:rFonts w:ascii="Times New Roman" w:cs="Times New Roman" w:eastAsia="Times New Roman" w:hAnsi="Times New Roman"/>
          <w:sz w:val="24"/>
          <w:szCs w:val="24"/>
          <w:rtl w:val="0"/>
        </w:rPr>
        <w:t xml:space="preserve">Circular value chain coalitions don’t normally come together via a single coordinated design effort. Instead, it tends to be more iterative and contested. Bidmon and Knab (2018) see this as determined by institutional pressures, power asymmetries among actors, and cognitive barriers, all of which work to keep existing players in place. Velter et al. (2021) place greater emphasis. Studying a Dutch food SME over three years, they show that sustainable business model innovation tends to emerge from continuous "boundary work" between multiple stakeholders. This requires repeatedly negotiating and realigning the organizational boundaries of identity (who we are), power (our sphere of influence), competence (what we can do), and efficiency (how activities are distributed) through interaction and joint effort. Finding that power boundary reconfigurations are the most critical and resistant allows the assumption of a governance challenge with aviation. Schiphol, airlines, and conventional fuel suppliers maintain their entrenchments, and HTL operators entering this battlefield cannot circumvent and must deal with these power structures. So for an HTL operator to succeed, it would likely need to work with the existing players and show them how it can create value for them, rather than trying to replace them. </w:t>
      </w:r>
      <w:r w:rsidDel="00000000" w:rsidR="00000000" w:rsidRPr="00000000">
        <w:rPr>
          <w:rFonts w:ascii="Times New Roman" w:cs="Times New Roman" w:eastAsia="Times New Roman" w:hAnsi="Times New Roman"/>
          <w:sz w:val="24"/>
          <w:szCs w:val="24"/>
          <w:shd w:fill="f4cccc" w:val="clear"/>
          <w:rtl w:val="0"/>
        </w:rPr>
        <w:t xml:space="preserve">Wadin et al. (2017) do find that the race-to-learn risk is higher when the alliance surrounds new technology as it is quickly extractable, whereas a new business model is certainly not. For HTL, this means if Schiphol or KLM sees this as a technology alliance, the operator's core knowledge is fairly codified and extractable. If the alliance is instead focused on business model co-development, like designing infrastructure or offtake structures together, there is less incentive to defect.</w:t>
      </w:r>
    </w:p>
    <w:p w:rsidR="00000000" w:rsidDel="00000000" w:rsidP="00000000" w:rsidRDefault="00000000" w:rsidRPr="00000000" w14:paraId="0000010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Cooperation, however, isn’t a guarantee of survival, given incumbents have their own playbook for collaboration. In the field of solar energy diffusion, Wadin et al. (2017) find that large incumbents typically use race-to-learn modes. Essentially, this is extracting codified business model components while failing to absorb tacit ones, and then ultimately defecting once they have what they need. For an HTL operator partnering with Schiphol or KLM, this poses a great risk. Though the operator’s expertise in circular feedstocks, waste characterization, and certification processes may be difficult to replicate, the market access and compliance benefits generated via the partnership are more codified and can be more easily transferred. Governance structures must thus prevent opportunistic learning. A formal joint venture with shared equity or maybe a supply-and-offtake contract over a longer period with exit barriers could help here to avoid defection in the pre-commercial scaling phase. Defecting would be deadly for a young operator here.</w:t>
      </w:r>
    </w:p>
    <w:p w:rsidR="00000000" w:rsidDel="00000000" w:rsidP="00000000" w:rsidRDefault="00000000" w:rsidRPr="00000000" w14:paraId="0000010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it happens, this isn't a purely hypothetical governance puzzle. Mousavi and Bossink (2017) documented KLM’s biofuel program from 1995 to 2016. KLM used its position as an anchor offtaker in a novel fuel supply to develop a new sustainable fuel supply chain. It encouraged innovation across the system, helped shape supportive regulations, including via the Dutch Green Deal, co-founded the SkyNRG joint venture to oversee fuel supply, and created the Corporate Biofuel Program, which allowed corporate customers to cover the additional costs of sustainable fuel on a voluntary basis. For the SkyNRG pathway, for example, KLM is the anchor offtaker and Schiphol as a supply chain partner in the Holland BioPort initiative, which is perhaps the most similar example to the ENLENS case. </w:t>
      </w:r>
      <w:r w:rsidDel="00000000" w:rsidR="00000000" w:rsidRPr="00000000">
        <w:rPr>
          <w:rFonts w:ascii="Times New Roman" w:cs="Times New Roman" w:eastAsia="Times New Roman" w:hAnsi="Times New Roman"/>
          <w:sz w:val="24"/>
          <w:szCs w:val="24"/>
          <w:shd w:fill="fff2cc" w:val="clear"/>
          <w:rtl w:val="0"/>
        </w:rPr>
        <w:t xml:space="preserve">Mousavi and Bossink’s analysis of the sensing, seizing, and reconfiguration capabilities that enabled KLM to coordinate this ecosystem over two decades is both practical in terms of a roadmap and in terms of the time required. </w:t>
      </w:r>
      <w:r w:rsidDel="00000000" w:rsidR="00000000" w:rsidRPr="00000000">
        <w:rPr>
          <w:rFonts w:ascii="Times New Roman" w:cs="Times New Roman" w:eastAsia="Times New Roman" w:hAnsi="Times New Roman"/>
          <w:sz w:val="24"/>
          <w:szCs w:val="24"/>
          <w:rtl w:val="0"/>
        </w:rPr>
        <w:t xml:space="preserve">Mousavi and Bossink use </w:t>
      </w:r>
      <w:r w:rsidDel="00000000" w:rsidR="00000000" w:rsidRPr="00000000">
        <w:rPr>
          <w:rFonts w:ascii="Times New Roman" w:cs="Times New Roman" w:eastAsia="Times New Roman" w:hAnsi="Times New Roman"/>
          <w:sz w:val="24"/>
          <w:szCs w:val="24"/>
          <w:shd w:fill="f4cccc" w:val="clear"/>
          <w:rtl w:val="0"/>
        </w:rPr>
        <w:t xml:space="preserve">Teece's (2007) </w:t>
      </w:r>
      <w:r w:rsidDel="00000000" w:rsidR="00000000" w:rsidRPr="00000000">
        <w:rPr>
          <w:rFonts w:ascii="Times New Roman" w:cs="Times New Roman" w:eastAsia="Times New Roman" w:hAnsi="Times New Roman"/>
          <w:sz w:val="24"/>
          <w:szCs w:val="24"/>
          <w:rtl w:val="0"/>
        </w:rPr>
        <w:t xml:space="preserve">original three capabilities, while Faccin et al. (2025), in section 6.3, add another capability called "orchestrating" for ecosystem level circular value creation. KLM's role coordinating SkyNRG does look like it could be this fourth option.</w:t>
      </w:r>
    </w:p>
    <w:p w:rsidR="00000000" w:rsidDel="00000000" w:rsidP="00000000" w:rsidRDefault="00000000" w:rsidRPr="00000000" w14:paraId="0000010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not every ecosystem gets a KLM, which is precisely Planko et al.’s (2017) point. By applying the Technological Innovation Systems framework from an entrepreneurial perspective, the authors identify coordination as a missing function in emerging sustainability-innovation ecosystems. They further argue that fair and viable business models are a prerequisite for market formation and must be actively developed by ecosystem actors, rather than expected to emerge from regulatory incentives. This is in line with Kharbeet et al. 's (2026) empirical finding that the influence of institutional triggers, such as SAF mandates, on firm-level business model innovation is mediated by ecosystem intermediaries and gatekeepers. The triggers are translated by them into concrete value network constraints and opportunities. For ENLENS, this means it would act as a value network translation mechanism, turning regulatory pressure into a concrete, viable business model that actors in the waste-to-SAF value chain can assess and potentially adopt. Kharbeet et al.'s trigger framework did come from startup data where regulatory changes can create new opportunities and constraints. In aviation, there are established players so the ReFuelEU mandates are likely going to impact existing business, resulting in a different response.</w:t>
      </w:r>
    </w:p>
    <w:p w:rsidR="00000000" w:rsidDel="00000000" w:rsidP="00000000" w:rsidRDefault="00000000" w:rsidRPr="00000000" w14:paraId="0000010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 Value Chain Co-evolution and the Supply Chain-Business Model Interface</w:t>
      </w:r>
    </w:p>
    <w:p w:rsidR="00000000" w:rsidDel="00000000" w:rsidP="00000000" w:rsidRDefault="00000000" w:rsidRPr="00000000" w14:paraId="0000010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important issue that deserves more attention is the relationship between business model innovation and the redesign of value chains and supply chains. Research on global value chains, global production networks, and supply chain management has mostly developed in parallel with business model theory, with limited integration between them. For the circular economy context, however, business models and supply chains are closely interconnected. Business models influence which supply chain arrangements are viable by defining value capture mechanisms and how costs are allocated. At the same time, the supply chain structure determines which business model configurations are feasible by defining the assets, capabilities, and relationships available to the actor. The two must thus not be treated as separate issues.</w:t>
      </w:r>
    </w:p>
    <w:p w:rsidR="00000000" w:rsidDel="00000000" w:rsidP="00000000" w:rsidRDefault="00000000" w:rsidRPr="00000000" w14:paraId="0000010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Geissdoerfer et al. (2018a) spotlight this co-evolution requirement in their framework for circular business models and supply chain management. They don't see the closing, slowing, and intensifying material loops as optional, but rather as requiring a corresponding supply chain redesign as a necessary condition. For HTL from waste at Schiphol, this means major changes to the supply chain. Waste sorting systems must be upgraded to provide a reliable, suitable stream of feedstock. Now, logistics processes must be developed to handle wet organic waste that current airport systems aren’t designed for, and a transport route for biocrude to the upgrading facility in Rotterdam must be integrated with the existing SARAS infrastructure. These aren’t business model changes in the traditional sense, but are critical to whether the business model can actually be implemented.</w:t>
      </w:r>
    </w:p>
    <w:p w:rsidR="00000000" w:rsidDel="00000000" w:rsidP="00000000" w:rsidRDefault="00000000" w:rsidRPr="00000000" w14:paraId="0000010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requirements raise questions about which aspects of the business model require the greatest innovation effort and which are best positioned to coordinate the resulting ecosystem. Axelson et al. (2021), by applying a business model perspective to decarbonization strategies in the European steel industry, find that material efficiency strategies, which most closely resemble the circular fuel approach, require greater business model change than emissions efficiency measures, which can be integrated into existing operations. This change mainly affects the value creation and delivery system rather than the value capture mechanisms. For ENLENS, this means reconfiguring the supply chain and actor network instead of just contracts or prices. Axelson et al. use the same three component business model framework of value capture, value creation and delivery system, and value proposition, that was used earlier in this review. Richter (2013) used </w:t>
      </w:r>
      <w:r w:rsidDel="00000000" w:rsidR="00000000" w:rsidRPr="00000000">
        <w:rPr>
          <w:rFonts w:ascii="Times New Roman" w:cs="Times New Roman" w:eastAsia="Times New Roman" w:hAnsi="Times New Roman"/>
          <w:sz w:val="24"/>
          <w:szCs w:val="24"/>
          <w:shd w:fill="f4cccc" w:val="clear"/>
          <w:rtl w:val="0"/>
        </w:rPr>
        <w:t xml:space="preserve">Osterwalder and Pigneur's (2009)</w:t>
      </w:r>
      <w:r w:rsidDel="00000000" w:rsidR="00000000" w:rsidRPr="00000000">
        <w:rPr>
          <w:rFonts w:ascii="Times New Roman" w:cs="Times New Roman" w:eastAsia="Times New Roman" w:hAnsi="Times New Roman"/>
          <w:sz w:val="24"/>
          <w:szCs w:val="24"/>
          <w:rtl w:val="0"/>
        </w:rPr>
        <w:t xml:space="preserve"> four pillar canvas though, so even in energy and industrial transition research, the number and definition of "business model components" isn't uniform. Concerns such as revenue sharing and risk allocation will probably arise once a unified vision of value creation is established.  A related question concerns ecosystem leadership. Carraresi and Broring (2021), in their study of phosphate recovery from rapeseed press cakes, find that the choice of focal actor shapes the supply chain design decisions, including investment in new assets and capabilities, new cross-industry relationships, and the distribution of value across the chain. Their research shows that when coordination is managed by a dedicated intermediary rather than an incumbent seeking to transform its core business, adoption may be accelerated. For the HTL from waste at Schiphol, this is relevant to deciding whether the initiative should be led by Schiphol, an airline, or a purpose-built circular-fuel intermediary.</w:t>
      </w:r>
    </w:p>
    <w:p w:rsidR="00000000" w:rsidDel="00000000" w:rsidP="00000000" w:rsidRDefault="00000000" w:rsidRPr="00000000" w14:paraId="0000010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 Governance Frameworks for Circular Fuel Ecosystems</w:t>
      </w:r>
    </w:p>
    <w:p w:rsidR="00000000" w:rsidDel="00000000" w:rsidP="00000000" w:rsidRDefault="00000000" w:rsidRPr="00000000" w14:paraId="0000010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case studies of three Italian circular-economy pioneers, Minoja and Romano (2024) apply three governance forms: hub-and-spoke, lead role, and shared governance to circular economy. They argue that effectiveness stems from the circular economy’s level (micro, meso, or macro), the focal actor's ownership identity, and the current effectiveness of market incentives. This is incredibly relevant for the Schiphol waste-to-SAF case. The proposed ecosystem operates at the meso level, focused on an airport network rather than a single organization or regional system. SAF markets, though increasingly supported by policy, remain dependent on regulatory incentives and aren’t yet fully commercially self-sustaining. For these conditions, Minoja and Romano recommend that shared governance is likely more effective than a hub-and-spoke model. Thus, stakeholders would participate jointly in decision-making, monitoring, and conflict resolution, thereby helping align interests. Their analysis of COMIECO, the consortium that coordinated paper and cardboard recycling in Italy, is quite relevant here. Like a potential waste-to-SAF governance vehicle, COMIECO brings together multiple supply chain actors under a shared governance structure to attain collective circular economy objectives. This narrows the focal actor debate from before. Minoja and Romano's (2024) typology makes the choice conditional on CE boundary level, ownership structure, and market incentive strength.</w:t>
      </w:r>
    </w:p>
    <w:p w:rsidR="00000000" w:rsidDel="00000000" w:rsidP="00000000" w:rsidRDefault="00000000" w:rsidRPr="00000000" w14:paraId="0000010D">
      <w:pPr>
        <w:spacing w:after="240" w:before="240" w:line="360" w:lineRule="auto"/>
        <w:rPr>
          <w:rFonts w:ascii="Times New Roman" w:cs="Times New Roman" w:eastAsia="Times New Roman" w:hAnsi="Times New Roman"/>
          <w:sz w:val="24"/>
          <w:szCs w:val="24"/>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Dimension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Hub-and-spoke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Lead 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decides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Focal firm's managers, by claimed authority</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Focal firm's managers, mandated by stakeholders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stakeholders, relatively equal say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Managers control, graduated sanctions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Managers control, stakeholders to lesser extent</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stakeholders monitor and sanction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Conflict resolution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Manager chooses from a wide range of modes</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Leader acts as arbiter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Cooperative mode only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Managers formal 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Benevolent patriarch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Steward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among many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Trust basis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Interpersonal trust in firm and manager</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Trust in governance system and managers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Trust in the governance system itself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effective when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Micro-level CE, private ownership, market incentives work</w:t>
              <w:tab/>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Macro-level CE, public ownership</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Meso-level CE, non-profit ownership, weak market incentives</w:t>
            </w:r>
          </w:p>
        </w:tc>
      </w:tr>
    </w:tbl>
    <w:p w:rsidR="00000000" w:rsidDel="00000000" w:rsidP="00000000" w:rsidRDefault="00000000" w:rsidRPr="00000000" w14:paraId="0000012A">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equally important question is what this governance structure must actually deliver. In a related heavy-industry setting, Di Vaio et al. (2026) developed the IE-BMI framework by examining carbon-insetting practices in the European port ecosystem, focusing on how governance, digital infrastructure, and environmental claim credibility interact in ecosystem-level business model innovation, paralleling the way Axelson et al. (2021) traced differentiated business model change across the European steel industry above. They find that higher-readiness ports disclose more explicit governance mechanisms, such as data-sharing clauses, sustainability provisions in tenant contracts, and joint investment programs. This matters for the ENLENS case. Their concept of claimability as a governance standard is particularly important here. In the Di Vaio et al. framework, claimability requires four specific conditions: clearly defined value chain boundaries, demonstrable additionality relative to a counterfactual baseline, explicit attribution principles specifying who can claim which reductions, and a robust MRV architecture. SAF under ReFuelEU requires certified lifecycle emissions calculations and chain-of-custody documentation. These do not yet exist at a commercial scale for HTL from mixed airport waste. The creation of the data, monitoring, and verification infrastructure to support the credibility of claims cannot be seen solely as a technical compliance task. It is a key part of the governance that makes the circular business model work.</w:t>
      </w:r>
    </w:p>
    <w:p w:rsidR="00000000" w:rsidDel="00000000" w:rsidP="00000000" w:rsidRDefault="00000000" w:rsidRPr="00000000" w14:paraId="0000012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Financial Viability, Risk Allocation, and the Design-Implementation Gap</w:t>
      </w:r>
    </w:p>
    <w:p w:rsidR="00000000" w:rsidDel="00000000" w:rsidP="00000000" w:rsidRDefault="00000000" w:rsidRPr="00000000" w14:paraId="0000012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6.1 The Financial Viability Problem in Circular Business Model Transitions</w:t>
      </w:r>
    </w:p>
    <w:p w:rsidR="00000000" w:rsidDel="00000000" w:rsidP="00000000" w:rsidRDefault="00000000" w:rsidRPr="00000000" w14:paraId="0000012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most persistent gap in the circular business model literature is also the most relevant for ENLENS. In a systematic review of financial performance assessments in circular business model transitions, Kanzari et al. (2022) show that financial evaluation is weakest in the early design and investment phases, when decisions are most important. Existing evaluation instruments, anchored in short-horizon accounting metrics, are structurally not aligned with circular business model time structures, in which value accumulates across several product lifecycles, policy-dependent revenue streams rise and fall with regulatory risk, and considerable upfront investments are preceded by uncertain, but potentially substantial, future returns. This creates trouble for HTL from waste. The conversion technology requires capital-intensive infrastructure. Furthermore, waste stream quality is heterogeneous, SAF prices depend on evolving policy, and there is no market example for the distribution of revenue among waste suppliers, technology operators, fuel certifiers, and aviation offtakers. Not captured in existing circular business model financial assessments is the cost of certification infrastructure itself. Under Commission Implementing Regulation (EU) 2022/996 (European Commission, 2022), independent third-party audits must be funded every year independently and actual greenhouse gas value approvals require accredited laboratory verification under Article 14. This is an ongoing operational expense that scales in complexity with the supply chain. For a new pathway like HTL, compared to those like HEFA where there is more experience and economies of scale, this is a cost disadvantage. The certification cost burden must thus properly be allocated across coalition members.</w:t>
      </w:r>
    </w:p>
    <w:p w:rsidR="00000000" w:rsidDel="00000000" w:rsidP="00000000" w:rsidRDefault="00000000" w:rsidRPr="00000000" w14:paraId="0000012F">
      <w:pPr>
        <w:spacing w:after="240" w:before="240" w:line="360" w:lineRule="auto"/>
        <w:rPr>
          <w:rFonts w:ascii="Times New Roman" w:cs="Times New Roman" w:eastAsia="Times New Roman" w:hAnsi="Times New Roman"/>
          <w:sz w:val="24"/>
          <w:szCs w:val="24"/>
          <w:shd w:fill="fff2cc" w:val="clear"/>
        </w:rPr>
      </w:pPr>
      <w:r w:rsidDel="00000000" w:rsidR="00000000" w:rsidRPr="00000000">
        <w:rPr>
          <w:rFonts w:ascii="Times New Roman" w:cs="Times New Roman" w:eastAsia="Times New Roman" w:hAnsi="Times New Roman"/>
          <w:sz w:val="24"/>
          <w:szCs w:val="24"/>
          <w:shd w:fill="fff2cc" w:val="clear"/>
          <w:rtl w:val="0"/>
        </w:rPr>
        <w:t xml:space="preserve">Thus, the question arises of how circular business models should be evaluated when substantial portions of the value they create fall outside conventional accounting boundaries. Expanding the scope of evaluation seems to alter the economic case. Azcarate-Aguerre et al. (2022), in a building energy retrofit context, show that product-service system business models exceed conventional procurement models on a regular basis when externalities are included in the evaluation. For example, avoiding carbon and disposal costs, residual material value, and productivity co-benefits adjust the comparative economics. Specifically, their Total Value of Ownership methodology is of interest for the ENLENS case. Azcarate-Aguerre et al.'s TVO method quantifies value capture via Net Present Value with shadow-pricing of externalities like carbon and productivity loss, making it a more concrete financial measure of value capture than the narrative approach of Geissdoerfer et al. (2018a). The economics of waste-to-SAF suddenly look much better when you consider all of the benefits created, not just the cost of producing fuel. For example, there would be lower waste-disposal costs for Schiphol, the carbon value of lifecycle emission reductions at the EU ETS carbon price, the ReFuelEU compliance premium for fuel suppliers, the FEETS free allowance benefit for airlines, and the SDL capital support program for conversion technology. Comparing SAF and fossil kerosene is limited to per-tonne fuel costs. These benefits are spread across organizations, creating a bit of a problem; this can be resolved by ensuring everyone receives enough value so it makes sense for them to take part. Another aspect missed by normal per-tonne fuel costs miss the cost of capital advantage for taxonomy aligned projects. Under the EU Taxonomy Regulation (European Parliament &amp; Council of the European Union, 2020, Art. 10(1)(h)), producing clean fuels from renewable or carbon neutral sources is listed as a substantial contribution to climate change mitigation. HTL derived SAF from airport waste that meets the required greenhouse gas savings threshold and the "do no significant harm" test under Article 17, would then be a taxonomy-aligned activity. For ENLENS, Article 8(2) requires large companies like KLM or Schiphol to disclose the proportion of their capital and operating expenditure in taxonomy aligned activities. This creates pressure on actors to increase their exposure, strengthening the long-term off take commitments and thus helping with bankability described by Overholm, 2017. This pressure now applies unevenly across the coalition. With the Omnibus Directive (EU) 2026/470, though a pre-commercial HTL operator would likely fall below the new thresholds and thus have no Taxonomy disclosure obligations, Nevertheless, voluntary reporting under the new standard may help argue that a new HTL operator is aligned with Taxonomy when looking for green or ESG-linked financing subject to Article 8(2) reporting requirements (Directive (EU) 2026/470, 2026). This leaves open the question of how that value can be captured and distributed in a way that sustains long-term participation. Ritala et al. (2021) argue that a fundamental challenge rests in how that value is distributed: given the joint nature of value creation across economic, social, and environmental domains, the majority of financial benefits tend to be captured by economic actors rather than social and environmental systems. For waste-to-SAF, both the atmosphere and the waste management system benefit from lower emissions. These reductions don’t generate income, however. Instead, they only become financially material when regulatory mechanisms such as carbon pricing and renewable fuel certifications convert environmental benefits into financial ones. The ReFuelEU and EU ETS are such instruments that can correct these asymmetries by converting these environmental common goods into financial signals. Using empirical analysis, Leisen et al. (2019) show that revenue streams built entirely on regulatory instruments, however, tend to be fragile compared to streams of revenue from real market demand. This is an important consideration for the sustained viability of waste-to-SAF as a business model. It will need to develop real market demand for certified circular SAF beyond just that created by the mandate. The Klimaatplan 2025-2035 affirms this demand floor at the Dutch level with the mission of a return to 2005 emissions levels by 2030 and a 50% cut relative to 2005 by 2050, and net zero by 2070. These are explicitly in sector measures not offsetting, so SAF at Schiphol can't be substituted with carbon credits elsewhere in the Netherlands. The Klimaatfonds is also committed in this plan which will offer funds for novel SAF production (Ministerie van Klimaat en Groene Groei, 2025).</w:t>
      </w:r>
    </w:p>
    <w:p w:rsidR="00000000" w:rsidDel="00000000" w:rsidP="00000000" w:rsidRDefault="00000000" w:rsidRPr="00000000" w14:paraId="0000013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6.2 Risk Allocation across the Supply Chain</w:t>
      </w:r>
    </w:p>
    <w:p w:rsidR="00000000" w:rsidDel="00000000" w:rsidP="00000000" w:rsidRDefault="00000000" w:rsidRPr="00000000" w14:paraId="00000131">
      <w:pPr>
        <w:spacing w:after="240" w:before="240" w:line="360" w:lineRule="auto"/>
        <w:rPr>
          <w:rFonts w:ascii="Times New Roman" w:cs="Times New Roman" w:eastAsia="Times New Roman" w:hAnsi="Times New Roman"/>
          <w:sz w:val="24"/>
          <w:szCs w:val="24"/>
          <w:shd w:fill="f4cccc" w:val="clear"/>
        </w:rPr>
      </w:pPr>
      <w:r w:rsidDel="00000000" w:rsidR="00000000" w:rsidRPr="00000000">
        <w:rPr>
          <w:rFonts w:ascii="Times New Roman" w:cs="Times New Roman" w:eastAsia="Times New Roman" w:hAnsi="Times New Roman"/>
          <w:sz w:val="24"/>
          <w:szCs w:val="24"/>
          <w:rtl w:val="0"/>
        </w:rPr>
        <w:t xml:space="preserve">Sustainable circular business models need explicit, designed mechanisms for distributing risk and value across participating actors, which is identified throughout the coalition formation literature. The absence is exactly what drives the gap between design and implementation. Boons and Ludeke-Freund (2013) see fair distribution of costs and benefits amongst stakeholders as a normative requirement for any sustainable business model. </w:t>
      </w:r>
      <w:r w:rsidDel="00000000" w:rsidR="00000000" w:rsidRPr="00000000">
        <w:rPr>
          <w:rFonts w:ascii="Times New Roman" w:cs="Times New Roman" w:eastAsia="Times New Roman" w:hAnsi="Times New Roman"/>
          <w:sz w:val="24"/>
          <w:szCs w:val="24"/>
          <w:shd w:fill="f4cccc" w:val="clear"/>
          <w:rtl w:val="0"/>
        </w:rPr>
        <w:t xml:space="preserve">The consequences of failing to do so are shown by Karanki and Yu (2026). If there is no pre-designed redistribution, weaker participants will be hurt more as SAF costs increase unevenly across airline business models, likely undermining the coalition’s stability.</w:t>
      </w:r>
    </w:p>
    <w:p w:rsidR="00000000" w:rsidDel="00000000" w:rsidP="00000000" w:rsidRDefault="00000000" w:rsidRPr="00000000" w14:paraId="0000013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asymmetric cost burden documented by Karanki and Yu (2026) shows why circular business model design can’t assume that participation will be individually rational for every actor. Airlines bear these costs as the first actors in the value chain, but can’t fully recover them via repricing without risking passenger losses. This explains why circular business model design should not treat each actor’s participation as individually rational without looking at the distribution of value. This is addressed by Hellstrom et al. (2015) through their concept of collaboration mechanisms, showing that long-term, fixed-price contracts are highly valuable because they redistribute timing risk. Revenue and demand uncertainty are removed via committing to a given price. The initial coordination investment required to establish such a contract is shared by the buyer and seller. For HTL from waste, this means long-term SAF offtake agreements between an airline and an HTL operator would address such uncertainty. KLM could be such an anchor airline, given its SkyNRG precedent, and the HTL operator could be supported by an SDL capital investment that reduces the operator’s upfront financing burden.</w:t>
      </w:r>
    </w:p>
    <w:p w:rsidR="00000000" w:rsidDel="00000000" w:rsidP="00000000" w:rsidRDefault="00000000" w:rsidRPr="00000000" w14:paraId="0000013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ff2cc" w:val="clear"/>
          <w:rtl w:val="0"/>
        </w:rPr>
        <w:t xml:space="preserve">Risk redistribution alone is insufficient. Coalition formation ultimately depends on the bankability of such ventures. Overholm (2017) finds that bankability is the de facto standard that must be met before other alliance-formation challenges can be addressed in his study of intermediary PSS ventures in the U.S. solar service industry. </w:t>
      </w:r>
      <w:r w:rsidDel="00000000" w:rsidR="00000000" w:rsidRPr="00000000">
        <w:rPr>
          <w:rFonts w:ascii="Times New Roman" w:cs="Times New Roman" w:eastAsia="Times New Roman" w:hAnsi="Times New Roman"/>
          <w:sz w:val="24"/>
          <w:szCs w:val="24"/>
          <w:rtl w:val="0"/>
        </w:rPr>
        <w:t xml:space="preserve">Financing and insuring physical assets through outside capital providers determines hardware selection, installation standardization, and quality assurance. The ability of HTL to attract project finance for a commercial-scale facility and, thus, the bankability of the conversion technology, depends on displaying consistent feedstock quality, proven conversion yields, and certified offtake commitments. This is different from Overholm's (2017) study though, as in solar PV third-party ownership, customer alliance formation was easy as everyone understood the value proposition and didn't need much development before joining. The big issue there was financial partner alliance formation. For HTL from waste, it's the other way around as offtakers are the hardest alliance to build while financial partners will be more accessible once there is credible offtake. Thus for waste-to-SAF, alliance building should consider beginning with finding offtaker commitments before then looking for financial partners. These are themselves preconditions for the waste supply and offtake agreements that establish bankability. Another chicken-and-egg problem emerges here for pre-commercial technologies in regulated markets. Public co-investment policies, such as the EU Innovation Fund’s contracts-for-difference mechanism and expanded into a formal Carbon Contracts for Difference (CCD) instrument by the European Parliament &amp; Council of the European Union (2023c, Art. 1(13)) and the Dutch SDL program can help overcome this. CCD promises fixed strike prices for producers to cover the gap between production costs and the prevailing carbon price. This is the type of revenue certainty outlined in the literature. Overholm (2017) saw this as the prerequisite for financial partner alliance formation in the solar service context. In that case, the revenue certainty came from private contracts instead of public instruments, like in this case though.</w:t>
      </w:r>
    </w:p>
    <w:p w:rsidR="00000000" w:rsidDel="00000000" w:rsidP="00000000" w:rsidRDefault="00000000" w:rsidRPr="00000000" w14:paraId="0000013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5943600" cy="4597400"/>
                <wp:effectExtent b="0" l="0" r="0" t="0"/>
                <wp:docPr id="2" name=""/>
                <a:graphic>
                  <a:graphicData uri="http://schemas.microsoft.com/office/word/2010/wordprocessingGroup">
                    <wpg:wgp>
                      <wpg:cNvGrpSpPr/>
                      <wpg:grpSpPr>
                        <a:xfrm>
                          <a:off x="2373400" y="1480500"/>
                          <a:ext cx="5943600" cy="4597400"/>
                          <a:chOff x="2373400" y="1480500"/>
                          <a:chExt cx="5945200" cy="4598225"/>
                        </a:xfrm>
                      </wpg:grpSpPr>
                      <wpg:grpSp>
                        <wpg:cNvGrpSpPr/>
                        <wpg:grpSpPr>
                          <a:xfrm>
                            <a:off x="2374200" y="1481300"/>
                            <a:ext cx="5943600" cy="4597400"/>
                            <a:chOff x="247375" y="147775"/>
                            <a:chExt cx="7125250" cy="5512850"/>
                          </a:xfrm>
                        </wpg:grpSpPr>
                        <wps:wsp>
                          <wps:cNvSpPr/>
                          <wps:cNvPr id="3" name="Shape 3"/>
                          <wps:spPr>
                            <a:xfrm>
                              <a:off x="247375" y="147775"/>
                              <a:ext cx="7125250" cy="5512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 name="Shape 12"/>
                          <wps:spPr>
                            <a:xfrm>
                              <a:off x="2739000" y="2020050"/>
                              <a:ext cx="2142000" cy="1045500"/>
                            </a:xfrm>
                            <a:prstGeom prst="rect">
                              <a:avLst/>
                            </a:prstGeom>
                            <a:solidFill>
                              <a:srgbClr val="B6D7A8"/>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HTL (operator intermediary venture)</w:t>
                                </w:r>
                              </w:p>
                            </w:txbxContent>
                          </wps:txbx>
                          <wps:bodyPr anchorCtr="0" anchor="ctr" bIns="91425" lIns="91425" spcFirstLastPara="1" rIns="91425" wrap="square" tIns="91425">
                            <a:noAutofit/>
                          </wps:bodyPr>
                        </wps:wsp>
                        <wps:wsp>
                          <wps:cNvSpPr/>
                          <wps:cNvPr id="13" name="Shape 13"/>
                          <wps:spPr>
                            <a:xfrm>
                              <a:off x="252150" y="558450"/>
                              <a:ext cx="2142000" cy="10455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Insurers (feedstock and asset risk)</w:t>
                                </w:r>
                              </w:p>
                            </w:txbxContent>
                          </wps:txbx>
                          <wps:bodyPr anchorCtr="0" anchor="ctr" bIns="91425" lIns="91425" spcFirstLastPara="1" rIns="91425" wrap="square" tIns="91425">
                            <a:noAutofit/>
                          </wps:bodyPr>
                        </wps:wsp>
                        <wps:wsp>
                          <wps:cNvSpPr/>
                          <wps:cNvPr id="14" name="Shape 14"/>
                          <wps:spPr>
                            <a:xfrm>
                              <a:off x="2739000" y="152550"/>
                              <a:ext cx="2142000" cy="10455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Financial partners (SDL, CfD, project debt)</w:t>
                                </w:r>
                              </w:p>
                            </w:txbxContent>
                          </wps:txbx>
                          <wps:bodyPr anchorCtr="0" anchor="ctr" bIns="91425" lIns="91425" spcFirstLastPara="1" rIns="91425" wrap="square" tIns="91425">
                            <a:noAutofit/>
                          </wps:bodyPr>
                        </wps:wsp>
                        <wps:wsp>
                          <wps:cNvSpPr/>
                          <wps:cNvPr id="15" name="Shape 15"/>
                          <wps:spPr>
                            <a:xfrm>
                              <a:off x="5225850" y="457225"/>
                              <a:ext cx="2142000" cy="10455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Financial partners (SDL, CfD, project debt)</w:t>
                                </w:r>
                              </w:p>
                            </w:txbxContent>
                          </wps:txbx>
                          <wps:bodyPr anchorCtr="0" anchor="ctr" bIns="91425" lIns="91425" spcFirstLastPara="1" rIns="91425" wrap="square" tIns="91425">
                            <a:noAutofit/>
                          </wps:bodyPr>
                        </wps:wsp>
                        <wps:wsp>
                          <wps:cNvSpPr/>
                          <wps:cNvPr id="16" name="Shape 16"/>
                          <wps:spPr>
                            <a:xfrm rot="10800000">
                              <a:off x="5225850" y="3441625"/>
                              <a:ext cx="2142000" cy="1045500"/>
                            </a:xfrm>
                            <a:prstGeom prst="rect">
                              <a:avLst/>
                            </a:prstGeom>
                            <a:solidFill>
                              <a:srgbClr val="CCCCCC"/>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[Non-commercial] (CMP, NVWA, Schiphol)</w:t>
                                </w:r>
                              </w:p>
                            </w:txbxContent>
                          </wps:txbx>
                          <wps:bodyPr anchorCtr="0" anchor="ctr" bIns="91425" lIns="91425" spcFirstLastPara="1" rIns="91425" wrap="square" tIns="91425">
                            <a:noAutofit/>
                          </wps:bodyPr>
                        </wps:wsp>
                        <wps:wsp>
                          <wps:cNvSpPr/>
                          <wps:cNvPr id="17" name="Shape 17"/>
                          <wps:spPr>
                            <a:xfrm rot="10800000">
                              <a:off x="2739000" y="3847525"/>
                              <a:ext cx="2142000" cy="1045500"/>
                            </a:xfrm>
                            <a:prstGeom prst="rect">
                              <a:avLst/>
                            </a:prstGeom>
                            <a:solidFill>
                              <a:srgbClr val="CCCCCC"/>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[Manufacturer] (HTL reactor supplier)</w:t>
                                </w:r>
                              </w:p>
                            </w:txbxContent>
                          </wps:txbx>
                          <wps:bodyPr anchorCtr="0" anchor="ctr" bIns="91425" lIns="91425" spcFirstLastPara="1" rIns="91425" wrap="square" tIns="91425">
                            <a:noAutofit/>
                          </wps:bodyPr>
                        </wps:wsp>
                        <wps:wsp>
                          <wps:cNvSpPr/>
                          <wps:cNvPr id="18" name="Shape 18"/>
                          <wps:spPr>
                            <a:xfrm rot="10800000">
                              <a:off x="252150" y="3542850"/>
                              <a:ext cx="2142000" cy="1045500"/>
                            </a:xfrm>
                            <a:prstGeom prst="rect">
                              <a:avLst/>
                            </a:prstGeom>
                            <a:solidFill>
                              <a:srgbClr val="CCCCCC"/>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[Installation partners]( biocrude logistics, build)</w:t>
                                </w:r>
                              </w:p>
                            </w:txbxContent>
                          </wps:txbx>
                          <wps:bodyPr anchorCtr="0" anchor="ctr" bIns="91425" lIns="91425" spcFirstLastPara="1" rIns="91425" wrap="square" tIns="91425">
                            <a:noAutofit/>
                          </wps:bodyPr>
                        </wps:wsp>
                        <wps:wsp>
                          <wps:cNvSpPr/>
                          <wps:cNvPr id="19" name="Shape 19"/>
                          <wps:spPr>
                            <a:xfrm>
                              <a:off x="252150" y="5045025"/>
                              <a:ext cx="5847000" cy="615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Solid = required before value creation; bracketed = conditional, less critical</w:t>
                                </w:r>
                              </w:p>
                            </w:txbxContent>
                          </wps:txbx>
                          <wps:bodyPr anchorCtr="0" anchor="t" bIns="91425" lIns="91425" spcFirstLastPara="1" rIns="91425" wrap="square" tIns="91425">
                            <a:noAutofit/>
                          </wps:bodyPr>
                        </wps:wsp>
                        <wps:wsp>
                          <wps:cNvCnPr/>
                          <wps:spPr>
                            <a:xfrm>
                              <a:off x="3810000" y="1198050"/>
                              <a:ext cx="0" cy="822000"/>
                            </a:xfrm>
                            <a:prstGeom prst="straightConnector1">
                              <a:avLst/>
                            </a:prstGeom>
                            <a:noFill/>
                            <a:ln cap="flat" cmpd="sng" w="9525">
                              <a:solidFill>
                                <a:srgbClr val="000000"/>
                              </a:solidFill>
                              <a:prstDash val="solid"/>
                              <a:round/>
                              <a:headEnd len="sm" w="sm" type="none"/>
                              <a:tailEnd len="med" w="med" type="triangle"/>
                            </a:ln>
                          </wps:spPr>
                          <wps:bodyPr anchorCtr="0" anchor="ctr" bIns="91425" lIns="91425" spcFirstLastPara="1" rIns="91425" wrap="square" tIns="91425">
                            <a:noAutofit/>
                          </wps:bodyPr>
                        </wps:wsp>
                        <wps:wsp>
                          <wps:cNvCnPr/>
                          <wps:spPr>
                            <a:xfrm flipH="1">
                              <a:off x="3810150" y="1502725"/>
                              <a:ext cx="2486700" cy="517200"/>
                            </a:xfrm>
                            <a:prstGeom prst="straightConnector1">
                              <a:avLst/>
                            </a:prstGeom>
                            <a:noFill/>
                            <a:ln cap="flat" cmpd="sng" w="9525">
                              <a:solidFill>
                                <a:srgbClr val="000000"/>
                              </a:solidFill>
                              <a:prstDash val="solid"/>
                              <a:round/>
                              <a:headEnd len="sm" w="sm" type="none"/>
                              <a:tailEnd len="med" w="med" type="triangle"/>
                            </a:ln>
                          </wps:spPr>
                          <wps:bodyPr anchorCtr="0" anchor="ctr" bIns="91425" lIns="91425" spcFirstLastPara="1" rIns="91425" wrap="square" tIns="91425">
                            <a:noAutofit/>
                          </wps:bodyPr>
                        </wps:wsp>
                        <wps:wsp>
                          <wps:cNvCnPr/>
                          <wps:spPr>
                            <a:xfrm>
                              <a:off x="1323150" y="1603950"/>
                              <a:ext cx="2487000" cy="416100"/>
                            </a:xfrm>
                            <a:prstGeom prst="straightConnector1">
                              <a:avLst/>
                            </a:prstGeom>
                            <a:noFill/>
                            <a:ln cap="flat" cmpd="sng" w="9525">
                              <a:solidFill>
                                <a:srgbClr val="000000"/>
                              </a:solidFill>
                              <a:prstDash val="solid"/>
                              <a:round/>
                              <a:headEnd len="sm" w="sm" type="none"/>
                              <a:tailEnd len="med" w="med" type="triangle"/>
                            </a:ln>
                          </wps:spPr>
                          <wps:bodyPr anchorCtr="0" anchor="ctr" bIns="91425" lIns="91425" spcFirstLastPara="1" rIns="91425" wrap="square" tIns="91425">
                            <a:noAutofit/>
                          </wps:bodyPr>
                        </wps:wsp>
                        <wps:wsp>
                          <wps:cNvCnPr/>
                          <wps:spPr>
                            <a:xfrm flipH="1" rot="10800000">
                              <a:off x="1323150" y="3065550"/>
                              <a:ext cx="2487000" cy="477300"/>
                            </a:xfrm>
                            <a:prstGeom prst="straightConnector1">
                              <a:avLst/>
                            </a:prstGeom>
                            <a:noFill/>
                            <a:ln cap="flat" cmpd="sng" w="9525">
                              <a:solidFill>
                                <a:srgbClr val="000000"/>
                              </a:solidFill>
                              <a:prstDash val="dot"/>
                              <a:round/>
                              <a:headEnd len="sm" w="sm" type="none"/>
                              <a:tailEnd len="med" w="med" type="triangle"/>
                            </a:ln>
                          </wps:spPr>
                          <wps:bodyPr anchorCtr="0" anchor="ctr" bIns="91425" lIns="91425" spcFirstLastPara="1" rIns="91425" wrap="square" tIns="91425">
                            <a:noAutofit/>
                          </wps:bodyPr>
                        </wps:wsp>
                        <wps:wsp>
                          <wps:cNvCnPr/>
                          <wps:spPr>
                            <a:xfrm rot="10800000">
                              <a:off x="3810000" y="3065425"/>
                              <a:ext cx="0" cy="782100"/>
                            </a:xfrm>
                            <a:prstGeom prst="straightConnector1">
                              <a:avLst/>
                            </a:prstGeom>
                            <a:noFill/>
                            <a:ln cap="flat" cmpd="sng" w="9525">
                              <a:solidFill>
                                <a:srgbClr val="000000"/>
                              </a:solidFill>
                              <a:prstDash val="dot"/>
                              <a:round/>
                              <a:headEnd len="sm" w="sm" type="none"/>
                              <a:tailEnd len="med" w="med" type="triangle"/>
                            </a:ln>
                          </wps:spPr>
                          <wps:bodyPr anchorCtr="0" anchor="ctr" bIns="91425" lIns="91425" spcFirstLastPara="1" rIns="91425" wrap="square" tIns="91425">
                            <a:noAutofit/>
                          </wps:bodyPr>
                        </wps:wsp>
                        <wps:wsp>
                          <wps:cNvCnPr/>
                          <wps:spPr>
                            <a:xfrm rot="10800000">
                              <a:off x="3810150" y="3065425"/>
                              <a:ext cx="2486700" cy="376200"/>
                            </a:xfrm>
                            <a:prstGeom prst="straightConnector1">
                              <a:avLst/>
                            </a:prstGeom>
                            <a:noFill/>
                            <a:ln cap="flat" cmpd="sng" w="9525">
                              <a:solidFill>
                                <a:srgbClr val="000000"/>
                              </a:solidFill>
                              <a:prstDash val="dot"/>
                              <a:round/>
                              <a:headEnd len="sm" w="sm" type="none"/>
                              <a:tailEnd len="med" w="med" type="triangle"/>
                            </a:ln>
                          </wps:spPr>
                          <wps:bodyPr anchorCtr="0" anchor="ctr" bIns="91425" lIns="91425" spcFirstLastPara="1" rIns="91425" wrap="square" tIns="91425">
                            <a:noAutofit/>
                          </wps:bodyPr>
                        </wps:wsp>
                      </wpg:grpSp>
                    </wpg:wgp>
                  </a:graphicData>
                </a:graphic>
              </wp:inline>
            </w:drawing>
          </mc:Choice>
          <mc:Fallback>
            <w:drawing>
              <wp:inline distB="114300" distT="114300" distL="114300" distR="114300">
                <wp:extent cx="5943600" cy="4597400"/>
                <wp:effectExtent b="0" l="0" r="0" t="0"/>
                <wp:docPr id="2" name="image2.png"/>
                <a:graphic>
                  <a:graphicData uri="http://schemas.openxmlformats.org/drawingml/2006/picture">
                    <pic:pic>
                      <pic:nvPicPr>
                        <pic:cNvPr id="0" name="image2.png"/>
                        <pic:cNvPicPr preferRelativeResize="0"/>
                      </pic:nvPicPr>
                      <pic:blipFill>
                        <a:blip r:embed="rId9"/>
                        <a:srcRect/>
                        <a:stretch>
                          <a:fillRect/>
                        </a:stretch>
                      </pic:blipFill>
                      <pic:spPr>
                        <a:xfrm>
                          <a:off x="0" y="0"/>
                          <a:ext cx="5943600" cy="45974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3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6.3 The Design-Implementation Gap and Organizational Readiness</w:t>
      </w:r>
    </w:p>
    <w:p w:rsidR="00000000" w:rsidDel="00000000" w:rsidP="00000000" w:rsidRDefault="00000000" w:rsidRPr="00000000" w14:paraId="0000013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Geissdoerfer et al. (2018b) identify this previously mentioned design implementation gap as the central unresolved practical issue for sustainable business model innovation. They see it as an array of challenges that prevent organizations from successfully implementing business model innovations, even when the designs are technically promising. For the ENLENS waste-to-SAF pathway, the gap doesn’t lie within any single firm. Rather, it’s at the ecosystem level that institutional, supply chain, and financial conditions for implementing the circular business model must be developed together. No single actor's readiness is sufficient on its own.</w:t>
      </w:r>
    </w:p>
    <w:p w:rsidR="00000000" w:rsidDel="00000000" w:rsidP="00000000" w:rsidRDefault="00000000" w:rsidRPr="00000000" w14:paraId="0000013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proceed, we need to examine how organizations and their partners can build the capacity to move from promising design to coordinated, large-scale implementation. Faccin et al. (2025), in a longitudinal process study of a Brazilian petrochemical company’s transformation of its circular business model, identify four dynamic capabilities required at successive phases to achieve it. First is sensing, which is identifying circular economy opportunities. Second is seizing, which is the mobilization of resources to act on said opportunities. Third is transformation, which involves restructuring organizational capabilities to support the new model. Fourth is orchestrating, which involves mobilizing external resources from partners, suppliers, customers, and other ecosystem actors to collaboratively create value. The orchestrating capability emerges during the consolidation phase, when supply chain alignment can become a source of competitive differentiation rather than just an operational requirement, they say. For the HTL pathway, the early phases thence require sensing and seizing capabilities internal to the UvA-Schipol pilot. Commercial-scale operations require orchestrating capabilities across the entire waste-to-SAF value chain. Internal organizational conditions also need to support this transition. Coffay and Bocken (2023) call the gap between top management's sustainability commitments and the day-to-day culture on the ground the culture gap. They see this barrier to implementing a sustainable business model as underanalyzed. They use a three level organizational design framework going from cultural, strategic, to operational, with each level having to be supportive for SBMI to succeed. This is different from the design-implementation gap in Geissdoerfer et al. (2018b), which is mostly at firm level and a tooling deficit. The mentioned culture gap remains even when the design tools are in place. Both gaps are relevant for HTL from waste, though at different levels. Geissdoerfer et al.'s gap is about missing certification and contracting infrastructure across the coalition. The culture gap is in organizations like Schiphol and KLM, where sustainability teams have less urgency from procurement and operations departments. Such a gap is also relevant for airlines and airports, which have committed to ambitious net-zero targets, while their procurement, investment, and operations functions remain focused on cost minimization, which systematically disadvantages novel sustainable pathways. The ENLENS case study will explore whether a cultural gap exists among Dutch aviation stakeholders regarding the waste-to-SAF initiative. Furthermore, examining governance mechanisms such as sustainability-linked contracts or shared ownership in the conversion project helps turn these ambitions into concrete actions.​</w:t>
      </w:r>
    </w:p>
    <w:p w:rsidR="00000000" w:rsidDel="00000000" w:rsidP="00000000" w:rsidRDefault="00000000" w:rsidRPr="00000000" w14:paraId="0000013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Synthesis: Gaps, Contributions, and Analytical Framework</w:t>
      </w:r>
    </w:p>
    <w:p w:rsidR="00000000" w:rsidDel="00000000" w:rsidP="00000000" w:rsidRDefault="00000000" w:rsidRPr="00000000" w14:paraId="0000013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7.1 What the Literature Has and Has Not Addressed</w:t>
      </w:r>
    </w:p>
    <w:p w:rsidR="00000000" w:rsidDel="00000000" w:rsidP="00000000" w:rsidRDefault="00000000" w:rsidRPr="00000000" w14:paraId="0000013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ff2cc" w:val="clear"/>
          <w:rtl w:val="0"/>
        </w:rPr>
        <w:t xml:space="preserve">The reviewed literature creates substantial shoulders for the ENLENS research to stand on. </w:t>
      </w:r>
      <w:r w:rsidDel="00000000" w:rsidR="00000000" w:rsidRPr="00000000">
        <w:rPr>
          <w:rFonts w:ascii="Times New Roman" w:cs="Times New Roman" w:eastAsia="Times New Roman" w:hAnsi="Times New Roman"/>
          <w:sz w:val="24"/>
          <w:szCs w:val="24"/>
          <w:rtl w:val="0"/>
        </w:rPr>
        <w:t xml:space="preserve">Sustainable business model innovation literature has clarified that circular business model transformation in regulated, capital-intensive sectors requires architectural, not modular change (Foss &amp; Saebi, 2017), that the design-implementation gap is systematic, not incidental (Geissdoerfer et al., 2018b), and that circular business models are a subcategory of sustainable business models (Geissdoerfer et al., 2020), though closing material loops does not by itself guarantee social or absolute environmental benefit (Hofmann, 2019). The energy literature makes clear that policy directives alone do not create business model innovation (Bryant et al., 2019), that multi-actor investment coordination problems can only be solved via a collaboration mechanism (Hellstrom et al., 2015), and that the primary explanation for the persistence of the design-implementation gap comes from incumbent cognitive barriers (Bidmon &amp; Knab, 2018). Circular economy and waste valorization literature shows that industrial symbiosis ventures require institutional legitimacy requirements that are quite demanding (Kanda et al., 2024), that open circular business models entailing external waste stream integration are commercially viable in analogous industrial contexts although they also face specific governance challenges (Fedele &amp; Formisano, 2023), and that even internally-sourced coproduct strategies can evolve into multi-firm symbiotic partnerships over a long development cycle (Short et al., 2014), and that there is genuine commercial opportunity, in addition to the environment benefit, in the uncaptured value in waste streams (Yang et al., 2017). Furthermore, ecosystem governance literature clarifies the need for multi-actor governance arrangements beyond bilateral contracting for circular fuel pathways to function (Konietzko et al., 2020) with Minoja and Romano (2024) showing the most effective governance for depends on the circular economy's boundary level, the focal firm's ownership identity, and the strength of market incentives. Furthermore, fair value distribution is a design requirement, not an incidental outcome (Boons &amp; Ludeke-Freund, 2013), and circular venture scaling is constrained by liabilities of newness and smallness that limit resources and legitimacy to enter strategic partnerships for circular business model. Kanda et al. (2024) find this to be more problematic for circular ventures over normal ones as the circular ones need more ecosystem collaboration from their beginning.</w:t>
      </w:r>
    </w:p>
    <w:p w:rsidR="00000000" w:rsidDel="00000000" w:rsidP="00000000" w:rsidRDefault="00000000" w:rsidRPr="00000000" w14:paraId="0000013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ff2cc" w:val="clear"/>
          <w:rtl w:val="0"/>
        </w:rPr>
        <w:t xml:space="preserve">The literature does not, however, deal with the unique makeup of the ENLENS case, </w:t>
      </w:r>
      <w:r w:rsidDel="00000000" w:rsidR="00000000" w:rsidRPr="00000000">
        <w:rPr>
          <w:rFonts w:ascii="Times New Roman" w:cs="Times New Roman" w:eastAsia="Times New Roman" w:hAnsi="Times New Roman"/>
          <w:sz w:val="24"/>
          <w:szCs w:val="24"/>
          <w:rtl w:val="0"/>
        </w:rPr>
        <w:t xml:space="preserve">which consists of policy-driven circular innovation requiring multi-actor coalition formation in a highly regulated, certification-intensive sector of pre-commercial technology converting heterogeneous and uncertain feedstocks to fuel, constrained by waste management regulation, aviation fuel supply chains, and multi-level carbon accounting in parallel. The existing circular business model literature largely addresses manufacturing sectors where waste streams are more homogeneous, certification requirements are fewer, and participants' collaboration and coalition requirements are lower. On the aviation side, existing literature primarily covers demand-side adoption economics (Karanki &amp; Yu, 2026) and supply-and-demand cost modelling of net-zero pathways (Gössling &amp; Humpe, 2023). This aviation economics literature uses business model to mean a sector-wide focus on growth and profit margins compared to the firm-level value-proposition/creation/capture described elsewhere in this review. This might indicate that SAF adoption research hasn't yet been integrated with formal business model innovation theory. Ecosystem governance and business model design issues that determine whether technically viable pathways can become commercial aren’t that covered. The existing ecosystem governance literature (Konietzko et al., 2020; Speich &amp; Ulli-Beer, 2023; Minoja &amp; Romano, 2024) provides applicable frameworks, though it doesn’t ground them in aviation or circular fuel specifically. In other words, the ENLENS project uniquely sits at an intersection of real-time design decisions, a developing regulatory environment (with ReFuelEU’s first compliance year just underway and the Dutch SAF Roadmap’s SDL program operational), and a technical pathway at the verge of commercialization, where governance design choices are most consequential.</w:t>
      </w:r>
    </w:p>
    <w:p w:rsidR="00000000" w:rsidDel="00000000" w:rsidP="00000000" w:rsidRDefault="00000000" w:rsidRPr="00000000" w14:paraId="0000013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literature doesn't cover foundational legal classifications in determining feasibility. The Waste Framework Directive's classification of HTL as other recovery rather than recycling (European Parliament &amp; Council of the European Union, 2008, Art. 3(17)) and its end of life waste criteria (Art. 6) to even enter the market before a model can be considered. At the Dutch level, the Waste Management Act (Wet milieubeheer) sets out a waste hierarchy for household waste (Ministerie van Infrastructuur en Waterstaat, n.d., Art. 10.4), while the CMP's minimum standards (Ministerie van Infrastructuur en Waterstaat, 2025), which replaced LAP3 (Ministerie van Infrastructuur en Waterstaat, 2019), take the EU waste classifications and offer permit requirements that a Dutch HTL facility must meet for each feedstock stream. A new Circular Economy Act (Circulaire Economie-wet) is also being created that would align the Wet milieubeheer's rules on substances, products, and waste with circular-economy objectives better (Ministerie van Infrastructuur en Waterstaat, 2025). Though it's not yet adopted, its feedstock classifications of this paper will need to be reviewed. Commission Implementing Regulation (EU) 2022/996 (European Commission, 2022) sets the audit that converts physical feedstock into real sustainability claims and the quarterly mass balance clearing cycle creates cash-flow constraints that should be anticipated. RED III Article 29(1) finds the sustainability criteria burden applicable to waste-derived SAF, with the waste exemption being a potential cost advantage over the crop pathways. And the anti-tankering obligation of ReFuelEU Article 5 helps anchor demand, strengthening the concept of the local waste-to-SAF pathway. The EU ETS's zero emission factor for the biomass fraction of SAF (European Commission, 2018, Art. 38(2)) and the Innovation Fund's Carbon Contracts for Difference mechanism (European Parliament &amp; Council of the European Union, 2023c, Art. 1(13)) are both converters of claims into actual cost advantages, and thus bankable. These are the regulatory preconditions that no business model can ignore. The general Dutch climate governance framework backs this. Together, the Dutch Climate Act (Ministerie van Klimaat en Groene Groei, n.d.-a), Climate Fund (Ministerie van Klimaat en Groene Groei, n.d.-b), Climate Plan 2025–2035 (Ministerie van Klimaat en Groene Groei, 2025), and National Energy System Plan (Ministerie van Economische Zaken en Klimaat, 2023) outline and govern the opportunity in which the waste-to-SAF business models in the Netherlands must be developed.</w:t>
      </w:r>
    </w:p>
    <w:p w:rsidR="00000000" w:rsidDel="00000000" w:rsidP="00000000" w:rsidRDefault="00000000" w:rsidRPr="00000000" w14:paraId="0000013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7.2 The Analytical Framework</w:t>
      </w:r>
    </w:p>
    <w:p w:rsidR="00000000" w:rsidDel="00000000" w:rsidP="00000000" w:rsidRDefault="00000000" w:rsidRPr="00000000" w14:paraId="0000013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literature has yielded an analysis model for the ENLENS case study, spanning four levels. At the firm level, Foss and Saebi’s (2017) modular-versus-architectural typology is drawn upon to identify the transformation type each actor must undertake, and Bidmon and Knab’s (2018) three-role typology (barrier, facilitator, niche innovation) is used to assess each actor’s current position relative to the SAF transition. At the inter-firm level, Hellstrom et al.'s (2015) collaboration mechanism concept and Velter et al.’s (2021) boundary work model can be used to examine how coalition formation unfolds and the governance instruments required to sustain this progress through the design-to-implementation transition. At the ecosystem level, Konietzko et al.’s (2020) circular ecosystem innovation principles are fundamental, joined by Di Vaio et al.’s (2026) IE-BMI framework to assess what integrity infrastructure, insetting integrity, and ecosystem orchestration mechanisms may be in place for the circular SAF value chain to create credible and claimable environmental value. At the institutional level, the framework draws on Wasserbaur et al.’s (2022) co-evolutionary perspective on governmental policy and business model interactions, and Kharbeet et al.’s (2026) multilevel trigger taxonomy, tracing the various policy and regulations instruments and frameworks translation into business model design constraints and opportunities for the involved parties.</w:t>
      </w:r>
    </w:p>
    <w:p w:rsidR="00000000" w:rsidDel="00000000" w:rsidP="00000000" w:rsidRDefault="00000000" w:rsidRPr="00000000" w14:paraId="0000013F">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3049428" cy="3552006"/>
                <wp:effectExtent b="0" l="0" r="0" t="0"/>
                <wp:docPr id="1" name=""/>
                <a:graphic>
                  <a:graphicData uri="http://schemas.microsoft.com/office/word/2010/wordprocessingGroup">
                    <wpg:wgp>
                      <wpg:cNvGrpSpPr/>
                      <wpg:grpSpPr>
                        <a:xfrm>
                          <a:off x="3819925" y="1879250"/>
                          <a:ext cx="3049428" cy="3552006"/>
                          <a:chOff x="3819925" y="1879250"/>
                          <a:chExt cx="3052150" cy="3885775"/>
                        </a:xfrm>
                      </wpg:grpSpPr>
                      <wpg:grpSp>
                        <wpg:cNvGrpSpPr/>
                        <wpg:grpSpPr>
                          <a:xfrm>
                            <a:off x="3821286" y="2003997"/>
                            <a:ext cx="3049428" cy="3552006"/>
                            <a:chOff x="1678525" y="543375"/>
                            <a:chExt cx="4262950" cy="4968400"/>
                          </a:xfrm>
                        </wpg:grpSpPr>
                        <wps:wsp>
                          <wps:cNvSpPr/>
                          <wps:cNvPr id="3" name="Shape 3"/>
                          <wps:spPr>
                            <a:xfrm>
                              <a:off x="1678525" y="543375"/>
                              <a:ext cx="4262950" cy="4968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683300" y="548150"/>
                              <a:ext cx="4253400" cy="9846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2"/>
                                    <w:vertAlign w:val="baseline"/>
                                  </w:rPr>
                                  <w:t xml:space="preserve">Firm level:</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-Foss &amp; Saebi (2017) modular vs architectural changeBidmon &amp; -Knab (2018) barrier / facilitator / niche roles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-Identifies transformation type and current actor position</w:t>
                                </w:r>
                              </w:p>
                            </w:txbxContent>
                          </wps:txbx>
                          <wps:bodyPr anchorCtr="0" anchor="ctr" bIns="91425" lIns="91425" spcFirstLastPara="1" rIns="91425" wrap="square" tIns="91425">
                            <a:noAutofit/>
                          </wps:bodyPr>
                        </wps:wsp>
                        <wps:wsp>
                          <wps:cNvSpPr/>
                          <wps:cNvPr id="5" name="Shape 5"/>
                          <wps:spPr>
                            <a:xfrm>
                              <a:off x="1683300" y="1872900"/>
                              <a:ext cx="4253400" cy="9846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2"/>
                                    <w:vertAlign w:val="baseline"/>
                                  </w:rPr>
                                  <w:t xml:space="preserve">Inter-firm level:</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-Hellstrom et al. (2015) collaboration mechanisms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-Velter et al. (2021) boundary work model</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-Governs coalition formation and design-to-implementation</w:t>
                                </w:r>
                              </w:p>
                            </w:txbxContent>
                          </wps:txbx>
                          <wps:bodyPr anchorCtr="0" anchor="ctr" bIns="91425" lIns="91425" spcFirstLastPara="1" rIns="91425" wrap="square" tIns="91425">
                            <a:noAutofit/>
                          </wps:bodyPr>
                        </wps:wsp>
                        <wps:wsp>
                          <wps:cNvSpPr/>
                          <wps:cNvPr id="6" name="Shape 6"/>
                          <wps:spPr>
                            <a:xfrm>
                              <a:off x="1683300" y="3197650"/>
                              <a:ext cx="4253400" cy="9846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2"/>
                                    <w:vertAlign w:val="baseline"/>
                                  </w:rPr>
                                  <w:t xml:space="preserve">Ecosystem level:</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-Konietzko et al. (2020) circular ecosystem principles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-Di Vaio et al. (2026) IE-BMI framework</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-Assesses claimability and orchestration infrastructure</w:t>
                                </w:r>
                              </w:p>
                            </w:txbxContent>
                          </wps:txbx>
                          <wps:bodyPr anchorCtr="0" anchor="ctr" bIns="91425" lIns="91425" spcFirstLastPara="1" rIns="91425" wrap="square" tIns="91425">
                            <a:noAutofit/>
                          </wps:bodyPr>
                        </wps:wsp>
                        <wps:wsp>
                          <wps:cNvSpPr/>
                          <wps:cNvPr id="7" name="Shape 7"/>
                          <wps:spPr>
                            <a:xfrm>
                              <a:off x="1683300" y="4522400"/>
                              <a:ext cx="4253400" cy="9846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2"/>
                                    <w:vertAlign w:val="baseline"/>
                                  </w:rPr>
                                  <w:t xml:space="preserve">Institutional level:</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-Wasserbaur et al. (2022) policy-BMI co-evolution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-Kharbeet et al. (2026) multilevel trigger taxonomy</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-Traces regulation into business model constraints</w:t>
                                </w:r>
                              </w:p>
                            </w:txbxContent>
                          </wps:txbx>
                          <wps:bodyPr anchorCtr="0" anchor="ctr" bIns="91425" lIns="91425" spcFirstLastPara="1" rIns="91425" wrap="square" tIns="91425">
                            <a:noAutofit/>
                          </wps:bodyPr>
                        </wps:wsp>
                        <wps:wsp>
                          <wps:cNvCnPr/>
                          <wps:spPr>
                            <a:xfrm>
                              <a:off x="3810000" y="1532750"/>
                              <a:ext cx="0" cy="340200"/>
                            </a:xfrm>
                            <a:prstGeom prst="straightConnector1">
                              <a:avLst/>
                            </a:prstGeom>
                            <a:noFill/>
                            <a:ln cap="flat" cmpd="sng" w="9525">
                              <a:solidFill>
                                <a:srgbClr val="000000"/>
                              </a:solidFill>
                              <a:prstDash val="solid"/>
                              <a:round/>
                              <a:headEnd len="sm" w="sm" type="none"/>
                              <a:tailEnd len="med" w="med" type="triangle"/>
                            </a:ln>
                          </wps:spPr>
                          <wps:bodyPr anchorCtr="0" anchor="ctr" bIns="91425" lIns="91425" spcFirstLastPara="1" rIns="91425" wrap="square" tIns="91425">
                            <a:noAutofit/>
                          </wps:bodyPr>
                        </wps:wsp>
                        <wps:wsp>
                          <wps:cNvCnPr/>
                          <wps:spPr>
                            <a:xfrm>
                              <a:off x="3810000" y="2857500"/>
                              <a:ext cx="0" cy="340200"/>
                            </a:xfrm>
                            <a:prstGeom prst="straightConnector1">
                              <a:avLst/>
                            </a:prstGeom>
                            <a:noFill/>
                            <a:ln cap="flat" cmpd="sng" w="9525">
                              <a:solidFill>
                                <a:srgbClr val="000000"/>
                              </a:solidFill>
                              <a:prstDash val="solid"/>
                              <a:round/>
                              <a:headEnd len="sm" w="sm" type="none"/>
                              <a:tailEnd len="med" w="med" type="triangle"/>
                            </a:ln>
                          </wps:spPr>
                          <wps:bodyPr anchorCtr="0" anchor="ctr" bIns="91425" lIns="91425" spcFirstLastPara="1" rIns="91425" wrap="square" tIns="91425">
                            <a:noAutofit/>
                          </wps:bodyPr>
                        </wps:wsp>
                        <wps:wsp>
                          <wps:cNvCnPr/>
                          <wps:spPr>
                            <a:xfrm>
                              <a:off x="3810000" y="4182250"/>
                              <a:ext cx="0" cy="340200"/>
                            </a:xfrm>
                            <a:prstGeom prst="straightConnector1">
                              <a:avLst/>
                            </a:prstGeom>
                            <a:noFill/>
                            <a:ln cap="flat" cmpd="sng" w="9525">
                              <a:solidFill>
                                <a:srgbClr val="000000"/>
                              </a:solidFill>
                              <a:prstDash val="solid"/>
                              <a:round/>
                              <a:headEnd len="sm" w="sm" type="none"/>
                              <a:tailEnd len="med" w="med" type="triangle"/>
                            </a:ln>
                          </wps:spPr>
                          <wps:bodyPr anchorCtr="0" anchor="ctr" bIns="91425" lIns="91425" spcFirstLastPara="1" rIns="91425" wrap="square" tIns="91425">
                            <a:noAutofit/>
                          </wps:bodyPr>
                        </wps:wsp>
                      </wpg:grpSp>
                    </wpg:wgp>
                  </a:graphicData>
                </a:graphic>
              </wp:inline>
            </w:drawing>
          </mc:Choice>
          <mc:Fallback>
            <w:drawing>
              <wp:inline distB="114300" distT="114300" distL="114300" distR="114300">
                <wp:extent cx="3049428" cy="3552006"/>
                <wp:effectExtent b="0" l="0" r="0" t="0"/>
                <wp:docPr id="1" name="image1.png"/>
                <a:graphic>
                  <a:graphicData uri="http://schemas.openxmlformats.org/drawingml/2006/picture">
                    <pic:pic>
                      <pic:nvPicPr>
                        <pic:cNvPr id="0" name="image1.png"/>
                        <pic:cNvPicPr preferRelativeResize="0"/>
                      </pic:nvPicPr>
                      <pic:blipFill>
                        <a:blip r:embed="rId9"/>
                        <a:srcRect/>
                        <a:stretch>
                          <a:fillRect/>
                        </a:stretch>
                      </pic:blipFill>
                      <pic:spPr>
                        <a:xfrm>
                          <a:off x="0" y="0"/>
                          <a:ext cx="3049428" cy="3552006"/>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4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four levels aren't independent; Bidmon and Knab (2018) demonstrate that firm-level business model choices are both determined by and can reshape ecosystem and institutional dynamics. Furthermore, Carraresi and Broring (2021) show that the choice of focal company role affects all subsequent supply chain configuration decisions, and Faccin et al. (2025) show that the capability that organizes and sustains ecosystem-level value creation must itself be developed in the earlier sensing, seizing, and transforming phases. This study will follow these interdependencies through ENLENS, considering the following 3 questions that were repeatedly identified as important in circular fuel pathway viability: 1) who risks the finances of technology scaling, 2) how costs and revenues are distributed amongst suppliers, operators, certifiers, and offtakers, and 3) what institutional and contractual mechanisms stabilize the coalition through the pre-commercial stage in technological and policy uncertainty.</w:t>
      </w:r>
    </w:p>
    <w:p w:rsidR="00000000" w:rsidDel="00000000" w:rsidP="00000000" w:rsidRDefault="00000000" w:rsidRPr="00000000" w14:paraId="0000014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w:t>
      </w:r>
    </w:p>
    <w:p w:rsidR="00000000" w:rsidDel="00000000" w:rsidP="00000000" w:rsidRDefault="00000000" w:rsidRPr="00000000" w14:paraId="0000014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Adner, R., 2017. Ecosystem as structure: an actionable construct for strategy. J. Manag. 43 (1), 39–58. </w:t>
      </w:r>
      <w:hyperlink r:id="rId10">
        <w:r w:rsidDel="00000000" w:rsidR="00000000" w:rsidRPr="00000000">
          <w:rPr>
            <w:rFonts w:ascii="Times New Roman" w:cs="Times New Roman" w:eastAsia="Times New Roman" w:hAnsi="Times New Roman"/>
            <w:color w:val="1155cc"/>
            <w:sz w:val="24"/>
            <w:szCs w:val="24"/>
            <w:u w:val="single"/>
            <w:rtl w:val="0"/>
          </w:rPr>
          <w:t xml:space="preserve">https://doi.org/10.1177/0149206316678451</w:t>
        </w:r>
      </w:hyperlink>
      <w:r w:rsidDel="00000000" w:rsidR="00000000" w:rsidRPr="00000000">
        <w:rPr>
          <w:rtl w:val="0"/>
        </w:rPr>
      </w:r>
    </w:p>
    <w:p w:rsidR="00000000" w:rsidDel="00000000" w:rsidP="00000000" w:rsidRDefault="00000000" w:rsidRPr="00000000" w14:paraId="00000143">
      <w:pPr>
        <w:spacing w:after="240" w:before="240" w:line="36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Al-Saleh, Y., &amp; Mahroum, S. (2015). A critical review of the interplay between policy instruments and business models: Greening the built environment a case in point. </w:t>
      </w:r>
      <w:r w:rsidDel="00000000" w:rsidR="00000000" w:rsidRPr="00000000">
        <w:rPr>
          <w:rFonts w:ascii="Times New Roman" w:cs="Times New Roman" w:eastAsia="Times New Roman" w:hAnsi="Times New Roman"/>
          <w:i w:val="1"/>
          <w:iCs w:val="1"/>
          <w:sz w:val="24"/>
          <w:szCs w:val="24"/>
          <w:rtl w:val="0"/>
        </w:rPr>
        <w:t xml:space="preserve">Journal of Cleaner Production, 109</w:t>
      </w:r>
      <w:r w:rsidDel="00000000" w:rsidR="00000000" w:rsidRPr="00000000">
        <w:rPr>
          <w:rFonts w:ascii="Times New Roman" w:cs="Times New Roman" w:eastAsia="Times New Roman" w:hAnsi="Times New Roman"/>
          <w:sz w:val="24"/>
          <w:szCs w:val="24"/>
          <w:rtl w:val="0"/>
        </w:rPr>
        <w:t xml:space="preserve">, 260-270.</w:t>
      </w:r>
      <w:hyperlink r:id="rId11">
        <w:r w:rsidDel="00000000" w:rsidR="00000000" w:rsidRPr="00000000">
          <w:rPr>
            <w:rFonts w:ascii="Times New Roman" w:cs="Times New Roman" w:eastAsia="Times New Roman" w:hAnsi="Times New Roman"/>
            <w:sz w:val="24"/>
            <w:szCs w:val="24"/>
            <w:rtl w:val="0"/>
          </w:rPr>
          <w:t xml:space="preserve"> </w:t>
        </w:r>
      </w:hyperlink>
      <w:hyperlink r:id="rId12">
        <w:r w:rsidDel="00000000" w:rsidR="00000000" w:rsidRPr="00000000">
          <w:rPr>
            <w:rFonts w:ascii="Times New Roman" w:cs="Times New Roman" w:eastAsia="Times New Roman" w:hAnsi="Times New Roman"/>
            <w:color w:val="1155cc"/>
            <w:sz w:val="24"/>
            <w:szCs w:val="24"/>
            <w:u w:val="single"/>
            <w:rtl w:val="0"/>
          </w:rPr>
          <w:t xml:space="preserve">https://doi.org/10.1016/j.jclepro.2014.08.042</w:t>
        </w:r>
      </w:hyperlink>
      <w:r w:rsidDel="00000000" w:rsidR="00000000" w:rsidRPr="00000000">
        <w:rPr>
          <w:rtl w:val="0"/>
        </w:rPr>
      </w:r>
    </w:p>
    <w:p w:rsidR="00000000" w:rsidDel="00000000" w:rsidP="00000000" w:rsidRDefault="00000000" w:rsidRPr="00000000" w14:paraId="00000144">
      <w:pPr>
        <w:spacing w:after="240" w:before="240" w:line="36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Axelson, M., Oberthur, S., &amp; Nilsson, L. J. (2021). Emission reduction strategies in the EU steel industry: Implications for business model innovation. </w:t>
      </w:r>
      <w:r w:rsidDel="00000000" w:rsidR="00000000" w:rsidRPr="00000000">
        <w:rPr>
          <w:rFonts w:ascii="Times New Roman" w:cs="Times New Roman" w:eastAsia="Times New Roman" w:hAnsi="Times New Roman"/>
          <w:i w:val="1"/>
          <w:iCs w:val="1"/>
          <w:sz w:val="24"/>
          <w:szCs w:val="24"/>
          <w:rtl w:val="0"/>
        </w:rPr>
        <w:t xml:space="preserve">Journal of Industrial Ecology, 25</w:t>
      </w:r>
      <w:r w:rsidDel="00000000" w:rsidR="00000000" w:rsidRPr="00000000">
        <w:rPr>
          <w:rFonts w:ascii="Times New Roman" w:cs="Times New Roman" w:eastAsia="Times New Roman" w:hAnsi="Times New Roman"/>
          <w:sz w:val="24"/>
          <w:szCs w:val="24"/>
          <w:rtl w:val="0"/>
        </w:rPr>
        <w:t xml:space="preserve">(2), 390-402.</w:t>
      </w:r>
      <w:hyperlink r:id="rId13">
        <w:r w:rsidDel="00000000" w:rsidR="00000000" w:rsidRPr="00000000">
          <w:rPr>
            <w:rFonts w:ascii="Times New Roman" w:cs="Times New Roman" w:eastAsia="Times New Roman" w:hAnsi="Times New Roman"/>
            <w:sz w:val="24"/>
            <w:szCs w:val="24"/>
            <w:rtl w:val="0"/>
          </w:rPr>
          <w:t xml:space="preserve"> </w:t>
        </w:r>
      </w:hyperlink>
      <w:hyperlink r:id="rId14">
        <w:r w:rsidDel="00000000" w:rsidR="00000000" w:rsidRPr="00000000">
          <w:rPr>
            <w:rFonts w:ascii="Times New Roman" w:cs="Times New Roman" w:eastAsia="Times New Roman" w:hAnsi="Times New Roman"/>
            <w:color w:val="1155cc"/>
            <w:sz w:val="24"/>
            <w:szCs w:val="24"/>
            <w:u w:val="single"/>
            <w:rtl w:val="0"/>
          </w:rPr>
          <w:t xml:space="preserve">https://doi.org/10.1111/jiec.13124</w:t>
        </w:r>
      </w:hyperlink>
      <w:r w:rsidDel="00000000" w:rsidR="00000000" w:rsidRPr="00000000">
        <w:rPr>
          <w:rtl w:val="0"/>
        </w:rPr>
      </w:r>
    </w:p>
    <w:p w:rsidR="00000000" w:rsidDel="00000000" w:rsidP="00000000" w:rsidRDefault="00000000" w:rsidRPr="00000000" w14:paraId="00000145">
      <w:pPr>
        <w:spacing w:after="240" w:before="240" w:line="36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Azcarate-Aguerre, J. F., Conci, M., Zils, M., Hopkinson, P., &amp; Klein, T. (2022). Building energy retrofit-as-a-service: A Total Value of Ownership assessment methodology to support whole life-cycle building circularity and decarbonisation. </w:t>
      </w:r>
      <w:r w:rsidDel="00000000" w:rsidR="00000000" w:rsidRPr="00000000">
        <w:rPr>
          <w:rFonts w:ascii="Times New Roman" w:cs="Times New Roman" w:eastAsia="Times New Roman" w:hAnsi="Times New Roman"/>
          <w:i w:val="1"/>
          <w:iCs w:val="1"/>
          <w:sz w:val="24"/>
          <w:szCs w:val="24"/>
          <w:rtl w:val="0"/>
        </w:rPr>
        <w:t xml:space="preserve">Construction Management and Economics, 40</w:t>
      </w:r>
      <w:r w:rsidDel="00000000" w:rsidR="00000000" w:rsidRPr="00000000">
        <w:rPr>
          <w:rFonts w:ascii="Times New Roman" w:cs="Times New Roman" w:eastAsia="Times New Roman" w:hAnsi="Times New Roman"/>
          <w:sz w:val="24"/>
          <w:szCs w:val="24"/>
          <w:rtl w:val="0"/>
        </w:rPr>
        <w:t xml:space="preserve">(9), 676-689.</w:t>
      </w:r>
      <w:hyperlink r:id="rId15">
        <w:r w:rsidDel="00000000" w:rsidR="00000000" w:rsidRPr="00000000">
          <w:rPr>
            <w:rFonts w:ascii="Times New Roman" w:cs="Times New Roman" w:eastAsia="Times New Roman" w:hAnsi="Times New Roman"/>
            <w:sz w:val="24"/>
            <w:szCs w:val="24"/>
            <w:rtl w:val="0"/>
          </w:rPr>
          <w:t xml:space="preserve"> </w:t>
        </w:r>
      </w:hyperlink>
      <w:hyperlink r:id="rId16">
        <w:r w:rsidDel="00000000" w:rsidR="00000000" w:rsidRPr="00000000">
          <w:rPr>
            <w:rFonts w:ascii="Times New Roman" w:cs="Times New Roman" w:eastAsia="Times New Roman" w:hAnsi="Times New Roman"/>
            <w:color w:val="1155cc"/>
            <w:sz w:val="24"/>
            <w:szCs w:val="24"/>
            <w:u w:val="single"/>
            <w:rtl w:val="0"/>
          </w:rPr>
          <w:t xml:space="preserve">https://doi.org/10.1080/01446193.2022.2094434</w:t>
        </w:r>
      </w:hyperlink>
      <w:r w:rsidDel="00000000" w:rsidR="00000000" w:rsidRPr="00000000">
        <w:rPr>
          <w:rtl w:val="0"/>
        </w:rPr>
      </w:r>
    </w:p>
    <w:p w:rsidR="00000000" w:rsidDel="00000000" w:rsidP="00000000" w:rsidRDefault="00000000" w:rsidRPr="00000000" w14:paraId="0000014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Bidmon, C. M., &amp; Knab, S. F. (2018). The three roles of business models in societal transitions: New linkages between business model and transition research. </w:t>
      </w:r>
      <w:r w:rsidDel="00000000" w:rsidR="00000000" w:rsidRPr="00000000">
        <w:rPr>
          <w:rFonts w:ascii="Times New Roman" w:cs="Times New Roman" w:eastAsia="Times New Roman" w:hAnsi="Times New Roman"/>
          <w:i w:val="1"/>
          <w:iCs w:val="1"/>
          <w:sz w:val="24"/>
          <w:szCs w:val="24"/>
          <w:rtl w:val="0"/>
        </w:rPr>
        <w:t xml:space="preserve">Journal of Cleaner Production, 178</w:t>
      </w:r>
      <w:r w:rsidDel="00000000" w:rsidR="00000000" w:rsidRPr="00000000">
        <w:rPr>
          <w:rFonts w:ascii="Times New Roman" w:cs="Times New Roman" w:eastAsia="Times New Roman" w:hAnsi="Times New Roman"/>
          <w:sz w:val="24"/>
          <w:szCs w:val="24"/>
          <w:rtl w:val="0"/>
        </w:rPr>
        <w:t xml:space="preserve">, 903-916.</w:t>
      </w:r>
      <w:hyperlink r:id="rId17">
        <w:r w:rsidDel="00000000" w:rsidR="00000000" w:rsidRPr="00000000">
          <w:rPr>
            <w:rFonts w:ascii="Times New Roman" w:cs="Times New Roman" w:eastAsia="Times New Roman" w:hAnsi="Times New Roman"/>
            <w:sz w:val="24"/>
            <w:szCs w:val="24"/>
            <w:rtl w:val="0"/>
          </w:rPr>
          <w:t xml:space="preserve"> </w:t>
        </w:r>
      </w:hyperlink>
      <w:hyperlink r:id="rId18">
        <w:r w:rsidDel="00000000" w:rsidR="00000000" w:rsidRPr="00000000">
          <w:rPr>
            <w:rFonts w:ascii="Times New Roman" w:cs="Times New Roman" w:eastAsia="Times New Roman" w:hAnsi="Times New Roman"/>
            <w:color w:val="1155cc"/>
            <w:sz w:val="24"/>
            <w:szCs w:val="24"/>
            <w:u w:val="single"/>
            <w:rtl w:val="0"/>
          </w:rPr>
          <w:t xml:space="preserve">https://doi.org/10.1016/j.jclepro.2017.12.198</w:t>
        </w:r>
      </w:hyperlink>
      <w:r w:rsidDel="00000000" w:rsidR="00000000" w:rsidRPr="00000000">
        <w:rPr>
          <w:rtl w:val="0"/>
        </w:rPr>
      </w:r>
    </w:p>
    <w:p w:rsidR="00000000" w:rsidDel="00000000" w:rsidP="00000000" w:rsidRDefault="00000000" w:rsidRPr="00000000" w14:paraId="00000147">
      <w:pPr>
        <w:spacing w:after="240" w:before="240" w:line="36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Boons, F., &amp; Ludeke-Freund, F. (2013). Business models for sustainable innovation: State-of-the-art and steps towards a research agenda. </w:t>
      </w:r>
      <w:r w:rsidDel="00000000" w:rsidR="00000000" w:rsidRPr="00000000">
        <w:rPr>
          <w:rFonts w:ascii="Times New Roman" w:cs="Times New Roman" w:eastAsia="Times New Roman" w:hAnsi="Times New Roman"/>
          <w:i w:val="1"/>
          <w:iCs w:val="1"/>
          <w:sz w:val="24"/>
          <w:szCs w:val="24"/>
          <w:rtl w:val="0"/>
        </w:rPr>
        <w:t xml:space="preserve">Journal of Cleaner Production, 45</w:t>
      </w:r>
      <w:r w:rsidDel="00000000" w:rsidR="00000000" w:rsidRPr="00000000">
        <w:rPr>
          <w:rFonts w:ascii="Times New Roman" w:cs="Times New Roman" w:eastAsia="Times New Roman" w:hAnsi="Times New Roman"/>
          <w:sz w:val="24"/>
          <w:szCs w:val="24"/>
          <w:rtl w:val="0"/>
        </w:rPr>
        <w:t xml:space="preserve">, 9-19.</w:t>
      </w:r>
      <w:hyperlink r:id="rId19">
        <w:r w:rsidDel="00000000" w:rsidR="00000000" w:rsidRPr="00000000">
          <w:rPr>
            <w:rFonts w:ascii="Times New Roman" w:cs="Times New Roman" w:eastAsia="Times New Roman" w:hAnsi="Times New Roman"/>
            <w:sz w:val="24"/>
            <w:szCs w:val="24"/>
            <w:rtl w:val="0"/>
          </w:rPr>
          <w:t xml:space="preserve"> </w:t>
        </w:r>
      </w:hyperlink>
      <w:hyperlink r:id="rId20">
        <w:r w:rsidDel="00000000" w:rsidR="00000000" w:rsidRPr="00000000">
          <w:rPr>
            <w:rFonts w:ascii="Times New Roman" w:cs="Times New Roman" w:eastAsia="Times New Roman" w:hAnsi="Times New Roman"/>
            <w:color w:val="1155cc"/>
            <w:sz w:val="24"/>
            <w:szCs w:val="24"/>
            <w:u w:val="single"/>
            <w:rtl w:val="0"/>
          </w:rPr>
          <w:t xml:space="preserve">https://doi.org/10.1016/j.jclepro.2012.07.007</w:t>
        </w:r>
      </w:hyperlink>
      <w:r w:rsidDel="00000000" w:rsidR="00000000" w:rsidRPr="00000000">
        <w:rPr>
          <w:rtl w:val="0"/>
        </w:rPr>
      </w:r>
    </w:p>
    <w:p w:rsidR="00000000" w:rsidDel="00000000" w:rsidP="00000000" w:rsidRDefault="00000000" w:rsidRPr="00000000" w14:paraId="00000148">
      <w:pPr>
        <w:spacing w:after="240" w:before="240" w:line="36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Brink, T. (2022). Organising direction of innovation ecosystems for extended clean energy production. </w:t>
      </w:r>
      <w:r w:rsidDel="00000000" w:rsidR="00000000" w:rsidRPr="00000000">
        <w:rPr>
          <w:rFonts w:ascii="Times New Roman" w:cs="Times New Roman" w:eastAsia="Times New Roman" w:hAnsi="Times New Roman"/>
          <w:i w:val="1"/>
          <w:iCs w:val="1"/>
          <w:sz w:val="24"/>
          <w:szCs w:val="24"/>
          <w:rtl w:val="0"/>
        </w:rPr>
        <w:t xml:space="preserve">Journal of Cleaner Production, 376</w:t>
      </w:r>
      <w:r w:rsidDel="00000000" w:rsidR="00000000" w:rsidRPr="00000000">
        <w:rPr>
          <w:rFonts w:ascii="Times New Roman" w:cs="Times New Roman" w:eastAsia="Times New Roman" w:hAnsi="Times New Roman"/>
          <w:sz w:val="24"/>
          <w:szCs w:val="24"/>
          <w:rtl w:val="0"/>
        </w:rPr>
        <w:t xml:space="preserve">, 134150.</w:t>
      </w:r>
      <w:hyperlink r:id="rId21">
        <w:r w:rsidDel="00000000" w:rsidR="00000000" w:rsidRPr="00000000">
          <w:rPr>
            <w:rFonts w:ascii="Times New Roman" w:cs="Times New Roman" w:eastAsia="Times New Roman" w:hAnsi="Times New Roman"/>
            <w:sz w:val="24"/>
            <w:szCs w:val="24"/>
            <w:rtl w:val="0"/>
          </w:rPr>
          <w:t xml:space="preserve"> </w:t>
        </w:r>
      </w:hyperlink>
      <w:hyperlink r:id="rId22">
        <w:r w:rsidDel="00000000" w:rsidR="00000000" w:rsidRPr="00000000">
          <w:rPr>
            <w:rFonts w:ascii="Times New Roman" w:cs="Times New Roman" w:eastAsia="Times New Roman" w:hAnsi="Times New Roman"/>
            <w:color w:val="1155cc"/>
            <w:sz w:val="24"/>
            <w:szCs w:val="24"/>
            <w:u w:val="single"/>
            <w:rtl w:val="0"/>
          </w:rPr>
          <w:t xml:space="preserve">https://doi.org/10.1016/j.jclepro.2022.134150</w:t>
        </w:r>
      </w:hyperlink>
      <w:r w:rsidDel="00000000" w:rsidR="00000000" w:rsidRPr="00000000">
        <w:rPr>
          <w:rtl w:val="0"/>
        </w:rPr>
      </w:r>
    </w:p>
    <w:p w:rsidR="00000000" w:rsidDel="00000000" w:rsidP="00000000" w:rsidRDefault="00000000" w:rsidRPr="00000000" w14:paraId="00000149">
      <w:pPr>
        <w:spacing w:after="240" w:before="240" w:line="36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Bryant, S. T., Straker, K., &amp; Wrigley, C. (2019). The discourses of power: Governmental approaches to business models in the renewable energy transition. </w:t>
      </w:r>
      <w:r w:rsidDel="00000000" w:rsidR="00000000" w:rsidRPr="00000000">
        <w:rPr>
          <w:rFonts w:ascii="Times New Roman" w:cs="Times New Roman" w:eastAsia="Times New Roman" w:hAnsi="Times New Roman"/>
          <w:i w:val="1"/>
          <w:iCs w:val="1"/>
          <w:sz w:val="24"/>
          <w:szCs w:val="24"/>
          <w:rtl w:val="0"/>
        </w:rPr>
        <w:t xml:space="preserve">Energy Policy, 130</w:t>
      </w:r>
      <w:r w:rsidDel="00000000" w:rsidR="00000000" w:rsidRPr="00000000">
        <w:rPr>
          <w:rFonts w:ascii="Times New Roman" w:cs="Times New Roman" w:eastAsia="Times New Roman" w:hAnsi="Times New Roman"/>
          <w:sz w:val="24"/>
          <w:szCs w:val="24"/>
          <w:rtl w:val="0"/>
        </w:rPr>
        <w:t xml:space="preserve">, 41-59.</w:t>
      </w:r>
      <w:hyperlink r:id="rId23">
        <w:r w:rsidDel="00000000" w:rsidR="00000000" w:rsidRPr="00000000">
          <w:rPr>
            <w:rFonts w:ascii="Times New Roman" w:cs="Times New Roman" w:eastAsia="Times New Roman" w:hAnsi="Times New Roman"/>
            <w:sz w:val="24"/>
            <w:szCs w:val="24"/>
            <w:rtl w:val="0"/>
          </w:rPr>
          <w:t xml:space="preserve"> </w:t>
        </w:r>
      </w:hyperlink>
      <w:hyperlink r:id="rId24">
        <w:r w:rsidDel="00000000" w:rsidR="00000000" w:rsidRPr="00000000">
          <w:rPr>
            <w:rFonts w:ascii="Times New Roman" w:cs="Times New Roman" w:eastAsia="Times New Roman" w:hAnsi="Times New Roman"/>
            <w:color w:val="1155cc"/>
            <w:sz w:val="24"/>
            <w:szCs w:val="24"/>
            <w:u w:val="single"/>
            <w:rtl w:val="0"/>
          </w:rPr>
          <w:t xml:space="preserve">https://doi.org/10.1016/j.enpol.2019.03.050</w:t>
        </w:r>
      </w:hyperlink>
      <w:r w:rsidDel="00000000" w:rsidR="00000000" w:rsidRPr="00000000">
        <w:rPr>
          <w:rtl w:val="0"/>
        </w:rPr>
      </w:r>
    </w:p>
    <w:p w:rsidR="00000000" w:rsidDel="00000000" w:rsidP="00000000" w:rsidRDefault="00000000" w:rsidRPr="00000000" w14:paraId="0000014A">
      <w:pPr>
        <w:spacing w:after="240" w:before="240" w:line="36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Carraresi, L., &amp; Broring, S. (2021). How does business model redesign foster resilience in emerging circular value chains? </w:t>
      </w:r>
      <w:r w:rsidDel="00000000" w:rsidR="00000000" w:rsidRPr="00000000">
        <w:rPr>
          <w:rFonts w:ascii="Times New Roman" w:cs="Times New Roman" w:eastAsia="Times New Roman" w:hAnsi="Times New Roman"/>
          <w:i w:val="1"/>
          <w:iCs w:val="1"/>
          <w:sz w:val="24"/>
          <w:szCs w:val="24"/>
          <w:rtl w:val="0"/>
        </w:rPr>
        <w:t xml:space="preserve">Journal of Cleaner Production, 289</w:t>
      </w:r>
      <w:r w:rsidDel="00000000" w:rsidR="00000000" w:rsidRPr="00000000">
        <w:rPr>
          <w:rFonts w:ascii="Times New Roman" w:cs="Times New Roman" w:eastAsia="Times New Roman" w:hAnsi="Times New Roman"/>
          <w:sz w:val="24"/>
          <w:szCs w:val="24"/>
          <w:rtl w:val="0"/>
        </w:rPr>
        <w:t xml:space="preserve">, 125823.</w:t>
      </w:r>
      <w:hyperlink r:id="rId25">
        <w:r w:rsidDel="00000000" w:rsidR="00000000" w:rsidRPr="00000000">
          <w:rPr>
            <w:rFonts w:ascii="Times New Roman" w:cs="Times New Roman" w:eastAsia="Times New Roman" w:hAnsi="Times New Roman"/>
            <w:sz w:val="24"/>
            <w:szCs w:val="24"/>
            <w:rtl w:val="0"/>
          </w:rPr>
          <w:t xml:space="preserve"> </w:t>
        </w:r>
      </w:hyperlink>
      <w:hyperlink r:id="rId26">
        <w:r w:rsidDel="00000000" w:rsidR="00000000" w:rsidRPr="00000000">
          <w:rPr>
            <w:rFonts w:ascii="Times New Roman" w:cs="Times New Roman" w:eastAsia="Times New Roman" w:hAnsi="Times New Roman"/>
            <w:color w:val="1155cc"/>
            <w:sz w:val="24"/>
            <w:szCs w:val="24"/>
            <w:u w:val="single"/>
            <w:rtl w:val="0"/>
          </w:rPr>
          <w:t xml:space="preserve">https://doi.org/10.1016/j.jclepro.2021.125823</w:t>
        </w:r>
      </w:hyperlink>
      <w:r w:rsidDel="00000000" w:rsidR="00000000" w:rsidRPr="00000000">
        <w:rPr>
          <w:rtl w:val="0"/>
        </w:rPr>
      </w:r>
    </w:p>
    <w:p w:rsidR="00000000" w:rsidDel="00000000" w:rsidP="00000000" w:rsidRDefault="00000000" w:rsidRPr="00000000" w14:paraId="0000014B">
      <w:pPr>
        <w:spacing w:after="240" w:before="240" w:line="36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Chirumalla, K., Balestrucci, F., Sannö, A., &amp; Oghazi, P. (2024). The transition from a linear to a circular economy through a multi-level readiness framework: An explorative study in the heavy-duty vehicle manufacturing industry. </w:t>
      </w:r>
      <w:r w:rsidDel="00000000" w:rsidR="00000000" w:rsidRPr="00000000">
        <w:rPr>
          <w:rFonts w:ascii="Times New Roman" w:cs="Times New Roman" w:eastAsia="Times New Roman" w:hAnsi="Times New Roman"/>
          <w:i w:val="1"/>
          <w:iCs w:val="1"/>
          <w:sz w:val="24"/>
          <w:szCs w:val="24"/>
          <w:rtl w:val="0"/>
        </w:rPr>
        <w:t xml:space="preserve">Journal of Innovation &amp; Knowledge, 9</w:t>
      </w:r>
      <w:r w:rsidDel="00000000" w:rsidR="00000000" w:rsidRPr="00000000">
        <w:rPr>
          <w:rFonts w:ascii="Times New Roman" w:cs="Times New Roman" w:eastAsia="Times New Roman" w:hAnsi="Times New Roman"/>
          <w:sz w:val="24"/>
          <w:szCs w:val="24"/>
          <w:rtl w:val="0"/>
        </w:rPr>
        <w:t xml:space="preserve">, 100539.</w:t>
      </w:r>
      <w:hyperlink r:id="rId27">
        <w:r w:rsidDel="00000000" w:rsidR="00000000" w:rsidRPr="00000000">
          <w:rPr>
            <w:rFonts w:ascii="Times New Roman" w:cs="Times New Roman" w:eastAsia="Times New Roman" w:hAnsi="Times New Roman"/>
            <w:sz w:val="24"/>
            <w:szCs w:val="24"/>
            <w:rtl w:val="0"/>
          </w:rPr>
          <w:t xml:space="preserve"> </w:t>
        </w:r>
      </w:hyperlink>
      <w:hyperlink r:id="rId28">
        <w:r w:rsidDel="00000000" w:rsidR="00000000" w:rsidRPr="00000000">
          <w:rPr>
            <w:rFonts w:ascii="Times New Roman" w:cs="Times New Roman" w:eastAsia="Times New Roman" w:hAnsi="Times New Roman"/>
            <w:color w:val="1155cc"/>
            <w:sz w:val="24"/>
            <w:szCs w:val="24"/>
            <w:u w:val="single"/>
            <w:rtl w:val="0"/>
          </w:rPr>
          <w:t xml:space="preserve">https://doi.org/10.1016/j.jik.2024.100539</w:t>
        </w:r>
      </w:hyperlink>
      <w:r w:rsidDel="00000000" w:rsidR="00000000" w:rsidRPr="00000000">
        <w:rPr>
          <w:rtl w:val="0"/>
        </w:rPr>
      </w:r>
    </w:p>
    <w:p w:rsidR="00000000" w:rsidDel="00000000" w:rsidP="00000000" w:rsidRDefault="00000000" w:rsidRPr="00000000" w14:paraId="0000014C">
      <w:pPr>
        <w:spacing w:after="240" w:before="240" w:line="36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Coffay, M., &amp; Bocken, N. (2023). Sustainable by design: An organizational design tool for sustainable business model innovation. </w:t>
      </w:r>
      <w:r w:rsidDel="00000000" w:rsidR="00000000" w:rsidRPr="00000000">
        <w:rPr>
          <w:rFonts w:ascii="Times New Roman" w:cs="Times New Roman" w:eastAsia="Times New Roman" w:hAnsi="Times New Roman"/>
          <w:i w:val="1"/>
          <w:iCs w:val="1"/>
          <w:sz w:val="24"/>
          <w:szCs w:val="24"/>
          <w:rtl w:val="0"/>
        </w:rPr>
        <w:t xml:space="preserve">Journal of Cleaner Production, 427</w:t>
      </w:r>
      <w:r w:rsidDel="00000000" w:rsidR="00000000" w:rsidRPr="00000000">
        <w:rPr>
          <w:rFonts w:ascii="Times New Roman" w:cs="Times New Roman" w:eastAsia="Times New Roman" w:hAnsi="Times New Roman"/>
          <w:sz w:val="24"/>
          <w:szCs w:val="24"/>
          <w:rtl w:val="0"/>
        </w:rPr>
        <w:t xml:space="preserve">, 139294.</w:t>
      </w:r>
      <w:hyperlink r:id="rId29">
        <w:r w:rsidDel="00000000" w:rsidR="00000000" w:rsidRPr="00000000">
          <w:rPr>
            <w:rFonts w:ascii="Times New Roman" w:cs="Times New Roman" w:eastAsia="Times New Roman" w:hAnsi="Times New Roman"/>
            <w:sz w:val="24"/>
            <w:szCs w:val="24"/>
            <w:rtl w:val="0"/>
          </w:rPr>
          <w:t xml:space="preserve"> </w:t>
        </w:r>
      </w:hyperlink>
      <w:hyperlink r:id="rId30">
        <w:r w:rsidDel="00000000" w:rsidR="00000000" w:rsidRPr="00000000">
          <w:rPr>
            <w:rFonts w:ascii="Times New Roman" w:cs="Times New Roman" w:eastAsia="Times New Roman" w:hAnsi="Times New Roman"/>
            <w:color w:val="1155cc"/>
            <w:sz w:val="24"/>
            <w:szCs w:val="24"/>
            <w:u w:val="single"/>
            <w:rtl w:val="0"/>
          </w:rPr>
          <w:t xml:space="preserve">https://doi.org/10.1016/j.jclepro.2023.139294</w:t>
        </w:r>
      </w:hyperlink>
      <w:r w:rsidDel="00000000" w:rsidR="00000000" w:rsidRPr="00000000">
        <w:rPr>
          <w:rtl w:val="0"/>
        </w:rPr>
      </w:r>
    </w:p>
    <w:p w:rsidR="00000000" w:rsidDel="00000000" w:rsidP="00000000" w:rsidRDefault="00000000" w:rsidRPr="00000000" w14:paraId="0000014D">
      <w:pPr>
        <w:spacing w:after="240" w:before="240" w:line="36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Di Vaio, A., Van Engelenhoven, E., Zaffar, A., Raimo, N., &amp; Vitolla, F. (2026). Innovating business models for circular and regenerative outcomes: Carbon insetting practices in European port ecosystems. </w:t>
      </w:r>
      <w:r w:rsidDel="00000000" w:rsidR="00000000" w:rsidRPr="00000000">
        <w:rPr>
          <w:rFonts w:ascii="Times New Roman" w:cs="Times New Roman" w:eastAsia="Times New Roman" w:hAnsi="Times New Roman"/>
          <w:i w:val="1"/>
          <w:iCs w:val="1"/>
          <w:sz w:val="24"/>
          <w:szCs w:val="24"/>
          <w:rtl w:val="0"/>
        </w:rPr>
        <w:t xml:space="preserve">Journal of Innovation &amp; Knowledge, 16</w:t>
      </w:r>
      <w:r w:rsidDel="00000000" w:rsidR="00000000" w:rsidRPr="00000000">
        <w:rPr>
          <w:rFonts w:ascii="Times New Roman" w:cs="Times New Roman" w:eastAsia="Times New Roman" w:hAnsi="Times New Roman"/>
          <w:sz w:val="24"/>
          <w:szCs w:val="24"/>
          <w:rtl w:val="0"/>
        </w:rPr>
        <w:t xml:space="preserve">, 101033.</w:t>
      </w:r>
      <w:hyperlink r:id="rId31">
        <w:r w:rsidDel="00000000" w:rsidR="00000000" w:rsidRPr="00000000">
          <w:rPr>
            <w:rFonts w:ascii="Times New Roman" w:cs="Times New Roman" w:eastAsia="Times New Roman" w:hAnsi="Times New Roman"/>
            <w:sz w:val="24"/>
            <w:szCs w:val="24"/>
            <w:rtl w:val="0"/>
          </w:rPr>
          <w:t xml:space="preserve"> </w:t>
        </w:r>
      </w:hyperlink>
      <w:hyperlink r:id="rId32">
        <w:r w:rsidDel="00000000" w:rsidR="00000000" w:rsidRPr="00000000">
          <w:rPr>
            <w:rFonts w:ascii="Times New Roman" w:cs="Times New Roman" w:eastAsia="Times New Roman" w:hAnsi="Times New Roman"/>
            <w:color w:val="1155cc"/>
            <w:sz w:val="24"/>
            <w:szCs w:val="24"/>
            <w:u w:val="single"/>
            <w:rtl w:val="0"/>
          </w:rPr>
          <w:t xml:space="preserve">https://doi.org/10.1016/j.jik.2026.101033</w:t>
        </w:r>
      </w:hyperlink>
      <w:r w:rsidDel="00000000" w:rsidR="00000000" w:rsidRPr="00000000">
        <w:rPr>
          <w:rtl w:val="0"/>
        </w:rPr>
      </w:r>
    </w:p>
    <w:p w:rsidR="00000000" w:rsidDel="00000000" w:rsidP="00000000" w:rsidRDefault="00000000" w:rsidRPr="00000000" w14:paraId="0000014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European Commission. (2018). Commission Implementing Regulation (EU) 2018/2066 of 19 December 2018 on the monitoring and reporting of greenhouse gas emissions pursuant to Directive 2003/87/EC of the European Parliament and of the Council and amending Commission Regulation (EU) No 601/2012. </w:t>
      </w:r>
      <w:r w:rsidDel="00000000" w:rsidR="00000000" w:rsidRPr="00000000">
        <w:rPr>
          <w:rFonts w:ascii="Times New Roman" w:cs="Times New Roman" w:eastAsia="Times New Roman" w:hAnsi="Times New Roman"/>
          <w:i w:val="1"/>
          <w:iCs w:val="1"/>
          <w:sz w:val="24"/>
          <w:szCs w:val="24"/>
          <w:rtl w:val="0"/>
        </w:rPr>
        <w:t xml:space="preserve">Official Journal of the European Union</w:t>
      </w:r>
      <w:r w:rsidDel="00000000" w:rsidR="00000000" w:rsidRPr="00000000">
        <w:rPr>
          <w:rFonts w:ascii="Times New Roman" w:cs="Times New Roman" w:eastAsia="Times New Roman" w:hAnsi="Times New Roman"/>
          <w:sz w:val="24"/>
          <w:szCs w:val="24"/>
          <w:rtl w:val="0"/>
        </w:rPr>
        <w:t xml:space="preserve">, L 334, 1-93.</w:t>
      </w:r>
      <w:hyperlink r:id="rId33">
        <w:r w:rsidDel="00000000" w:rsidR="00000000" w:rsidRPr="00000000">
          <w:rPr>
            <w:rFonts w:ascii="Times New Roman" w:cs="Times New Roman" w:eastAsia="Times New Roman" w:hAnsi="Times New Roman"/>
            <w:sz w:val="24"/>
            <w:szCs w:val="24"/>
            <w:rtl w:val="0"/>
          </w:rPr>
          <w:t xml:space="preserve"> </w:t>
        </w:r>
      </w:hyperlink>
      <w:hyperlink r:id="rId34">
        <w:r w:rsidDel="00000000" w:rsidR="00000000" w:rsidRPr="00000000">
          <w:rPr>
            <w:rFonts w:ascii="Times New Roman" w:cs="Times New Roman" w:eastAsia="Times New Roman" w:hAnsi="Times New Roman"/>
            <w:color w:val="1155cc"/>
            <w:sz w:val="24"/>
            <w:szCs w:val="24"/>
            <w:u w:val="single"/>
            <w:rtl w:val="0"/>
          </w:rPr>
          <w:t xml:space="preserve">https://eur-lex.europa.eu/eli/reg_impl/2018/2066/oj/eng</w:t>
        </w:r>
      </w:hyperlink>
      <w:r w:rsidDel="00000000" w:rsidR="00000000" w:rsidRPr="00000000">
        <w:rPr>
          <w:rtl w:val="0"/>
        </w:rPr>
      </w:r>
    </w:p>
    <w:p w:rsidR="00000000" w:rsidDel="00000000" w:rsidP="00000000" w:rsidRDefault="00000000" w:rsidRPr="00000000" w14:paraId="0000014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European Commission. (2022). Commission Implementing Regulation (EU) 2022/996 of 14 June 2022 on rules to verify sustainability and greenhouse gas emissions saving criteria and low indirect land-use change-risk criteria. Official Journal of the European Union, L 168, 1-62. </w:t>
      </w:r>
      <w:hyperlink r:id="rId35">
        <w:r w:rsidDel="00000000" w:rsidR="00000000" w:rsidRPr="00000000">
          <w:rPr>
            <w:rFonts w:ascii="Times New Roman" w:cs="Times New Roman" w:eastAsia="Times New Roman" w:hAnsi="Times New Roman"/>
            <w:color w:val="1155cc"/>
            <w:sz w:val="24"/>
            <w:szCs w:val="24"/>
            <w:u w:val="single"/>
            <w:rtl w:val="0"/>
          </w:rPr>
          <w:t xml:space="preserve">https://eur-lex.europa.eu/eli/reg_impl/2022/996/oj/eng</w:t>
        </w:r>
      </w:hyperlink>
      <w:r w:rsidDel="00000000" w:rsidR="00000000" w:rsidRPr="00000000">
        <w:rPr>
          <w:rtl w:val="0"/>
        </w:rPr>
      </w:r>
    </w:p>
    <w:p w:rsidR="00000000" w:rsidDel="00000000" w:rsidP="00000000" w:rsidRDefault="00000000" w:rsidRPr="00000000" w14:paraId="0000015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European Commission. (2020). Communication from the Commission to the European Parliament, the Council, the European Economic and Social Committee and the Committee of the Regions: A new Circular Economy Action Plan for a cleaner and more competitive Europe (COM/2020/98 final). </w:t>
      </w:r>
      <w:hyperlink r:id="rId36">
        <w:r w:rsidDel="00000000" w:rsidR="00000000" w:rsidRPr="00000000">
          <w:rPr>
            <w:rFonts w:ascii="Times New Roman" w:cs="Times New Roman" w:eastAsia="Times New Roman" w:hAnsi="Times New Roman"/>
            <w:color w:val="1155cc"/>
            <w:sz w:val="24"/>
            <w:szCs w:val="24"/>
            <w:u w:val="single"/>
            <w:rtl w:val="0"/>
          </w:rPr>
          <w:t xml:space="preserve">https://eur-lex.europa.eu/legal-content/EN/TXT/?qid=1583933814386&amp;uri=COM:2020:98:FIN</w:t>
        </w:r>
      </w:hyperlink>
      <w:r w:rsidDel="00000000" w:rsidR="00000000" w:rsidRPr="00000000">
        <w:rPr>
          <w:rtl w:val="0"/>
        </w:rPr>
      </w:r>
    </w:p>
    <w:p w:rsidR="00000000" w:rsidDel="00000000" w:rsidP="00000000" w:rsidRDefault="00000000" w:rsidRPr="00000000" w14:paraId="0000015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European Commission. (2025). Communication from the Commission to the European Parliament, the Council, the European Economic and Social Committee and the Committee of the Regions: Sustainable Transport Investment Plan (COM(2025) 664 final). </w:t>
      </w:r>
      <w:hyperlink r:id="rId37">
        <w:r w:rsidDel="00000000" w:rsidR="00000000" w:rsidRPr="00000000">
          <w:rPr>
            <w:rFonts w:ascii="Times New Roman" w:cs="Times New Roman" w:eastAsia="Times New Roman" w:hAnsi="Times New Roman"/>
            <w:color w:val="1155cc"/>
            <w:sz w:val="24"/>
            <w:szCs w:val="24"/>
            <w:u w:val="single"/>
            <w:rtl w:val="0"/>
          </w:rPr>
          <w:t xml:space="preserve">https://eur-lex.europa.eu/legal-content/EN/TXT/?uri=celex:52025DC0664</w:t>
        </w:r>
      </w:hyperlink>
      <w:r w:rsidDel="00000000" w:rsidR="00000000" w:rsidRPr="00000000">
        <w:rPr>
          <w:rtl w:val="0"/>
        </w:rPr>
      </w:r>
    </w:p>
    <w:p w:rsidR="00000000" w:rsidDel="00000000" w:rsidP="00000000" w:rsidRDefault="00000000" w:rsidRPr="00000000" w14:paraId="0000015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European Parliament &amp; Council of the European Union. (2003). Directive 2003/87/EC of the European Parliament and of the Council of 13 October 2003 establishing a scheme for greenhouse gas emission allowance trading within the Community and amending Council Directive 96/61/EC. </w:t>
      </w:r>
      <w:r w:rsidDel="00000000" w:rsidR="00000000" w:rsidRPr="00000000">
        <w:rPr>
          <w:rFonts w:ascii="Times New Roman" w:cs="Times New Roman" w:eastAsia="Times New Roman" w:hAnsi="Times New Roman"/>
          <w:i w:val="1"/>
          <w:iCs w:val="1"/>
          <w:sz w:val="24"/>
          <w:szCs w:val="24"/>
          <w:rtl w:val="0"/>
        </w:rPr>
        <w:t xml:space="preserve">Official Journal of the European Union</w:t>
      </w:r>
      <w:r w:rsidDel="00000000" w:rsidR="00000000" w:rsidRPr="00000000">
        <w:rPr>
          <w:rFonts w:ascii="Times New Roman" w:cs="Times New Roman" w:eastAsia="Times New Roman" w:hAnsi="Times New Roman"/>
          <w:sz w:val="24"/>
          <w:szCs w:val="24"/>
          <w:rtl w:val="0"/>
        </w:rPr>
        <w:t xml:space="preserve">, L 275, 32-46.</w:t>
      </w:r>
      <w:hyperlink r:id="rId38">
        <w:r w:rsidDel="00000000" w:rsidR="00000000" w:rsidRPr="00000000">
          <w:rPr>
            <w:rFonts w:ascii="Times New Roman" w:cs="Times New Roman" w:eastAsia="Times New Roman" w:hAnsi="Times New Roman"/>
            <w:sz w:val="24"/>
            <w:szCs w:val="24"/>
            <w:rtl w:val="0"/>
          </w:rPr>
          <w:t xml:space="preserve"> </w:t>
        </w:r>
      </w:hyperlink>
      <w:hyperlink r:id="rId39">
        <w:r w:rsidDel="00000000" w:rsidR="00000000" w:rsidRPr="00000000">
          <w:rPr>
            <w:rFonts w:ascii="Times New Roman" w:cs="Times New Roman" w:eastAsia="Times New Roman" w:hAnsi="Times New Roman"/>
            <w:color w:val="1155cc"/>
            <w:sz w:val="24"/>
            <w:szCs w:val="24"/>
            <w:u w:val="single"/>
            <w:rtl w:val="0"/>
          </w:rPr>
          <w:t xml:space="preserve">https://eur-lex.europa.eu/eli/dir/2003/87/oj/eng</w:t>
        </w:r>
      </w:hyperlink>
      <w:r w:rsidDel="00000000" w:rsidR="00000000" w:rsidRPr="00000000">
        <w:rPr>
          <w:rtl w:val="0"/>
        </w:rPr>
      </w:r>
    </w:p>
    <w:p w:rsidR="00000000" w:rsidDel="00000000" w:rsidP="00000000" w:rsidRDefault="00000000" w:rsidRPr="00000000" w14:paraId="0000015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European Parliament &amp; Council of the European Union. (2008). Directive 2008/98/EC of the European Parliament and of the Council of 19 November 2008 on waste and repealing certain Directives. Official Journal of the European Union, L 312, 3-30. </w:t>
      </w:r>
      <w:hyperlink r:id="rId40">
        <w:r w:rsidDel="00000000" w:rsidR="00000000" w:rsidRPr="00000000">
          <w:rPr>
            <w:rFonts w:ascii="Times New Roman" w:cs="Times New Roman" w:eastAsia="Times New Roman" w:hAnsi="Times New Roman"/>
            <w:color w:val="1155cc"/>
            <w:sz w:val="24"/>
            <w:szCs w:val="24"/>
            <w:u w:val="single"/>
            <w:rtl w:val="0"/>
          </w:rPr>
          <w:t xml:space="preserve">https://eur-lex.europa.eu/eli/dir/2008/98/oj/eng</w:t>
        </w:r>
      </w:hyperlink>
      <w:r w:rsidDel="00000000" w:rsidR="00000000" w:rsidRPr="00000000">
        <w:rPr>
          <w:rtl w:val="0"/>
        </w:rPr>
      </w:r>
    </w:p>
    <w:p w:rsidR="00000000" w:rsidDel="00000000" w:rsidP="00000000" w:rsidRDefault="00000000" w:rsidRPr="00000000" w14:paraId="0000015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European Parliament and Council of the European Union. (2009). Regulation (EC) No 1069/2009 of the European Parliament and of the Council of 21 October 2009 laying down health rules as regards animal by-products and derived products not intended for human consumption and repealing Regulation (EC) No 1774/2002 (Animal by-products Regulation). EUR-Lex. </w:t>
      </w:r>
      <w:hyperlink r:id="rId41">
        <w:r w:rsidDel="00000000" w:rsidR="00000000" w:rsidRPr="00000000">
          <w:rPr>
            <w:rFonts w:ascii="Times New Roman" w:cs="Times New Roman" w:eastAsia="Times New Roman" w:hAnsi="Times New Roman"/>
            <w:color w:val="1155cc"/>
            <w:sz w:val="24"/>
            <w:szCs w:val="24"/>
            <w:u w:val="single"/>
            <w:rtl w:val="0"/>
          </w:rPr>
          <w:t xml:space="preserve">https://eur-lex.europa.eu/eli/reg/2009/1069/oj/eng</w:t>
        </w:r>
      </w:hyperlink>
      <w:r w:rsidDel="00000000" w:rsidR="00000000" w:rsidRPr="00000000">
        <w:rPr>
          <w:rtl w:val="0"/>
        </w:rPr>
      </w:r>
    </w:p>
    <w:p w:rsidR="00000000" w:rsidDel="00000000" w:rsidP="00000000" w:rsidRDefault="00000000" w:rsidRPr="00000000" w14:paraId="0000015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European Parliament &amp; Council of the European Union. (2018). Directive (EU) 2018/410 of the European Parliament and of the Council of 14 March 2018 amending Directive 2003/87/EC to enhance cost-effective emission reductions and low-carbon investments, and Decision (EU) 2015/1814. </w:t>
      </w:r>
      <w:r w:rsidDel="00000000" w:rsidR="00000000" w:rsidRPr="00000000">
        <w:rPr>
          <w:rFonts w:ascii="Times New Roman" w:cs="Times New Roman" w:eastAsia="Times New Roman" w:hAnsi="Times New Roman"/>
          <w:i w:val="1"/>
          <w:iCs w:val="1"/>
          <w:sz w:val="24"/>
          <w:szCs w:val="24"/>
          <w:rtl w:val="0"/>
        </w:rPr>
        <w:t xml:space="preserve">Official Journal of the European Union</w:t>
      </w:r>
      <w:r w:rsidDel="00000000" w:rsidR="00000000" w:rsidRPr="00000000">
        <w:rPr>
          <w:rFonts w:ascii="Times New Roman" w:cs="Times New Roman" w:eastAsia="Times New Roman" w:hAnsi="Times New Roman"/>
          <w:sz w:val="24"/>
          <w:szCs w:val="24"/>
          <w:rtl w:val="0"/>
        </w:rPr>
        <w:t xml:space="preserve">, L 76, 3-27.</w:t>
      </w:r>
      <w:hyperlink r:id="rId42">
        <w:r w:rsidDel="00000000" w:rsidR="00000000" w:rsidRPr="00000000">
          <w:rPr>
            <w:rFonts w:ascii="Times New Roman" w:cs="Times New Roman" w:eastAsia="Times New Roman" w:hAnsi="Times New Roman"/>
            <w:sz w:val="24"/>
            <w:szCs w:val="24"/>
            <w:rtl w:val="0"/>
          </w:rPr>
          <w:t xml:space="preserve"> </w:t>
        </w:r>
      </w:hyperlink>
      <w:hyperlink r:id="rId43">
        <w:r w:rsidDel="00000000" w:rsidR="00000000" w:rsidRPr="00000000">
          <w:rPr>
            <w:rFonts w:ascii="Times New Roman" w:cs="Times New Roman" w:eastAsia="Times New Roman" w:hAnsi="Times New Roman"/>
            <w:color w:val="1155cc"/>
            <w:sz w:val="24"/>
            <w:szCs w:val="24"/>
            <w:u w:val="single"/>
            <w:rtl w:val="0"/>
          </w:rPr>
          <w:t xml:space="preserve">https://eur-lex.europa.eu/eli/dir/2018/410/oj/eng</w:t>
        </w:r>
      </w:hyperlink>
      <w:r w:rsidDel="00000000" w:rsidR="00000000" w:rsidRPr="00000000">
        <w:rPr>
          <w:rtl w:val="0"/>
        </w:rPr>
      </w:r>
    </w:p>
    <w:p w:rsidR="00000000" w:rsidDel="00000000" w:rsidP="00000000" w:rsidRDefault="00000000" w:rsidRPr="00000000" w14:paraId="0000015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European Parliament &amp; Council of the European Union. (2020). Regulation (EU) 2020/852 of the European Parliament and of the Council of 18 June 2020 on the establishment of a framework to facilitate sustainable investment, and amending Regulation (EU) 2019/2088. Official Journal of the European Union, L 198, 13-43. </w:t>
      </w:r>
      <w:hyperlink r:id="rId44">
        <w:r w:rsidDel="00000000" w:rsidR="00000000" w:rsidRPr="00000000">
          <w:rPr>
            <w:rFonts w:ascii="Times New Roman" w:cs="Times New Roman" w:eastAsia="Times New Roman" w:hAnsi="Times New Roman"/>
            <w:color w:val="1155cc"/>
            <w:sz w:val="24"/>
            <w:szCs w:val="24"/>
            <w:u w:val="single"/>
            <w:rtl w:val="0"/>
          </w:rPr>
          <w:t xml:space="preserve">https://eur-lex.europa.eu/eli/reg/2020/852/oj/eng</w:t>
        </w:r>
      </w:hyperlink>
      <w:r w:rsidDel="00000000" w:rsidR="00000000" w:rsidRPr="00000000">
        <w:rPr>
          <w:rtl w:val="0"/>
        </w:rPr>
      </w:r>
    </w:p>
    <w:p w:rsidR="00000000" w:rsidDel="00000000" w:rsidP="00000000" w:rsidRDefault="00000000" w:rsidRPr="00000000" w14:paraId="0000015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European Parliament &amp; Council of the European Union. (2023a). Regulation (EU) 2023/2405 of the European Parliament and of the Council of 18 October 2023 on ensuring a level playing field for sustainable air transport (ReFuelEU Aviation). Official Journal of the European Union, L, 2023/2405. </w:t>
      </w:r>
      <w:hyperlink r:id="rId45">
        <w:r w:rsidDel="00000000" w:rsidR="00000000" w:rsidRPr="00000000">
          <w:rPr>
            <w:rFonts w:ascii="Times New Roman" w:cs="Times New Roman" w:eastAsia="Times New Roman" w:hAnsi="Times New Roman"/>
            <w:color w:val="1155cc"/>
            <w:sz w:val="24"/>
            <w:szCs w:val="24"/>
            <w:u w:val="single"/>
            <w:rtl w:val="0"/>
          </w:rPr>
          <w:t xml:space="preserve">https://eur-lex.europa.eu/legal-content/EN/TXT/?uri=CELEX%3A32023R2405</w:t>
        </w:r>
      </w:hyperlink>
      <w:r w:rsidDel="00000000" w:rsidR="00000000" w:rsidRPr="00000000">
        <w:rPr>
          <w:rtl w:val="0"/>
        </w:rPr>
      </w:r>
    </w:p>
    <w:p w:rsidR="00000000" w:rsidDel="00000000" w:rsidP="00000000" w:rsidRDefault="00000000" w:rsidRPr="00000000" w14:paraId="0000015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European Parliament &amp; Council of the European Union. (2023b). Directive (EU) 2023/2413 of the European Parliament and of the Council of 18 October 2023 amending Directive (EU) 2018/2001, Regulation (EU) 2018/1999 and Directive 98/70/EC as regards the promotion of energy from renewable sources, and repealing Council Directive (EU) 2015/652. Official Journal of the European Union, L, 2023/2413. </w:t>
      </w:r>
      <w:hyperlink r:id="rId46">
        <w:r w:rsidDel="00000000" w:rsidR="00000000" w:rsidRPr="00000000">
          <w:rPr>
            <w:rFonts w:ascii="Times New Roman" w:cs="Times New Roman" w:eastAsia="Times New Roman" w:hAnsi="Times New Roman"/>
            <w:color w:val="1155cc"/>
            <w:sz w:val="24"/>
            <w:szCs w:val="24"/>
            <w:u w:val="single"/>
            <w:rtl w:val="0"/>
          </w:rPr>
          <w:t xml:space="preserve">https://eur-lex.europa.eu/eli/dir/2023/2413/oj/eng</w:t>
        </w:r>
      </w:hyperlink>
      <w:r w:rsidDel="00000000" w:rsidR="00000000" w:rsidRPr="00000000">
        <w:rPr>
          <w:rtl w:val="0"/>
        </w:rPr>
      </w:r>
    </w:p>
    <w:p w:rsidR="00000000" w:rsidDel="00000000" w:rsidP="00000000" w:rsidRDefault="00000000" w:rsidRPr="00000000" w14:paraId="0000015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European Parliament &amp; Council of the European Union. (2023c). Directive (EU) 2023/959 of the European Parliament and of the Council of 10 May 2023 amending Directive 2003/87/EC establishing a system for greenhouse gas emission allowance trading within the Union and Decision (EU) 2015/1814 concerning the establishment and operation of a market stability reserve for the Union greenhouse gas emission trading system. </w:t>
      </w:r>
      <w:r w:rsidDel="00000000" w:rsidR="00000000" w:rsidRPr="00000000">
        <w:rPr>
          <w:rFonts w:ascii="Times New Roman" w:cs="Times New Roman" w:eastAsia="Times New Roman" w:hAnsi="Times New Roman"/>
          <w:i w:val="1"/>
          <w:iCs w:val="1"/>
          <w:sz w:val="24"/>
          <w:szCs w:val="24"/>
          <w:rtl w:val="0"/>
        </w:rPr>
        <w:t xml:space="preserve">Official Journal of the European Union</w:t>
      </w:r>
      <w:r w:rsidDel="00000000" w:rsidR="00000000" w:rsidRPr="00000000">
        <w:rPr>
          <w:rFonts w:ascii="Times New Roman" w:cs="Times New Roman" w:eastAsia="Times New Roman" w:hAnsi="Times New Roman"/>
          <w:sz w:val="24"/>
          <w:szCs w:val="24"/>
          <w:rtl w:val="0"/>
        </w:rPr>
        <w:t xml:space="preserve">, L 130, 134-202.</w:t>
      </w:r>
      <w:hyperlink r:id="rId47">
        <w:r w:rsidDel="00000000" w:rsidR="00000000" w:rsidRPr="00000000">
          <w:rPr>
            <w:rFonts w:ascii="Times New Roman" w:cs="Times New Roman" w:eastAsia="Times New Roman" w:hAnsi="Times New Roman"/>
            <w:sz w:val="24"/>
            <w:szCs w:val="24"/>
            <w:rtl w:val="0"/>
          </w:rPr>
          <w:t xml:space="preserve"> </w:t>
        </w:r>
      </w:hyperlink>
      <w:hyperlink r:id="rId48">
        <w:r w:rsidDel="00000000" w:rsidR="00000000" w:rsidRPr="00000000">
          <w:rPr>
            <w:rFonts w:ascii="Times New Roman" w:cs="Times New Roman" w:eastAsia="Times New Roman" w:hAnsi="Times New Roman"/>
            <w:color w:val="1155cc"/>
            <w:sz w:val="24"/>
            <w:szCs w:val="24"/>
            <w:u w:val="single"/>
            <w:rtl w:val="0"/>
          </w:rPr>
          <w:t xml:space="preserve">https://eur-lex.europa.eu/eli/dir/2023/959/oj</w:t>
        </w:r>
      </w:hyperlink>
      <w:r w:rsidDel="00000000" w:rsidR="00000000" w:rsidRPr="00000000">
        <w:rPr>
          <w:rtl w:val="0"/>
        </w:rPr>
      </w:r>
    </w:p>
    <w:p w:rsidR="00000000" w:rsidDel="00000000" w:rsidP="00000000" w:rsidRDefault="00000000" w:rsidRPr="00000000" w14:paraId="0000015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European Parliament and Council of the European Union. (2026). Directive (EU) 2026/470 of the European Parliament and of the Council of 24 February 2026 amending Directives 2006/43/EC, 2013/34/EU, (EU) 2022/2464 and (EU) 2024/1760 as regards certain corporate sustainability reporting requirements and certain corporate sustainability due diligence requirements. EUR-Lex. </w:t>
      </w:r>
      <w:hyperlink r:id="rId49">
        <w:r w:rsidDel="00000000" w:rsidR="00000000" w:rsidRPr="00000000">
          <w:rPr>
            <w:rFonts w:ascii="Times New Roman" w:cs="Times New Roman" w:eastAsia="Times New Roman" w:hAnsi="Times New Roman"/>
            <w:color w:val="1155cc"/>
            <w:sz w:val="24"/>
            <w:szCs w:val="24"/>
            <w:u w:val="single"/>
            <w:rtl w:val="0"/>
          </w:rPr>
          <w:t xml:space="preserve">https://eur-lex.europa.eu/eli/dir/2026/470/oj/eng</w:t>
        </w:r>
      </w:hyperlink>
      <w:r w:rsidDel="00000000" w:rsidR="00000000" w:rsidRPr="00000000">
        <w:rPr>
          <w:rtl w:val="0"/>
        </w:rPr>
      </w:r>
    </w:p>
    <w:p w:rsidR="00000000" w:rsidDel="00000000" w:rsidP="00000000" w:rsidRDefault="00000000" w:rsidRPr="00000000" w14:paraId="0000015B">
      <w:pPr>
        <w:spacing w:after="240" w:before="240" w:line="36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Faccin, K., Beuter, N., Martins, B., &amp; Vasconcellos, S. L. (2025). Promoting sustainable business model innovation: A dynamic capabilities approach. </w:t>
      </w:r>
      <w:r w:rsidDel="00000000" w:rsidR="00000000" w:rsidRPr="00000000">
        <w:rPr>
          <w:rFonts w:ascii="Times New Roman" w:cs="Times New Roman" w:eastAsia="Times New Roman" w:hAnsi="Times New Roman"/>
          <w:i w:val="1"/>
          <w:iCs w:val="1"/>
          <w:sz w:val="24"/>
          <w:szCs w:val="24"/>
          <w:rtl w:val="0"/>
        </w:rPr>
        <w:t xml:space="preserve">Management Decision</w:t>
      </w:r>
      <w:r w:rsidDel="00000000" w:rsidR="00000000" w:rsidRPr="00000000">
        <w:rPr>
          <w:rFonts w:ascii="Times New Roman" w:cs="Times New Roman" w:eastAsia="Times New Roman" w:hAnsi="Times New Roman"/>
          <w:sz w:val="24"/>
          <w:szCs w:val="24"/>
          <w:rtl w:val="0"/>
        </w:rPr>
        <w:t xml:space="preserve">. Advance online publication.</w:t>
      </w:r>
      <w:hyperlink r:id="rId50">
        <w:r w:rsidDel="00000000" w:rsidR="00000000" w:rsidRPr="00000000">
          <w:rPr>
            <w:rFonts w:ascii="Times New Roman" w:cs="Times New Roman" w:eastAsia="Times New Roman" w:hAnsi="Times New Roman"/>
            <w:sz w:val="24"/>
            <w:szCs w:val="24"/>
            <w:rtl w:val="0"/>
          </w:rPr>
          <w:t xml:space="preserve"> </w:t>
        </w:r>
      </w:hyperlink>
      <w:hyperlink r:id="rId51">
        <w:r w:rsidDel="00000000" w:rsidR="00000000" w:rsidRPr="00000000">
          <w:rPr>
            <w:rFonts w:ascii="Times New Roman" w:cs="Times New Roman" w:eastAsia="Times New Roman" w:hAnsi="Times New Roman"/>
            <w:color w:val="1155cc"/>
            <w:sz w:val="24"/>
            <w:szCs w:val="24"/>
            <w:u w:val="single"/>
            <w:rtl w:val="0"/>
          </w:rPr>
          <w:t xml:space="preserve">https://doi.org/10.1108/MD-07-2024-1548</w:t>
        </w:r>
      </w:hyperlink>
      <w:r w:rsidDel="00000000" w:rsidR="00000000" w:rsidRPr="00000000">
        <w:rPr>
          <w:rtl w:val="0"/>
        </w:rPr>
      </w:r>
    </w:p>
    <w:p w:rsidR="00000000" w:rsidDel="00000000" w:rsidP="00000000" w:rsidRDefault="00000000" w:rsidRPr="00000000" w14:paraId="0000015C">
      <w:pPr>
        <w:spacing w:after="240" w:before="240" w:line="36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Fedele, M., &amp; Formisano, V. (2023). Waste from criticality to resource through an innovative circular business model: A case study in the manufacturing industry. </w:t>
      </w:r>
      <w:r w:rsidDel="00000000" w:rsidR="00000000" w:rsidRPr="00000000">
        <w:rPr>
          <w:rFonts w:ascii="Times New Roman" w:cs="Times New Roman" w:eastAsia="Times New Roman" w:hAnsi="Times New Roman"/>
          <w:i w:val="1"/>
          <w:iCs w:val="1"/>
          <w:sz w:val="24"/>
          <w:szCs w:val="24"/>
          <w:rtl w:val="0"/>
        </w:rPr>
        <w:t xml:space="preserve">Journal of Cleaner Production, 407</w:t>
      </w:r>
      <w:r w:rsidDel="00000000" w:rsidR="00000000" w:rsidRPr="00000000">
        <w:rPr>
          <w:rFonts w:ascii="Times New Roman" w:cs="Times New Roman" w:eastAsia="Times New Roman" w:hAnsi="Times New Roman"/>
          <w:sz w:val="24"/>
          <w:szCs w:val="24"/>
          <w:rtl w:val="0"/>
        </w:rPr>
        <w:t xml:space="preserve">, 137143.</w:t>
      </w:r>
      <w:hyperlink r:id="rId52">
        <w:r w:rsidDel="00000000" w:rsidR="00000000" w:rsidRPr="00000000">
          <w:rPr>
            <w:rFonts w:ascii="Times New Roman" w:cs="Times New Roman" w:eastAsia="Times New Roman" w:hAnsi="Times New Roman"/>
            <w:sz w:val="24"/>
            <w:szCs w:val="24"/>
            <w:rtl w:val="0"/>
          </w:rPr>
          <w:t xml:space="preserve"> </w:t>
        </w:r>
      </w:hyperlink>
      <w:hyperlink r:id="rId53">
        <w:r w:rsidDel="00000000" w:rsidR="00000000" w:rsidRPr="00000000">
          <w:rPr>
            <w:rFonts w:ascii="Times New Roman" w:cs="Times New Roman" w:eastAsia="Times New Roman" w:hAnsi="Times New Roman"/>
            <w:color w:val="1155cc"/>
            <w:sz w:val="24"/>
            <w:szCs w:val="24"/>
            <w:u w:val="single"/>
            <w:rtl w:val="0"/>
          </w:rPr>
          <w:t xml:space="preserve">https://doi.org/10.1016/j.jclepro.2023.137143</w:t>
        </w:r>
      </w:hyperlink>
      <w:r w:rsidDel="00000000" w:rsidR="00000000" w:rsidRPr="00000000">
        <w:rPr>
          <w:rtl w:val="0"/>
        </w:rPr>
      </w:r>
    </w:p>
    <w:p w:rsidR="00000000" w:rsidDel="00000000" w:rsidP="00000000" w:rsidRDefault="00000000" w:rsidRPr="00000000" w14:paraId="0000015D">
      <w:pPr>
        <w:spacing w:after="240" w:before="240" w:line="36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Foss, N. J., &amp; Saebi, T. (2017). Fifteen years of research on business model innovation: How far have we come, and where should we go? </w:t>
      </w:r>
      <w:r w:rsidDel="00000000" w:rsidR="00000000" w:rsidRPr="00000000">
        <w:rPr>
          <w:rFonts w:ascii="Times New Roman" w:cs="Times New Roman" w:eastAsia="Times New Roman" w:hAnsi="Times New Roman"/>
          <w:i w:val="1"/>
          <w:iCs w:val="1"/>
          <w:sz w:val="24"/>
          <w:szCs w:val="24"/>
          <w:rtl w:val="0"/>
        </w:rPr>
        <w:t xml:space="preserve">Journal of Management, 43</w:t>
      </w:r>
      <w:r w:rsidDel="00000000" w:rsidR="00000000" w:rsidRPr="00000000">
        <w:rPr>
          <w:rFonts w:ascii="Times New Roman" w:cs="Times New Roman" w:eastAsia="Times New Roman" w:hAnsi="Times New Roman"/>
          <w:sz w:val="24"/>
          <w:szCs w:val="24"/>
          <w:rtl w:val="0"/>
        </w:rPr>
        <w:t xml:space="preserve">(1), 200-227.</w:t>
      </w:r>
      <w:hyperlink r:id="rId54">
        <w:r w:rsidDel="00000000" w:rsidR="00000000" w:rsidRPr="00000000">
          <w:rPr>
            <w:rFonts w:ascii="Times New Roman" w:cs="Times New Roman" w:eastAsia="Times New Roman" w:hAnsi="Times New Roman"/>
            <w:sz w:val="24"/>
            <w:szCs w:val="24"/>
            <w:rtl w:val="0"/>
          </w:rPr>
          <w:t xml:space="preserve"> </w:t>
        </w:r>
      </w:hyperlink>
      <w:hyperlink r:id="rId55">
        <w:r w:rsidDel="00000000" w:rsidR="00000000" w:rsidRPr="00000000">
          <w:rPr>
            <w:rFonts w:ascii="Times New Roman" w:cs="Times New Roman" w:eastAsia="Times New Roman" w:hAnsi="Times New Roman"/>
            <w:color w:val="1155cc"/>
            <w:sz w:val="24"/>
            <w:szCs w:val="24"/>
            <w:u w:val="single"/>
            <w:rtl w:val="0"/>
          </w:rPr>
          <w:t xml:space="preserve">https://doi.org/10.1177/0149206316675927</w:t>
        </w:r>
      </w:hyperlink>
      <w:r w:rsidDel="00000000" w:rsidR="00000000" w:rsidRPr="00000000">
        <w:rPr>
          <w:rtl w:val="0"/>
        </w:rPr>
      </w:r>
    </w:p>
    <w:p w:rsidR="00000000" w:rsidDel="00000000" w:rsidP="00000000" w:rsidRDefault="00000000" w:rsidRPr="00000000" w14:paraId="0000015E">
      <w:pPr>
        <w:spacing w:after="240" w:before="240" w:line="36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Geissdoerfer, M., Morioka, S. N., de Carvalho, M. M., &amp; Evans, S. (2018a). Business models and supply chains for the circular economy. </w:t>
      </w:r>
      <w:r w:rsidDel="00000000" w:rsidR="00000000" w:rsidRPr="00000000">
        <w:rPr>
          <w:rFonts w:ascii="Times New Roman" w:cs="Times New Roman" w:eastAsia="Times New Roman" w:hAnsi="Times New Roman"/>
          <w:i w:val="1"/>
          <w:iCs w:val="1"/>
          <w:sz w:val="24"/>
          <w:szCs w:val="24"/>
          <w:rtl w:val="0"/>
        </w:rPr>
        <w:t xml:space="preserve">Journal of Cleaner Production, 190</w:t>
      </w:r>
      <w:r w:rsidDel="00000000" w:rsidR="00000000" w:rsidRPr="00000000">
        <w:rPr>
          <w:rFonts w:ascii="Times New Roman" w:cs="Times New Roman" w:eastAsia="Times New Roman" w:hAnsi="Times New Roman"/>
          <w:sz w:val="24"/>
          <w:szCs w:val="24"/>
          <w:rtl w:val="0"/>
        </w:rPr>
        <w:t xml:space="preserve">, 712-721.</w:t>
      </w:r>
      <w:hyperlink r:id="rId56">
        <w:r w:rsidDel="00000000" w:rsidR="00000000" w:rsidRPr="00000000">
          <w:rPr>
            <w:rFonts w:ascii="Times New Roman" w:cs="Times New Roman" w:eastAsia="Times New Roman" w:hAnsi="Times New Roman"/>
            <w:sz w:val="24"/>
            <w:szCs w:val="24"/>
            <w:rtl w:val="0"/>
          </w:rPr>
          <w:t xml:space="preserve"> </w:t>
        </w:r>
      </w:hyperlink>
      <w:hyperlink r:id="rId57">
        <w:r w:rsidDel="00000000" w:rsidR="00000000" w:rsidRPr="00000000">
          <w:rPr>
            <w:rFonts w:ascii="Times New Roman" w:cs="Times New Roman" w:eastAsia="Times New Roman" w:hAnsi="Times New Roman"/>
            <w:color w:val="1155cc"/>
            <w:sz w:val="24"/>
            <w:szCs w:val="24"/>
            <w:u w:val="single"/>
            <w:rtl w:val="0"/>
          </w:rPr>
          <w:t xml:space="preserve">https://doi.org/10.1016/j.jclepro.2018.04.159</w:t>
        </w:r>
      </w:hyperlink>
      <w:r w:rsidDel="00000000" w:rsidR="00000000" w:rsidRPr="00000000">
        <w:rPr>
          <w:rtl w:val="0"/>
        </w:rPr>
      </w:r>
    </w:p>
    <w:p w:rsidR="00000000" w:rsidDel="00000000" w:rsidP="00000000" w:rsidRDefault="00000000" w:rsidRPr="00000000" w14:paraId="0000015F">
      <w:pPr>
        <w:spacing w:after="240" w:before="240" w:line="36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Geissdoerfer, M., Pieroni, M. P. P., Pigosso, D. C. A., &amp; Soufani, K. (2020). Circular business models: A review. </w:t>
      </w:r>
      <w:r w:rsidDel="00000000" w:rsidR="00000000" w:rsidRPr="00000000">
        <w:rPr>
          <w:rFonts w:ascii="Times New Roman" w:cs="Times New Roman" w:eastAsia="Times New Roman" w:hAnsi="Times New Roman"/>
          <w:i w:val="1"/>
          <w:iCs w:val="1"/>
          <w:sz w:val="24"/>
          <w:szCs w:val="24"/>
          <w:rtl w:val="0"/>
        </w:rPr>
        <w:t xml:space="preserve">Journal of Cleaner Production, 277</w:t>
      </w:r>
      <w:r w:rsidDel="00000000" w:rsidR="00000000" w:rsidRPr="00000000">
        <w:rPr>
          <w:rFonts w:ascii="Times New Roman" w:cs="Times New Roman" w:eastAsia="Times New Roman" w:hAnsi="Times New Roman"/>
          <w:sz w:val="24"/>
          <w:szCs w:val="24"/>
          <w:rtl w:val="0"/>
        </w:rPr>
        <w:t xml:space="preserve">, 123741.</w:t>
      </w:r>
      <w:hyperlink r:id="rId58">
        <w:r w:rsidDel="00000000" w:rsidR="00000000" w:rsidRPr="00000000">
          <w:rPr>
            <w:rFonts w:ascii="Times New Roman" w:cs="Times New Roman" w:eastAsia="Times New Roman" w:hAnsi="Times New Roman"/>
            <w:sz w:val="24"/>
            <w:szCs w:val="24"/>
            <w:rtl w:val="0"/>
          </w:rPr>
          <w:t xml:space="preserve"> </w:t>
        </w:r>
      </w:hyperlink>
      <w:hyperlink r:id="rId59">
        <w:r w:rsidDel="00000000" w:rsidR="00000000" w:rsidRPr="00000000">
          <w:rPr>
            <w:rFonts w:ascii="Times New Roman" w:cs="Times New Roman" w:eastAsia="Times New Roman" w:hAnsi="Times New Roman"/>
            <w:color w:val="1155cc"/>
            <w:sz w:val="24"/>
            <w:szCs w:val="24"/>
            <w:u w:val="single"/>
            <w:rtl w:val="0"/>
          </w:rPr>
          <w:t xml:space="preserve">https://doi.org/10.1016/j.jclepro.2020.123741</w:t>
        </w:r>
      </w:hyperlink>
      <w:r w:rsidDel="00000000" w:rsidR="00000000" w:rsidRPr="00000000">
        <w:rPr>
          <w:rtl w:val="0"/>
        </w:rPr>
      </w:r>
    </w:p>
    <w:p w:rsidR="00000000" w:rsidDel="00000000" w:rsidP="00000000" w:rsidRDefault="00000000" w:rsidRPr="00000000" w14:paraId="00000160">
      <w:pPr>
        <w:spacing w:after="240" w:before="240" w:line="36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Geissdoerfer, M., Vladimirova, D., &amp; Evans, S. (2018b). Sustainable business model innovation: A review. </w:t>
      </w:r>
      <w:r w:rsidDel="00000000" w:rsidR="00000000" w:rsidRPr="00000000">
        <w:rPr>
          <w:rFonts w:ascii="Times New Roman" w:cs="Times New Roman" w:eastAsia="Times New Roman" w:hAnsi="Times New Roman"/>
          <w:i w:val="1"/>
          <w:iCs w:val="1"/>
          <w:sz w:val="24"/>
          <w:szCs w:val="24"/>
          <w:rtl w:val="0"/>
        </w:rPr>
        <w:t xml:space="preserve">Journal of Cleaner Production, 198</w:t>
      </w:r>
      <w:r w:rsidDel="00000000" w:rsidR="00000000" w:rsidRPr="00000000">
        <w:rPr>
          <w:rFonts w:ascii="Times New Roman" w:cs="Times New Roman" w:eastAsia="Times New Roman" w:hAnsi="Times New Roman"/>
          <w:sz w:val="24"/>
          <w:szCs w:val="24"/>
          <w:rtl w:val="0"/>
        </w:rPr>
        <w:t xml:space="preserve">, 401-416.</w:t>
      </w:r>
      <w:hyperlink r:id="rId60">
        <w:r w:rsidDel="00000000" w:rsidR="00000000" w:rsidRPr="00000000">
          <w:rPr>
            <w:rFonts w:ascii="Times New Roman" w:cs="Times New Roman" w:eastAsia="Times New Roman" w:hAnsi="Times New Roman"/>
            <w:sz w:val="24"/>
            <w:szCs w:val="24"/>
            <w:rtl w:val="0"/>
          </w:rPr>
          <w:t xml:space="preserve"> </w:t>
        </w:r>
      </w:hyperlink>
      <w:hyperlink r:id="rId61">
        <w:r w:rsidDel="00000000" w:rsidR="00000000" w:rsidRPr="00000000">
          <w:rPr>
            <w:rFonts w:ascii="Times New Roman" w:cs="Times New Roman" w:eastAsia="Times New Roman" w:hAnsi="Times New Roman"/>
            <w:color w:val="1155cc"/>
            <w:sz w:val="24"/>
            <w:szCs w:val="24"/>
            <w:u w:val="single"/>
            <w:rtl w:val="0"/>
          </w:rPr>
          <w:t xml:space="preserve">https://doi.org/10.1016/j.jclepro.2018.06.240</w:t>
        </w:r>
      </w:hyperlink>
      <w:r w:rsidDel="00000000" w:rsidR="00000000" w:rsidRPr="00000000">
        <w:rPr>
          <w:rtl w:val="0"/>
        </w:rPr>
      </w:r>
    </w:p>
    <w:p w:rsidR="00000000" w:rsidDel="00000000" w:rsidP="00000000" w:rsidRDefault="00000000" w:rsidRPr="00000000" w14:paraId="00000161">
      <w:pPr>
        <w:spacing w:after="240" w:before="240" w:line="36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Gössling, S., &amp; Humpe, A. (2023). Net-zero aviation: Time for a new business model? </w:t>
      </w:r>
      <w:r w:rsidDel="00000000" w:rsidR="00000000" w:rsidRPr="00000000">
        <w:rPr>
          <w:rFonts w:ascii="Times New Roman" w:cs="Times New Roman" w:eastAsia="Times New Roman" w:hAnsi="Times New Roman"/>
          <w:i w:val="1"/>
          <w:iCs w:val="1"/>
          <w:sz w:val="24"/>
          <w:szCs w:val="24"/>
          <w:rtl w:val="0"/>
        </w:rPr>
        <w:t xml:space="preserve">Journal of Air Transport Management, 107</w:t>
      </w:r>
      <w:r w:rsidDel="00000000" w:rsidR="00000000" w:rsidRPr="00000000">
        <w:rPr>
          <w:rFonts w:ascii="Times New Roman" w:cs="Times New Roman" w:eastAsia="Times New Roman" w:hAnsi="Times New Roman"/>
          <w:sz w:val="24"/>
          <w:szCs w:val="24"/>
          <w:rtl w:val="0"/>
        </w:rPr>
        <w:t xml:space="preserve">, 102353.</w:t>
      </w:r>
      <w:hyperlink r:id="rId62">
        <w:r w:rsidDel="00000000" w:rsidR="00000000" w:rsidRPr="00000000">
          <w:rPr>
            <w:rFonts w:ascii="Times New Roman" w:cs="Times New Roman" w:eastAsia="Times New Roman" w:hAnsi="Times New Roman"/>
            <w:sz w:val="24"/>
            <w:szCs w:val="24"/>
            <w:rtl w:val="0"/>
          </w:rPr>
          <w:t xml:space="preserve"> </w:t>
        </w:r>
      </w:hyperlink>
      <w:hyperlink r:id="rId63">
        <w:r w:rsidDel="00000000" w:rsidR="00000000" w:rsidRPr="00000000">
          <w:rPr>
            <w:rFonts w:ascii="Times New Roman" w:cs="Times New Roman" w:eastAsia="Times New Roman" w:hAnsi="Times New Roman"/>
            <w:color w:val="1155cc"/>
            <w:sz w:val="24"/>
            <w:szCs w:val="24"/>
            <w:u w:val="single"/>
            <w:rtl w:val="0"/>
          </w:rPr>
          <w:t xml:space="preserve">https://doi.org/10.1016/j.jairtraman.2022.102353</w:t>
        </w:r>
      </w:hyperlink>
      <w:r w:rsidDel="00000000" w:rsidR="00000000" w:rsidRPr="00000000">
        <w:rPr>
          <w:rtl w:val="0"/>
        </w:rPr>
      </w:r>
    </w:p>
    <w:p w:rsidR="00000000" w:rsidDel="00000000" w:rsidP="00000000" w:rsidRDefault="00000000" w:rsidRPr="00000000" w14:paraId="00000162">
      <w:pPr>
        <w:spacing w:after="240" w:before="240" w:line="36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Hansen, E. G., &amp; Revellio, F. (2020). Circular value creation architectures: Make, ally, buy, or laissez-faire. </w:t>
      </w:r>
      <w:r w:rsidDel="00000000" w:rsidR="00000000" w:rsidRPr="00000000">
        <w:rPr>
          <w:rFonts w:ascii="Times New Roman" w:cs="Times New Roman" w:eastAsia="Times New Roman" w:hAnsi="Times New Roman"/>
          <w:i w:val="1"/>
          <w:iCs w:val="1"/>
          <w:sz w:val="24"/>
          <w:szCs w:val="24"/>
          <w:rtl w:val="0"/>
        </w:rPr>
        <w:t xml:space="preserve">Journal of Industrial Ecology, 24</w:t>
      </w:r>
      <w:r w:rsidDel="00000000" w:rsidR="00000000" w:rsidRPr="00000000">
        <w:rPr>
          <w:rFonts w:ascii="Times New Roman" w:cs="Times New Roman" w:eastAsia="Times New Roman" w:hAnsi="Times New Roman"/>
          <w:sz w:val="24"/>
          <w:szCs w:val="24"/>
          <w:rtl w:val="0"/>
        </w:rPr>
        <w:t xml:space="preserve">(6), 1250-1273.</w:t>
      </w:r>
      <w:hyperlink r:id="rId64">
        <w:r w:rsidDel="00000000" w:rsidR="00000000" w:rsidRPr="00000000">
          <w:rPr>
            <w:rFonts w:ascii="Times New Roman" w:cs="Times New Roman" w:eastAsia="Times New Roman" w:hAnsi="Times New Roman"/>
            <w:sz w:val="24"/>
            <w:szCs w:val="24"/>
            <w:rtl w:val="0"/>
          </w:rPr>
          <w:t xml:space="preserve"> </w:t>
        </w:r>
      </w:hyperlink>
      <w:hyperlink r:id="rId65">
        <w:r w:rsidDel="00000000" w:rsidR="00000000" w:rsidRPr="00000000">
          <w:rPr>
            <w:rFonts w:ascii="Times New Roman" w:cs="Times New Roman" w:eastAsia="Times New Roman" w:hAnsi="Times New Roman"/>
            <w:color w:val="1155cc"/>
            <w:sz w:val="24"/>
            <w:szCs w:val="24"/>
            <w:u w:val="single"/>
            <w:rtl w:val="0"/>
          </w:rPr>
          <w:t xml:space="preserve">https://doi.org/10.1111/jiec.13016</w:t>
        </w:r>
      </w:hyperlink>
      <w:r w:rsidDel="00000000" w:rsidR="00000000" w:rsidRPr="00000000">
        <w:rPr>
          <w:rtl w:val="0"/>
        </w:rPr>
      </w:r>
    </w:p>
    <w:p w:rsidR="00000000" w:rsidDel="00000000" w:rsidP="00000000" w:rsidRDefault="00000000" w:rsidRPr="00000000" w14:paraId="00000163">
      <w:pPr>
        <w:spacing w:after="240" w:before="240" w:line="36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Hellstrom, M., Tsvetkova, A., Gustafsson, M., &amp; Wikstrom, K. (2015). Collaboration mechanisms for business models in distributed energy ecosystems. </w:t>
      </w:r>
      <w:r w:rsidDel="00000000" w:rsidR="00000000" w:rsidRPr="00000000">
        <w:rPr>
          <w:rFonts w:ascii="Times New Roman" w:cs="Times New Roman" w:eastAsia="Times New Roman" w:hAnsi="Times New Roman"/>
          <w:i w:val="1"/>
          <w:iCs w:val="1"/>
          <w:sz w:val="24"/>
          <w:szCs w:val="24"/>
          <w:rtl w:val="0"/>
        </w:rPr>
        <w:t xml:space="preserve">Journal of Cleaner Production, 102</w:t>
      </w:r>
      <w:r w:rsidDel="00000000" w:rsidR="00000000" w:rsidRPr="00000000">
        <w:rPr>
          <w:rFonts w:ascii="Times New Roman" w:cs="Times New Roman" w:eastAsia="Times New Roman" w:hAnsi="Times New Roman"/>
          <w:sz w:val="24"/>
          <w:szCs w:val="24"/>
          <w:rtl w:val="0"/>
        </w:rPr>
        <w:t xml:space="preserve">, 226-236.</w:t>
      </w:r>
      <w:hyperlink r:id="rId66">
        <w:r w:rsidDel="00000000" w:rsidR="00000000" w:rsidRPr="00000000">
          <w:rPr>
            <w:rFonts w:ascii="Times New Roman" w:cs="Times New Roman" w:eastAsia="Times New Roman" w:hAnsi="Times New Roman"/>
            <w:sz w:val="24"/>
            <w:szCs w:val="24"/>
            <w:rtl w:val="0"/>
          </w:rPr>
          <w:t xml:space="preserve"> </w:t>
        </w:r>
      </w:hyperlink>
      <w:hyperlink r:id="rId67">
        <w:r w:rsidDel="00000000" w:rsidR="00000000" w:rsidRPr="00000000">
          <w:rPr>
            <w:rFonts w:ascii="Times New Roman" w:cs="Times New Roman" w:eastAsia="Times New Roman" w:hAnsi="Times New Roman"/>
            <w:color w:val="1155cc"/>
            <w:sz w:val="24"/>
            <w:szCs w:val="24"/>
            <w:u w:val="single"/>
            <w:rtl w:val="0"/>
          </w:rPr>
          <w:t xml:space="preserve">https://doi.org/10.1016/j.jclepro.2015.04.128</w:t>
        </w:r>
      </w:hyperlink>
      <w:r w:rsidDel="00000000" w:rsidR="00000000" w:rsidRPr="00000000">
        <w:rPr>
          <w:rtl w:val="0"/>
        </w:rPr>
      </w:r>
    </w:p>
    <w:p w:rsidR="00000000" w:rsidDel="00000000" w:rsidP="00000000" w:rsidRDefault="00000000" w:rsidRPr="00000000" w14:paraId="00000164">
      <w:pPr>
        <w:spacing w:after="240" w:before="240" w:line="36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Hofmann, F. (2019). Circular business models: Business approach as driver or obstructer of sustainability transitions? </w:t>
      </w:r>
      <w:r w:rsidDel="00000000" w:rsidR="00000000" w:rsidRPr="00000000">
        <w:rPr>
          <w:rFonts w:ascii="Times New Roman" w:cs="Times New Roman" w:eastAsia="Times New Roman" w:hAnsi="Times New Roman"/>
          <w:i w:val="1"/>
          <w:iCs w:val="1"/>
          <w:sz w:val="24"/>
          <w:szCs w:val="24"/>
          <w:rtl w:val="0"/>
        </w:rPr>
        <w:t xml:space="preserve">Journal of Cleaner Production, 224</w:t>
      </w:r>
      <w:r w:rsidDel="00000000" w:rsidR="00000000" w:rsidRPr="00000000">
        <w:rPr>
          <w:rFonts w:ascii="Times New Roman" w:cs="Times New Roman" w:eastAsia="Times New Roman" w:hAnsi="Times New Roman"/>
          <w:sz w:val="24"/>
          <w:szCs w:val="24"/>
          <w:rtl w:val="0"/>
        </w:rPr>
        <w:t xml:space="preserve">, 361-374.</w:t>
      </w:r>
      <w:hyperlink r:id="rId68">
        <w:r w:rsidDel="00000000" w:rsidR="00000000" w:rsidRPr="00000000">
          <w:rPr>
            <w:rFonts w:ascii="Times New Roman" w:cs="Times New Roman" w:eastAsia="Times New Roman" w:hAnsi="Times New Roman"/>
            <w:sz w:val="24"/>
            <w:szCs w:val="24"/>
            <w:rtl w:val="0"/>
          </w:rPr>
          <w:t xml:space="preserve"> </w:t>
        </w:r>
      </w:hyperlink>
      <w:hyperlink r:id="rId69">
        <w:r w:rsidDel="00000000" w:rsidR="00000000" w:rsidRPr="00000000">
          <w:rPr>
            <w:rFonts w:ascii="Times New Roman" w:cs="Times New Roman" w:eastAsia="Times New Roman" w:hAnsi="Times New Roman"/>
            <w:color w:val="1155cc"/>
            <w:sz w:val="24"/>
            <w:szCs w:val="24"/>
            <w:u w:val="single"/>
            <w:rtl w:val="0"/>
          </w:rPr>
          <w:t xml:space="preserve">https://doi.org/10.1016/j.jclepro.2019.03.115</w:t>
        </w:r>
      </w:hyperlink>
      <w:r w:rsidDel="00000000" w:rsidR="00000000" w:rsidRPr="00000000">
        <w:rPr>
          <w:rtl w:val="0"/>
        </w:rPr>
      </w:r>
    </w:p>
    <w:p w:rsidR="00000000" w:rsidDel="00000000" w:rsidP="00000000" w:rsidRDefault="00000000" w:rsidRPr="00000000" w14:paraId="0000016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International Civil Aviation Organization. (2022). Resolution A41-21: Consolidated statement of continuing ICAO policies and practices related to environmental protection - Climate change. ICAO Assembly, 41st Session. </w:t>
      </w:r>
      <w:hyperlink r:id="rId70">
        <w:r w:rsidDel="00000000" w:rsidR="00000000" w:rsidRPr="00000000">
          <w:rPr>
            <w:rFonts w:ascii="Times New Roman" w:cs="Times New Roman" w:eastAsia="Times New Roman" w:hAnsi="Times New Roman"/>
            <w:color w:val="1155cc"/>
            <w:sz w:val="24"/>
            <w:szCs w:val="24"/>
            <w:u w:val="single"/>
            <w:rtl w:val="0"/>
          </w:rPr>
          <w:t xml:space="preserve">https://www.icao.int/sites/default/files/sp-files/environmental-protection/Documents/Assembly/Resolution_A41-21_Climate_change.pdf</w:t>
        </w:r>
      </w:hyperlink>
      <w:r w:rsidDel="00000000" w:rsidR="00000000" w:rsidRPr="00000000">
        <w:rPr>
          <w:rtl w:val="0"/>
        </w:rPr>
      </w:r>
    </w:p>
    <w:p w:rsidR="00000000" w:rsidDel="00000000" w:rsidP="00000000" w:rsidRDefault="00000000" w:rsidRPr="00000000" w14:paraId="0000016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International Civil Aviation Organization. (2025). Resolution A42-22: Consolidated statement of continuing ICAO policies and practices related to environmental protection - Carbon Offsetting and Reduction Scheme for International Aviation (CORSIA). ICAO Assembly, 42nd Session. </w:t>
      </w:r>
      <w:hyperlink r:id="rId71">
        <w:r w:rsidDel="00000000" w:rsidR="00000000" w:rsidRPr="00000000">
          <w:rPr>
            <w:rFonts w:ascii="Times New Roman" w:cs="Times New Roman" w:eastAsia="Times New Roman" w:hAnsi="Times New Roman"/>
            <w:color w:val="1155cc"/>
            <w:sz w:val="24"/>
            <w:szCs w:val="24"/>
            <w:u w:val="single"/>
            <w:rtl w:val="0"/>
          </w:rPr>
          <w:t xml:space="preserve">https://www.icao.int/sites/default/files/environmental-protection/Assembly42/Resolution-A42-22_CORSIA.pdf</w:t>
        </w:r>
      </w:hyperlink>
      <w:r w:rsidDel="00000000" w:rsidR="00000000" w:rsidRPr="00000000">
        <w:rPr>
          <w:rtl w:val="0"/>
        </w:rPr>
      </w:r>
    </w:p>
    <w:p w:rsidR="00000000" w:rsidDel="00000000" w:rsidP="00000000" w:rsidRDefault="00000000" w:rsidRPr="00000000" w14:paraId="0000016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Kaipainen, J., Urbinati, A., Chiaroni, D., &amp; Aarikka-Stenroos, L. (in press). How companies innovate business models and supply chains for a circular economy: A multiple-case study and framework. </w:t>
      </w:r>
      <w:r w:rsidDel="00000000" w:rsidR="00000000" w:rsidRPr="00000000">
        <w:rPr>
          <w:rFonts w:ascii="Times New Roman" w:cs="Times New Roman" w:eastAsia="Times New Roman" w:hAnsi="Times New Roman"/>
          <w:i w:val="1"/>
          <w:iCs w:val="1"/>
          <w:sz w:val="24"/>
          <w:szCs w:val="24"/>
          <w:rtl w:val="0"/>
        </w:rPr>
        <w:t xml:space="preserve">Tampere University / Politecnico di Milano</w:t>
      </w:r>
      <w:r w:rsidDel="00000000" w:rsidR="00000000" w:rsidRPr="00000000">
        <w:rPr>
          <w:rFonts w:ascii="Times New Roman" w:cs="Times New Roman" w:eastAsia="Times New Roman" w:hAnsi="Times New Roman"/>
          <w:sz w:val="24"/>
          <w:szCs w:val="24"/>
          <w:rtl w:val="0"/>
        </w:rPr>
        <w:t xml:space="preserve">. </w:t>
      </w:r>
      <w:hyperlink r:id="rId72">
        <w:r w:rsidDel="00000000" w:rsidR="00000000" w:rsidRPr="00000000">
          <w:rPr>
            <w:rFonts w:ascii="Times New Roman" w:cs="Times New Roman" w:eastAsia="Times New Roman" w:hAnsi="Times New Roman"/>
            <w:color w:val="1155cc"/>
            <w:sz w:val="24"/>
            <w:szCs w:val="24"/>
            <w:u w:val="single"/>
            <w:rtl w:val="0"/>
          </w:rPr>
          <w:t xml:space="preserve">https://cris.tuni.fi/ws/portalfiles/portal/74975162/How_companies_innovate_BMs_and_SCs_for_a_CE_003_.pdf</w:t>
        </w:r>
      </w:hyperlink>
      <w:r w:rsidDel="00000000" w:rsidR="00000000" w:rsidRPr="00000000">
        <w:rPr>
          <w:rtl w:val="0"/>
        </w:rPr>
      </w:r>
    </w:p>
    <w:p w:rsidR="00000000" w:rsidDel="00000000" w:rsidP="00000000" w:rsidRDefault="00000000" w:rsidRPr="00000000" w14:paraId="00000168">
      <w:pPr>
        <w:spacing w:after="240" w:before="240" w:line="36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Kanda, W., Klofsten, M., Bienkowska, D., Henry, M., &amp; Hjelm, O. (2024). Challenges of circular new ventures: An empirical analysis of 70 cases. </w:t>
      </w:r>
      <w:r w:rsidDel="00000000" w:rsidR="00000000" w:rsidRPr="00000000">
        <w:rPr>
          <w:rFonts w:ascii="Times New Roman" w:cs="Times New Roman" w:eastAsia="Times New Roman" w:hAnsi="Times New Roman"/>
          <w:i w:val="1"/>
          <w:iCs w:val="1"/>
          <w:sz w:val="24"/>
          <w:szCs w:val="24"/>
          <w:rtl w:val="0"/>
        </w:rPr>
        <w:t xml:space="preserve">Journal of Cleaner Production, 442</w:t>
      </w:r>
      <w:r w:rsidDel="00000000" w:rsidR="00000000" w:rsidRPr="00000000">
        <w:rPr>
          <w:rFonts w:ascii="Times New Roman" w:cs="Times New Roman" w:eastAsia="Times New Roman" w:hAnsi="Times New Roman"/>
          <w:sz w:val="24"/>
          <w:szCs w:val="24"/>
          <w:rtl w:val="0"/>
        </w:rPr>
        <w:t xml:space="preserve">, 141103.</w:t>
      </w:r>
      <w:hyperlink r:id="rId73">
        <w:r w:rsidDel="00000000" w:rsidR="00000000" w:rsidRPr="00000000">
          <w:rPr>
            <w:rFonts w:ascii="Times New Roman" w:cs="Times New Roman" w:eastAsia="Times New Roman" w:hAnsi="Times New Roman"/>
            <w:sz w:val="24"/>
            <w:szCs w:val="24"/>
            <w:rtl w:val="0"/>
          </w:rPr>
          <w:t xml:space="preserve"> </w:t>
        </w:r>
      </w:hyperlink>
      <w:hyperlink r:id="rId74">
        <w:r w:rsidDel="00000000" w:rsidR="00000000" w:rsidRPr="00000000">
          <w:rPr>
            <w:rFonts w:ascii="Times New Roman" w:cs="Times New Roman" w:eastAsia="Times New Roman" w:hAnsi="Times New Roman"/>
            <w:color w:val="1155cc"/>
            <w:sz w:val="24"/>
            <w:szCs w:val="24"/>
            <w:u w:val="single"/>
            <w:rtl w:val="0"/>
          </w:rPr>
          <w:t xml:space="preserve">https://doi.org/10.1016/j.jclepro.2024.141103</w:t>
        </w:r>
      </w:hyperlink>
      <w:r w:rsidDel="00000000" w:rsidR="00000000" w:rsidRPr="00000000">
        <w:rPr>
          <w:rtl w:val="0"/>
        </w:rPr>
      </w:r>
    </w:p>
    <w:p w:rsidR="00000000" w:rsidDel="00000000" w:rsidP="00000000" w:rsidRDefault="00000000" w:rsidRPr="00000000" w14:paraId="00000169">
      <w:pPr>
        <w:spacing w:after="240" w:before="240" w:line="36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Kanzari, A., Rasmussen, J., Nehler, H., &amp; Ingelsson, F. (2022). How financial performance is addressed in light of the transition to circular business models: A systematic literature review. </w:t>
      </w:r>
      <w:r w:rsidDel="00000000" w:rsidR="00000000" w:rsidRPr="00000000">
        <w:rPr>
          <w:rFonts w:ascii="Times New Roman" w:cs="Times New Roman" w:eastAsia="Times New Roman" w:hAnsi="Times New Roman"/>
          <w:i w:val="1"/>
          <w:iCs w:val="1"/>
          <w:sz w:val="24"/>
          <w:szCs w:val="24"/>
          <w:rtl w:val="0"/>
        </w:rPr>
        <w:t xml:space="preserve">Journal of Cleaner Production, 376</w:t>
      </w:r>
      <w:r w:rsidDel="00000000" w:rsidR="00000000" w:rsidRPr="00000000">
        <w:rPr>
          <w:rFonts w:ascii="Times New Roman" w:cs="Times New Roman" w:eastAsia="Times New Roman" w:hAnsi="Times New Roman"/>
          <w:sz w:val="24"/>
          <w:szCs w:val="24"/>
          <w:rtl w:val="0"/>
        </w:rPr>
        <w:t xml:space="preserve">, 134134.</w:t>
      </w:r>
      <w:hyperlink r:id="rId75">
        <w:r w:rsidDel="00000000" w:rsidR="00000000" w:rsidRPr="00000000">
          <w:rPr>
            <w:rFonts w:ascii="Times New Roman" w:cs="Times New Roman" w:eastAsia="Times New Roman" w:hAnsi="Times New Roman"/>
            <w:sz w:val="24"/>
            <w:szCs w:val="24"/>
            <w:rtl w:val="0"/>
          </w:rPr>
          <w:t xml:space="preserve"> </w:t>
        </w:r>
      </w:hyperlink>
      <w:hyperlink r:id="rId76">
        <w:r w:rsidDel="00000000" w:rsidR="00000000" w:rsidRPr="00000000">
          <w:rPr>
            <w:rFonts w:ascii="Times New Roman" w:cs="Times New Roman" w:eastAsia="Times New Roman" w:hAnsi="Times New Roman"/>
            <w:color w:val="1155cc"/>
            <w:sz w:val="24"/>
            <w:szCs w:val="24"/>
            <w:u w:val="single"/>
            <w:rtl w:val="0"/>
          </w:rPr>
          <w:t xml:space="preserve">https://doi.org/10.1016/j.jclepro.2022.134134</w:t>
        </w:r>
      </w:hyperlink>
      <w:r w:rsidDel="00000000" w:rsidR="00000000" w:rsidRPr="00000000">
        <w:rPr>
          <w:rtl w:val="0"/>
        </w:rPr>
      </w:r>
    </w:p>
    <w:p w:rsidR="00000000" w:rsidDel="00000000" w:rsidP="00000000" w:rsidRDefault="00000000" w:rsidRPr="00000000" w14:paraId="0000016A">
      <w:pPr>
        <w:spacing w:after="240" w:before="240" w:line="36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Karanki, F., &amp; Yu, C. (2026). The asymmetric impact of sustainable aviation fuel adoption on airline industry. </w:t>
      </w:r>
      <w:r w:rsidDel="00000000" w:rsidR="00000000" w:rsidRPr="00000000">
        <w:rPr>
          <w:rFonts w:ascii="Times New Roman" w:cs="Times New Roman" w:eastAsia="Times New Roman" w:hAnsi="Times New Roman"/>
          <w:i w:val="1"/>
          <w:iCs w:val="1"/>
          <w:sz w:val="24"/>
          <w:szCs w:val="24"/>
          <w:rtl w:val="0"/>
        </w:rPr>
        <w:t xml:space="preserve">Transport Policy, 180</w:t>
      </w:r>
      <w:r w:rsidDel="00000000" w:rsidR="00000000" w:rsidRPr="00000000">
        <w:rPr>
          <w:rFonts w:ascii="Times New Roman" w:cs="Times New Roman" w:eastAsia="Times New Roman" w:hAnsi="Times New Roman"/>
          <w:sz w:val="24"/>
          <w:szCs w:val="24"/>
          <w:rtl w:val="0"/>
        </w:rPr>
        <w:t xml:space="preserve">, 104059.</w:t>
      </w:r>
      <w:hyperlink r:id="rId77">
        <w:r w:rsidDel="00000000" w:rsidR="00000000" w:rsidRPr="00000000">
          <w:rPr>
            <w:rFonts w:ascii="Times New Roman" w:cs="Times New Roman" w:eastAsia="Times New Roman" w:hAnsi="Times New Roman"/>
            <w:sz w:val="24"/>
            <w:szCs w:val="24"/>
            <w:rtl w:val="0"/>
          </w:rPr>
          <w:t xml:space="preserve"> </w:t>
        </w:r>
      </w:hyperlink>
      <w:hyperlink r:id="rId78">
        <w:r w:rsidDel="00000000" w:rsidR="00000000" w:rsidRPr="00000000">
          <w:rPr>
            <w:rFonts w:ascii="Times New Roman" w:cs="Times New Roman" w:eastAsia="Times New Roman" w:hAnsi="Times New Roman"/>
            <w:color w:val="1155cc"/>
            <w:sz w:val="24"/>
            <w:szCs w:val="24"/>
            <w:u w:val="single"/>
            <w:rtl w:val="0"/>
          </w:rPr>
          <w:t xml:space="preserve">https://doi.org/10.1016/j.tranpol.2026.104059</w:t>
        </w:r>
      </w:hyperlink>
      <w:r w:rsidDel="00000000" w:rsidR="00000000" w:rsidRPr="00000000">
        <w:rPr>
          <w:rtl w:val="0"/>
        </w:rPr>
      </w:r>
    </w:p>
    <w:p w:rsidR="00000000" w:rsidDel="00000000" w:rsidP="00000000" w:rsidRDefault="00000000" w:rsidRPr="00000000" w14:paraId="0000016B">
      <w:pPr>
        <w:spacing w:after="240" w:before="240" w:line="36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Kharbeet, G., Khodaei, H., Ortt, R., &amp; Scholten, V. (2026). Triggers of sustainable business model innovation in technology-based startups: An empirical investigation. </w:t>
      </w:r>
      <w:r w:rsidDel="00000000" w:rsidR="00000000" w:rsidRPr="00000000">
        <w:rPr>
          <w:rFonts w:ascii="Times New Roman" w:cs="Times New Roman" w:eastAsia="Times New Roman" w:hAnsi="Times New Roman"/>
          <w:i w:val="1"/>
          <w:iCs w:val="1"/>
          <w:sz w:val="24"/>
          <w:szCs w:val="24"/>
          <w:rtl w:val="0"/>
        </w:rPr>
        <w:t xml:space="preserve">Journal of Innovation &amp; Knowledge, 16</w:t>
      </w:r>
      <w:r w:rsidDel="00000000" w:rsidR="00000000" w:rsidRPr="00000000">
        <w:rPr>
          <w:rFonts w:ascii="Times New Roman" w:cs="Times New Roman" w:eastAsia="Times New Roman" w:hAnsi="Times New Roman"/>
          <w:sz w:val="24"/>
          <w:szCs w:val="24"/>
          <w:rtl w:val="0"/>
        </w:rPr>
        <w:t xml:space="preserve">, 101021.</w:t>
      </w:r>
      <w:hyperlink r:id="rId79">
        <w:r w:rsidDel="00000000" w:rsidR="00000000" w:rsidRPr="00000000">
          <w:rPr>
            <w:rFonts w:ascii="Times New Roman" w:cs="Times New Roman" w:eastAsia="Times New Roman" w:hAnsi="Times New Roman"/>
            <w:sz w:val="24"/>
            <w:szCs w:val="24"/>
            <w:rtl w:val="0"/>
          </w:rPr>
          <w:t xml:space="preserve"> </w:t>
        </w:r>
      </w:hyperlink>
      <w:hyperlink r:id="rId80">
        <w:r w:rsidDel="00000000" w:rsidR="00000000" w:rsidRPr="00000000">
          <w:rPr>
            <w:rFonts w:ascii="Times New Roman" w:cs="Times New Roman" w:eastAsia="Times New Roman" w:hAnsi="Times New Roman"/>
            <w:color w:val="1155cc"/>
            <w:sz w:val="24"/>
            <w:szCs w:val="24"/>
            <w:u w:val="single"/>
            <w:rtl w:val="0"/>
          </w:rPr>
          <w:t xml:space="preserve">https://doi.org/10.1016/j.jik.2026.101021</w:t>
        </w:r>
      </w:hyperlink>
      <w:r w:rsidDel="00000000" w:rsidR="00000000" w:rsidRPr="00000000">
        <w:rPr>
          <w:rtl w:val="0"/>
        </w:rPr>
      </w:r>
    </w:p>
    <w:p w:rsidR="00000000" w:rsidDel="00000000" w:rsidP="00000000" w:rsidRDefault="00000000" w:rsidRPr="00000000" w14:paraId="0000016C">
      <w:pPr>
        <w:spacing w:after="240" w:before="240" w:line="36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Konietzko, J., Bocken, N., &amp; Hultink, E. J. (2020). Circular ecosystem innovation: An initial set of principles. </w:t>
      </w:r>
      <w:r w:rsidDel="00000000" w:rsidR="00000000" w:rsidRPr="00000000">
        <w:rPr>
          <w:rFonts w:ascii="Times New Roman" w:cs="Times New Roman" w:eastAsia="Times New Roman" w:hAnsi="Times New Roman"/>
          <w:i w:val="1"/>
          <w:iCs w:val="1"/>
          <w:sz w:val="24"/>
          <w:szCs w:val="24"/>
          <w:rtl w:val="0"/>
        </w:rPr>
        <w:t xml:space="preserve">Journal of Cleaner Production, 253</w:t>
      </w:r>
      <w:r w:rsidDel="00000000" w:rsidR="00000000" w:rsidRPr="00000000">
        <w:rPr>
          <w:rFonts w:ascii="Times New Roman" w:cs="Times New Roman" w:eastAsia="Times New Roman" w:hAnsi="Times New Roman"/>
          <w:sz w:val="24"/>
          <w:szCs w:val="24"/>
          <w:rtl w:val="0"/>
        </w:rPr>
        <w:t xml:space="preserve">, 119942.</w:t>
      </w:r>
      <w:hyperlink r:id="rId81">
        <w:r w:rsidDel="00000000" w:rsidR="00000000" w:rsidRPr="00000000">
          <w:rPr>
            <w:rFonts w:ascii="Times New Roman" w:cs="Times New Roman" w:eastAsia="Times New Roman" w:hAnsi="Times New Roman"/>
            <w:sz w:val="24"/>
            <w:szCs w:val="24"/>
            <w:rtl w:val="0"/>
          </w:rPr>
          <w:t xml:space="preserve"> </w:t>
        </w:r>
      </w:hyperlink>
      <w:hyperlink r:id="rId82">
        <w:r w:rsidDel="00000000" w:rsidR="00000000" w:rsidRPr="00000000">
          <w:rPr>
            <w:rFonts w:ascii="Times New Roman" w:cs="Times New Roman" w:eastAsia="Times New Roman" w:hAnsi="Times New Roman"/>
            <w:color w:val="1155cc"/>
            <w:sz w:val="24"/>
            <w:szCs w:val="24"/>
            <w:u w:val="single"/>
            <w:rtl w:val="0"/>
          </w:rPr>
          <w:t xml:space="preserve">https://doi.org/10.1016/j.jclepro.2019.119942</w:t>
        </w:r>
      </w:hyperlink>
      <w:r w:rsidDel="00000000" w:rsidR="00000000" w:rsidRPr="00000000">
        <w:rPr>
          <w:rtl w:val="0"/>
        </w:rPr>
      </w:r>
    </w:p>
    <w:p w:rsidR="00000000" w:rsidDel="00000000" w:rsidP="00000000" w:rsidRDefault="00000000" w:rsidRPr="00000000" w14:paraId="0000016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Leisen, R., Steffen, B., &amp; Weber, C. (2019). Regulatory risk and the resilience of new sustainable business models in the energy sector. </w:t>
      </w:r>
      <w:r w:rsidDel="00000000" w:rsidR="00000000" w:rsidRPr="00000000">
        <w:rPr>
          <w:rFonts w:ascii="Times New Roman" w:cs="Times New Roman" w:eastAsia="Times New Roman" w:hAnsi="Times New Roman"/>
          <w:i w:val="1"/>
          <w:iCs w:val="1"/>
          <w:sz w:val="24"/>
          <w:szCs w:val="24"/>
          <w:rtl w:val="0"/>
        </w:rPr>
        <w:t xml:space="preserve">Journal of Cleaner Production, 219</w:t>
      </w:r>
      <w:r w:rsidDel="00000000" w:rsidR="00000000" w:rsidRPr="00000000">
        <w:rPr>
          <w:rFonts w:ascii="Times New Roman" w:cs="Times New Roman" w:eastAsia="Times New Roman" w:hAnsi="Times New Roman"/>
          <w:sz w:val="24"/>
          <w:szCs w:val="24"/>
          <w:rtl w:val="0"/>
        </w:rPr>
        <w:t xml:space="preserve">, 865-878.</w:t>
      </w:r>
      <w:hyperlink r:id="rId83">
        <w:r w:rsidDel="00000000" w:rsidR="00000000" w:rsidRPr="00000000">
          <w:rPr>
            <w:rFonts w:ascii="Times New Roman" w:cs="Times New Roman" w:eastAsia="Times New Roman" w:hAnsi="Times New Roman"/>
            <w:sz w:val="24"/>
            <w:szCs w:val="24"/>
            <w:rtl w:val="0"/>
          </w:rPr>
          <w:t xml:space="preserve"> </w:t>
        </w:r>
      </w:hyperlink>
      <w:hyperlink r:id="rId84">
        <w:r w:rsidDel="00000000" w:rsidR="00000000" w:rsidRPr="00000000">
          <w:rPr>
            <w:rFonts w:ascii="Times New Roman" w:cs="Times New Roman" w:eastAsia="Times New Roman" w:hAnsi="Times New Roman"/>
            <w:color w:val="1155cc"/>
            <w:sz w:val="24"/>
            <w:szCs w:val="24"/>
            <w:u w:val="single"/>
            <w:rtl w:val="0"/>
          </w:rPr>
          <w:t xml:space="preserve">https://doi.org/10.1016/j.jclepro.2019.01.330</w:t>
        </w:r>
      </w:hyperlink>
      <w:r w:rsidDel="00000000" w:rsidR="00000000" w:rsidRPr="00000000">
        <w:rPr>
          <w:rtl w:val="0"/>
        </w:rPr>
      </w:r>
    </w:p>
    <w:p w:rsidR="00000000" w:rsidDel="00000000" w:rsidP="00000000" w:rsidRDefault="00000000" w:rsidRPr="00000000" w14:paraId="0000016E">
      <w:pPr>
        <w:spacing w:after="240" w:before="240" w:line="36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Liang, L., Chen, P., &amp; Ma, M. (2026). Dynamic analysis and simulation of the economic viability of sustainable aviation fuel blending in airlines: Emphasizing China’s pilot policy and future development potential. </w:t>
      </w:r>
      <w:r w:rsidDel="00000000" w:rsidR="00000000" w:rsidRPr="00000000">
        <w:rPr>
          <w:rFonts w:ascii="Times New Roman" w:cs="Times New Roman" w:eastAsia="Times New Roman" w:hAnsi="Times New Roman"/>
          <w:i w:val="1"/>
          <w:iCs w:val="1"/>
          <w:sz w:val="24"/>
          <w:szCs w:val="24"/>
          <w:rtl w:val="0"/>
        </w:rPr>
        <w:t xml:space="preserve">Transport Policy, 177</w:t>
      </w:r>
      <w:r w:rsidDel="00000000" w:rsidR="00000000" w:rsidRPr="00000000">
        <w:rPr>
          <w:rFonts w:ascii="Times New Roman" w:cs="Times New Roman" w:eastAsia="Times New Roman" w:hAnsi="Times New Roman"/>
          <w:sz w:val="24"/>
          <w:szCs w:val="24"/>
          <w:rtl w:val="0"/>
        </w:rPr>
        <w:t xml:space="preserve">, 103944.</w:t>
      </w:r>
      <w:hyperlink r:id="rId85">
        <w:r w:rsidDel="00000000" w:rsidR="00000000" w:rsidRPr="00000000">
          <w:rPr>
            <w:rFonts w:ascii="Times New Roman" w:cs="Times New Roman" w:eastAsia="Times New Roman" w:hAnsi="Times New Roman"/>
            <w:sz w:val="24"/>
            <w:szCs w:val="24"/>
            <w:rtl w:val="0"/>
          </w:rPr>
          <w:t xml:space="preserve"> </w:t>
        </w:r>
      </w:hyperlink>
      <w:hyperlink r:id="rId86">
        <w:r w:rsidDel="00000000" w:rsidR="00000000" w:rsidRPr="00000000">
          <w:rPr>
            <w:rFonts w:ascii="Times New Roman" w:cs="Times New Roman" w:eastAsia="Times New Roman" w:hAnsi="Times New Roman"/>
            <w:color w:val="1155cc"/>
            <w:sz w:val="24"/>
            <w:szCs w:val="24"/>
            <w:u w:val="single"/>
            <w:rtl w:val="0"/>
          </w:rPr>
          <w:t xml:space="preserve">https://doi.org/10.1016/j.tranpol.2025.103944</w:t>
        </w:r>
      </w:hyperlink>
      <w:r w:rsidDel="00000000" w:rsidR="00000000" w:rsidRPr="00000000">
        <w:rPr>
          <w:rtl w:val="0"/>
        </w:rPr>
      </w:r>
    </w:p>
    <w:p w:rsidR="00000000" w:rsidDel="00000000" w:rsidP="00000000" w:rsidRDefault="00000000" w:rsidRPr="00000000" w14:paraId="0000016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Ministerie van Economische Zaken en Klimaat. (2023). Nationaal plan energiesysteem: Hoofddocument. Rijksoverheid. </w:t>
      </w:r>
      <w:hyperlink r:id="rId87">
        <w:r w:rsidDel="00000000" w:rsidR="00000000" w:rsidRPr="00000000">
          <w:rPr>
            <w:rFonts w:ascii="Times New Roman" w:cs="Times New Roman" w:eastAsia="Times New Roman" w:hAnsi="Times New Roman"/>
            <w:color w:val="1155cc"/>
            <w:sz w:val="24"/>
            <w:szCs w:val="24"/>
            <w:u w:val="single"/>
            <w:rtl w:val="0"/>
          </w:rPr>
          <w:t xml:space="preserve">https://open.overheid.nl/documenten/2f5cbb52-0631-4aad-b3dd-5088fab859c5/file</w:t>
        </w:r>
      </w:hyperlink>
      <w:r w:rsidDel="00000000" w:rsidR="00000000" w:rsidRPr="00000000">
        <w:rPr>
          <w:rtl w:val="0"/>
        </w:rPr>
      </w:r>
    </w:p>
    <w:p w:rsidR="00000000" w:rsidDel="00000000" w:rsidP="00000000" w:rsidRDefault="00000000" w:rsidRPr="00000000" w14:paraId="0000017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Ministerie van Infrastructuur en Milieu &amp; Ministerie van Economische Zaken. (2016). Nederland circulair in 2050: Rijksbreed programma circulaire economie. Rijksoverheid. </w:t>
      </w:r>
      <w:hyperlink r:id="rId88">
        <w:r w:rsidDel="00000000" w:rsidR="00000000" w:rsidRPr="00000000">
          <w:rPr>
            <w:rFonts w:ascii="Times New Roman" w:cs="Times New Roman" w:eastAsia="Times New Roman" w:hAnsi="Times New Roman"/>
            <w:color w:val="1155cc"/>
            <w:sz w:val="24"/>
            <w:szCs w:val="24"/>
            <w:u w:val="single"/>
            <w:rtl w:val="0"/>
          </w:rPr>
          <w:t xml:space="preserve">https://open.overheid.nl/documenten/ronl-a6ce8220-07e8-4b64-9f3d-e69bb4ed2f9c/pdf</w:t>
        </w:r>
      </w:hyperlink>
      <w:r w:rsidDel="00000000" w:rsidR="00000000" w:rsidRPr="00000000">
        <w:rPr>
          <w:rtl w:val="0"/>
        </w:rPr>
      </w:r>
    </w:p>
    <w:p w:rsidR="00000000" w:rsidDel="00000000" w:rsidP="00000000" w:rsidRDefault="00000000" w:rsidRPr="00000000" w14:paraId="0000017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Ministerie van Infrastructuur en Waterstaat. (2019). Landelijk afvalbeheerplan 2017-2029, eerste herziening. </w:t>
      </w:r>
      <w:hyperlink r:id="rId89">
        <w:r w:rsidDel="00000000" w:rsidR="00000000" w:rsidRPr="00000000">
          <w:rPr>
            <w:rFonts w:ascii="Times New Roman" w:cs="Times New Roman" w:eastAsia="Times New Roman" w:hAnsi="Times New Roman"/>
            <w:color w:val="1155cc"/>
            <w:sz w:val="24"/>
            <w:szCs w:val="24"/>
            <w:u w:val="single"/>
            <w:rtl w:val="0"/>
          </w:rPr>
          <w:t xml:space="preserve">https://lap3.nl</w:t>
        </w:r>
      </w:hyperlink>
      <w:r w:rsidDel="00000000" w:rsidR="00000000" w:rsidRPr="00000000">
        <w:rPr>
          <w:rtl w:val="0"/>
        </w:rPr>
      </w:r>
    </w:p>
    <w:p w:rsidR="00000000" w:rsidDel="00000000" w:rsidP="00000000" w:rsidRDefault="00000000" w:rsidRPr="00000000" w14:paraId="0000017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Ministerie van Infrastructuur en Waterstaat. (2025). Circulair Materialenplan. </w:t>
      </w:r>
      <w:hyperlink r:id="rId90">
        <w:r w:rsidDel="00000000" w:rsidR="00000000" w:rsidRPr="00000000">
          <w:rPr>
            <w:rFonts w:ascii="Times New Roman" w:cs="Times New Roman" w:eastAsia="Times New Roman" w:hAnsi="Times New Roman"/>
            <w:color w:val="1155cc"/>
            <w:sz w:val="24"/>
            <w:szCs w:val="24"/>
            <w:u w:val="single"/>
            <w:rtl w:val="0"/>
          </w:rPr>
          <w:t xml:space="preserve">https://circulairmaterialenplan.nl</w:t>
        </w:r>
      </w:hyperlink>
      <w:r w:rsidDel="00000000" w:rsidR="00000000" w:rsidRPr="00000000">
        <w:rPr>
          <w:rtl w:val="0"/>
        </w:rPr>
      </w:r>
    </w:p>
    <w:p w:rsidR="00000000" w:rsidDel="00000000" w:rsidP="00000000" w:rsidRDefault="00000000" w:rsidRPr="00000000" w14:paraId="0000017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Ministerie van Infrastructuur en Waterstaat. (n.d.). Wet milieubeheer. Wetten.overheid.nl. </w:t>
      </w:r>
      <w:hyperlink r:id="rId91">
        <w:r w:rsidDel="00000000" w:rsidR="00000000" w:rsidRPr="00000000">
          <w:rPr>
            <w:rFonts w:ascii="Times New Roman" w:cs="Times New Roman" w:eastAsia="Times New Roman" w:hAnsi="Times New Roman"/>
            <w:color w:val="1155cc"/>
            <w:sz w:val="24"/>
            <w:szCs w:val="24"/>
            <w:u w:val="single"/>
            <w:rtl w:val="0"/>
          </w:rPr>
          <w:t xml:space="preserve">https://wetten.overheid.nl/BWBR0003245</w:t>
        </w:r>
      </w:hyperlink>
      <w:r w:rsidDel="00000000" w:rsidR="00000000" w:rsidRPr="00000000">
        <w:rPr>
          <w:rtl w:val="0"/>
        </w:rPr>
      </w:r>
    </w:p>
    <w:p w:rsidR="00000000" w:rsidDel="00000000" w:rsidP="00000000" w:rsidRDefault="00000000" w:rsidRPr="00000000" w14:paraId="0000017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Ministerie van Infrastructuur en Waterstaat. (2020). Luchtvaartnota 2020-2050: Verantwoord vliegen naar 2050. Ministerie van Infrastructuur en Waterstaat. </w:t>
      </w:r>
      <w:hyperlink r:id="rId92">
        <w:r w:rsidDel="00000000" w:rsidR="00000000" w:rsidRPr="00000000">
          <w:rPr>
            <w:rFonts w:ascii="Times New Roman" w:cs="Times New Roman" w:eastAsia="Times New Roman" w:hAnsi="Times New Roman"/>
            <w:color w:val="1155cc"/>
            <w:sz w:val="24"/>
            <w:szCs w:val="24"/>
            <w:u w:val="single"/>
            <w:rtl w:val="0"/>
          </w:rPr>
          <w:t xml:space="preserve">https://open.overheid.nl/documenten/ronl-c2ae4e29-a960-4c91-99af-7bca52b8c9f9/pdf</w:t>
        </w:r>
      </w:hyperlink>
      <w:r w:rsidDel="00000000" w:rsidR="00000000" w:rsidRPr="00000000">
        <w:rPr>
          <w:rtl w:val="0"/>
        </w:rPr>
      </w:r>
    </w:p>
    <w:p w:rsidR="00000000" w:rsidDel="00000000" w:rsidP="00000000" w:rsidRDefault="00000000" w:rsidRPr="00000000" w14:paraId="0000017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Ministerie van Klimaat en Groene Groei. (n.d.-a). Klimaatwet. Wetten.overheid.nl. </w:t>
      </w:r>
      <w:hyperlink r:id="rId93">
        <w:r w:rsidDel="00000000" w:rsidR="00000000" w:rsidRPr="00000000">
          <w:rPr>
            <w:rFonts w:ascii="Times New Roman" w:cs="Times New Roman" w:eastAsia="Times New Roman" w:hAnsi="Times New Roman"/>
            <w:color w:val="1155cc"/>
            <w:sz w:val="24"/>
            <w:szCs w:val="24"/>
            <w:u w:val="single"/>
            <w:rtl w:val="0"/>
          </w:rPr>
          <w:t xml:space="preserve">https://wetten.overheid.nl/BWBR0042394</w:t>
        </w:r>
      </w:hyperlink>
      <w:r w:rsidDel="00000000" w:rsidR="00000000" w:rsidRPr="00000000">
        <w:rPr>
          <w:rtl w:val="0"/>
        </w:rPr>
      </w:r>
    </w:p>
    <w:p w:rsidR="00000000" w:rsidDel="00000000" w:rsidP="00000000" w:rsidRDefault="00000000" w:rsidRPr="00000000" w14:paraId="0000017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Ministerie van Klimaat en Groene Groei. (n.d.-b). Tijdelijke wet Klimaat- en energiefonds. </w:t>
      </w:r>
      <w:hyperlink r:id="rId94">
        <w:r w:rsidDel="00000000" w:rsidR="00000000" w:rsidRPr="00000000">
          <w:rPr>
            <w:rFonts w:ascii="Times New Roman" w:cs="Times New Roman" w:eastAsia="Times New Roman" w:hAnsi="Times New Roman"/>
            <w:color w:val="1155cc"/>
            <w:sz w:val="24"/>
            <w:szCs w:val="24"/>
            <w:u w:val="single"/>
            <w:rtl w:val="0"/>
          </w:rPr>
          <w:t xml:space="preserve">https://wetten.overheid.nl/BWBR0049322/2024-07-01/0</w:t>
        </w:r>
      </w:hyperlink>
      <w:r w:rsidDel="00000000" w:rsidR="00000000" w:rsidRPr="00000000">
        <w:rPr>
          <w:rtl w:val="0"/>
        </w:rPr>
      </w:r>
    </w:p>
    <w:p w:rsidR="00000000" w:rsidDel="00000000" w:rsidP="00000000" w:rsidRDefault="00000000" w:rsidRPr="00000000" w14:paraId="0000017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Ministerie van Klimaat en Groene Groei. (2025). Klimaatplan 2025-2035: Op weg naar een klimaatneutraal Nederland (Publicatienr. 25400800). Rijksoverheid. </w:t>
      </w:r>
      <w:hyperlink r:id="rId95">
        <w:r w:rsidDel="00000000" w:rsidR="00000000" w:rsidRPr="00000000">
          <w:rPr>
            <w:rFonts w:ascii="Times New Roman" w:cs="Times New Roman" w:eastAsia="Times New Roman" w:hAnsi="Times New Roman"/>
            <w:color w:val="1155cc"/>
            <w:sz w:val="24"/>
            <w:szCs w:val="24"/>
            <w:u w:val="single"/>
            <w:rtl w:val="0"/>
          </w:rPr>
          <w:t xml:space="preserve">https://open.overheid.nl/documenten/1cc2dff1-ea3e-499e-b1e3-04bf487b649d/file</w:t>
        </w:r>
      </w:hyperlink>
      <w:r w:rsidDel="00000000" w:rsidR="00000000" w:rsidRPr="00000000">
        <w:rPr>
          <w:rtl w:val="0"/>
        </w:rPr>
      </w:r>
    </w:p>
    <w:p w:rsidR="00000000" w:rsidDel="00000000" w:rsidP="00000000" w:rsidRDefault="00000000" w:rsidRPr="00000000" w14:paraId="0000017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Ministerie van Infrastructuur en Waterstaat. (n.d.). Omgevingswet. Wetten.overheid.nl. </w:t>
      </w:r>
      <w:hyperlink r:id="rId96">
        <w:r w:rsidDel="00000000" w:rsidR="00000000" w:rsidRPr="00000000">
          <w:rPr>
            <w:rFonts w:ascii="Times New Roman" w:cs="Times New Roman" w:eastAsia="Times New Roman" w:hAnsi="Times New Roman"/>
            <w:color w:val="1155cc"/>
            <w:sz w:val="24"/>
            <w:szCs w:val="24"/>
            <w:u w:val="single"/>
            <w:rtl w:val="0"/>
          </w:rPr>
          <w:t xml:space="preserve">https://wetten.overheid.nl/BWBR0037885</w:t>
        </w:r>
      </w:hyperlink>
      <w:r w:rsidDel="00000000" w:rsidR="00000000" w:rsidRPr="00000000">
        <w:rPr>
          <w:rtl w:val="0"/>
        </w:rPr>
      </w:r>
    </w:p>
    <w:p w:rsidR="00000000" w:rsidDel="00000000" w:rsidP="00000000" w:rsidRDefault="00000000" w:rsidRPr="00000000" w14:paraId="00000179">
      <w:pPr>
        <w:spacing w:after="240" w:before="240" w:line="36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Minoja, M., &amp; Romano, G. (2024). Effective stakeholder governance in circular economy: Insights from Italian companies. </w:t>
      </w:r>
      <w:r w:rsidDel="00000000" w:rsidR="00000000" w:rsidRPr="00000000">
        <w:rPr>
          <w:rFonts w:ascii="Times New Roman" w:cs="Times New Roman" w:eastAsia="Times New Roman" w:hAnsi="Times New Roman"/>
          <w:i w:val="1"/>
          <w:iCs w:val="1"/>
          <w:sz w:val="24"/>
          <w:szCs w:val="24"/>
          <w:rtl w:val="0"/>
        </w:rPr>
        <w:t xml:space="preserve">Journal of Cleaner Production, 474</w:t>
      </w:r>
      <w:r w:rsidDel="00000000" w:rsidR="00000000" w:rsidRPr="00000000">
        <w:rPr>
          <w:rFonts w:ascii="Times New Roman" w:cs="Times New Roman" w:eastAsia="Times New Roman" w:hAnsi="Times New Roman"/>
          <w:sz w:val="24"/>
          <w:szCs w:val="24"/>
          <w:rtl w:val="0"/>
        </w:rPr>
        <w:t xml:space="preserve">, 143584.</w:t>
      </w:r>
      <w:hyperlink r:id="rId97">
        <w:r w:rsidDel="00000000" w:rsidR="00000000" w:rsidRPr="00000000">
          <w:rPr>
            <w:rFonts w:ascii="Times New Roman" w:cs="Times New Roman" w:eastAsia="Times New Roman" w:hAnsi="Times New Roman"/>
            <w:sz w:val="24"/>
            <w:szCs w:val="24"/>
            <w:rtl w:val="0"/>
          </w:rPr>
          <w:t xml:space="preserve"> </w:t>
        </w:r>
      </w:hyperlink>
      <w:hyperlink r:id="rId98">
        <w:r w:rsidDel="00000000" w:rsidR="00000000" w:rsidRPr="00000000">
          <w:rPr>
            <w:rFonts w:ascii="Times New Roman" w:cs="Times New Roman" w:eastAsia="Times New Roman" w:hAnsi="Times New Roman"/>
            <w:color w:val="1155cc"/>
            <w:sz w:val="24"/>
            <w:szCs w:val="24"/>
            <w:u w:val="single"/>
            <w:rtl w:val="0"/>
          </w:rPr>
          <w:t xml:space="preserve">https://doi.org/10.1016/j.jclepro.2024.143584</w:t>
        </w:r>
      </w:hyperlink>
      <w:r w:rsidDel="00000000" w:rsidR="00000000" w:rsidRPr="00000000">
        <w:rPr>
          <w:rtl w:val="0"/>
        </w:rPr>
      </w:r>
    </w:p>
    <w:p w:rsidR="00000000" w:rsidDel="00000000" w:rsidP="00000000" w:rsidRDefault="00000000" w:rsidRPr="00000000" w14:paraId="0000017A">
      <w:pPr>
        <w:spacing w:after="240" w:before="240" w:line="36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Mousavi, S., &amp; Bossink, B. A. G. (2017). Firms’ capabilities for sustainable innovation: The case of biofuel for aviation. </w:t>
      </w:r>
      <w:r w:rsidDel="00000000" w:rsidR="00000000" w:rsidRPr="00000000">
        <w:rPr>
          <w:rFonts w:ascii="Times New Roman" w:cs="Times New Roman" w:eastAsia="Times New Roman" w:hAnsi="Times New Roman"/>
          <w:i w:val="1"/>
          <w:iCs w:val="1"/>
          <w:sz w:val="24"/>
          <w:szCs w:val="24"/>
          <w:rtl w:val="0"/>
        </w:rPr>
        <w:t xml:space="preserve">Journal of Cleaner Production, 167</w:t>
      </w:r>
      <w:r w:rsidDel="00000000" w:rsidR="00000000" w:rsidRPr="00000000">
        <w:rPr>
          <w:rFonts w:ascii="Times New Roman" w:cs="Times New Roman" w:eastAsia="Times New Roman" w:hAnsi="Times New Roman"/>
          <w:sz w:val="24"/>
          <w:szCs w:val="24"/>
          <w:rtl w:val="0"/>
        </w:rPr>
        <w:t xml:space="preserve">, 1263-1275.</w:t>
      </w:r>
      <w:hyperlink r:id="rId99">
        <w:r w:rsidDel="00000000" w:rsidR="00000000" w:rsidRPr="00000000">
          <w:rPr>
            <w:rFonts w:ascii="Times New Roman" w:cs="Times New Roman" w:eastAsia="Times New Roman" w:hAnsi="Times New Roman"/>
            <w:sz w:val="24"/>
            <w:szCs w:val="24"/>
            <w:rtl w:val="0"/>
          </w:rPr>
          <w:t xml:space="preserve"> </w:t>
        </w:r>
      </w:hyperlink>
      <w:hyperlink r:id="rId100">
        <w:r w:rsidDel="00000000" w:rsidR="00000000" w:rsidRPr="00000000">
          <w:rPr>
            <w:rFonts w:ascii="Times New Roman" w:cs="Times New Roman" w:eastAsia="Times New Roman" w:hAnsi="Times New Roman"/>
            <w:color w:val="1155cc"/>
            <w:sz w:val="24"/>
            <w:szCs w:val="24"/>
            <w:u w:val="single"/>
            <w:rtl w:val="0"/>
          </w:rPr>
          <w:t xml:space="preserve">https://doi.org/10.1016/j.jclepro.2017.07.146</w:t>
        </w:r>
      </w:hyperlink>
      <w:r w:rsidDel="00000000" w:rsidR="00000000" w:rsidRPr="00000000">
        <w:rPr>
          <w:rtl w:val="0"/>
        </w:rPr>
      </w:r>
    </w:p>
    <w:p w:rsidR="00000000" w:rsidDel="00000000" w:rsidP="00000000" w:rsidRDefault="00000000" w:rsidRPr="00000000" w14:paraId="0000017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Muller, A., &amp; Wittmer, A. (2026). Corporate decisions on sustainable aviation fuel: the cost-sustainability dilemma in business travel. </w:t>
      </w:r>
      <w:r w:rsidDel="00000000" w:rsidR="00000000" w:rsidRPr="00000000">
        <w:rPr>
          <w:rFonts w:ascii="Times New Roman" w:cs="Times New Roman" w:eastAsia="Times New Roman" w:hAnsi="Times New Roman"/>
          <w:i w:val="1"/>
          <w:iCs w:val="1"/>
          <w:sz w:val="24"/>
          <w:szCs w:val="24"/>
          <w:rtl w:val="0"/>
        </w:rPr>
        <w:t xml:space="preserve">Transportation Research Part A: Policy and Practice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206</w:t>
      </w:r>
      <w:r w:rsidDel="00000000" w:rsidR="00000000" w:rsidRPr="00000000">
        <w:rPr>
          <w:rFonts w:ascii="Times New Roman" w:cs="Times New Roman" w:eastAsia="Times New Roman" w:hAnsi="Times New Roman"/>
          <w:sz w:val="24"/>
          <w:szCs w:val="24"/>
          <w:rtl w:val="0"/>
        </w:rPr>
        <w:t xml:space="preserve">, 104898.</w:t>
      </w:r>
      <w:hyperlink r:id="rId101">
        <w:r w:rsidDel="00000000" w:rsidR="00000000" w:rsidRPr="00000000">
          <w:rPr>
            <w:rFonts w:ascii="Times New Roman" w:cs="Times New Roman" w:eastAsia="Times New Roman" w:hAnsi="Times New Roman"/>
            <w:sz w:val="24"/>
            <w:szCs w:val="24"/>
            <w:rtl w:val="0"/>
          </w:rPr>
          <w:t xml:space="preserve"> </w:t>
        </w:r>
      </w:hyperlink>
      <w:hyperlink r:id="rId102">
        <w:r w:rsidDel="00000000" w:rsidR="00000000" w:rsidRPr="00000000">
          <w:rPr>
            <w:rFonts w:ascii="Times New Roman" w:cs="Times New Roman" w:eastAsia="Times New Roman" w:hAnsi="Times New Roman"/>
            <w:color w:val="1155cc"/>
            <w:sz w:val="24"/>
            <w:szCs w:val="24"/>
            <w:u w:val="single"/>
            <w:rtl w:val="0"/>
          </w:rPr>
          <w:t xml:space="preserve">https://doi.org/10.1016/j.tra.2026.104898</w:t>
        </w:r>
      </w:hyperlink>
      <w:r w:rsidDel="00000000" w:rsidR="00000000" w:rsidRPr="00000000">
        <w:rPr>
          <w:rtl w:val="0"/>
        </w:rPr>
      </w:r>
    </w:p>
    <w:p w:rsidR="00000000" w:rsidDel="00000000" w:rsidP="00000000" w:rsidRDefault="00000000" w:rsidRPr="00000000" w14:paraId="0000017C">
      <w:pPr>
        <w:spacing w:after="240" w:before="240" w:line="36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Nguyen, L. T., &amp; Mori, A. (2026). Business model innovations and sectoral transformation: A bibliometric-systematic literature review of the oil and gas sector. </w:t>
      </w:r>
      <w:r w:rsidDel="00000000" w:rsidR="00000000" w:rsidRPr="00000000">
        <w:rPr>
          <w:rFonts w:ascii="Times New Roman" w:cs="Times New Roman" w:eastAsia="Times New Roman" w:hAnsi="Times New Roman"/>
          <w:i w:val="1"/>
          <w:iCs w:val="1"/>
          <w:sz w:val="24"/>
          <w:szCs w:val="24"/>
          <w:rtl w:val="0"/>
        </w:rPr>
        <w:t xml:space="preserve">Resources Policy, 116</w:t>
      </w:r>
      <w:r w:rsidDel="00000000" w:rsidR="00000000" w:rsidRPr="00000000">
        <w:rPr>
          <w:rFonts w:ascii="Times New Roman" w:cs="Times New Roman" w:eastAsia="Times New Roman" w:hAnsi="Times New Roman"/>
          <w:sz w:val="24"/>
          <w:szCs w:val="24"/>
          <w:rtl w:val="0"/>
        </w:rPr>
        <w:t xml:space="preserve">, 105917.</w:t>
      </w:r>
      <w:hyperlink r:id="rId103">
        <w:r w:rsidDel="00000000" w:rsidR="00000000" w:rsidRPr="00000000">
          <w:rPr>
            <w:rFonts w:ascii="Times New Roman" w:cs="Times New Roman" w:eastAsia="Times New Roman" w:hAnsi="Times New Roman"/>
            <w:sz w:val="24"/>
            <w:szCs w:val="24"/>
            <w:rtl w:val="0"/>
          </w:rPr>
          <w:t xml:space="preserve"> </w:t>
        </w:r>
      </w:hyperlink>
      <w:hyperlink r:id="rId104">
        <w:r w:rsidDel="00000000" w:rsidR="00000000" w:rsidRPr="00000000">
          <w:rPr>
            <w:rFonts w:ascii="Times New Roman" w:cs="Times New Roman" w:eastAsia="Times New Roman" w:hAnsi="Times New Roman"/>
            <w:color w:val="1155cc"/>
            <w:sz w:val="24"/>
            <w:szCs w:val="24"/>
            <w:u w:val="single"/>
            <w:rtl w:val="0"/>
          </w:rPr>
          <w:t xml:space="preserve">https://doi.org/10.1016/j.resourpol.2026.105917</w:t>
        </w:r>
      </w:hyperlink>
      <w:r w:rsidDel="00000000" w:rsidR="00000000" w:rsidRPr="00000000">
        <w:rPr>
          <w:rtl w:val="0"/>
        </w:rPr>
      </w:r>
    </w:p>
    <w:p w:rsidR="00000000" w:rsidDel="00000000" w:rsidP="00000000" w:rsidRDefault="00000000" w:rsidRPr="00000000" w14:paraId="0000017D">
      <w:pPr>
        <w:spacing w:after="240" w:before="240" w:line="36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Overholm, H. (2017). Alliance formation by intermediary ventures in the solar service industry: Implications for product-service systems research. </w:t>
      </w:r>
      <w:r w:rsidDel="00000000" w:rsidR="00000000" w:rsidRPr="00000000">
        <w:rPr>
          <w:rFonts w:ascii="Times New Roman" w:cs="Times New Roman" w:eastAsia="Times New Roman" w:hAnsi="Times New Roman"/>
          <w:i w:val="1"/>
          <w:iCs w:val="1"/>
          <w:sz w:val="24"/>
          <w:szCs w:val="24"/>
          <w:rtl w:val="0"/>
        </w:rPr>
        <w:t xml:space="preserve">Journal of Cleaner Production, 140</w:t>
      </w:r>
      <w:r w:rsidDel="00000000" w:rsidR="00000000" w:rsidRPr="00000000">
        <w:rPr>
          <w:rFonts w:ascii="Times New Roman" w:cs="Times New Roman" w:eastAsia="Times New Roman" w:hAnsi="Times New Roman"/>
          <w:sz w:val="24"/>
          <w:szCs w:val="24"/>
          <w:rtl w:val="0"/>
        </w:rPr>
        <w:t xml:space="preserve">, 288-298.</w:t>
      </w:r>
      <w:hyperlink r:id="rId105">
        <w:r w:rsidDel="00000000" w:rsidR="00000000" w:rsidRPr="00000000">
          <w:rPr>
            <w:rFonts w:ascii="Times New Roman" w:cs="Times New Roman" w:eastAsia="Times New Roman" w:hAnsi="Times New Roman"/>
            <w:sz w:val="24"/>
            <w:szCs w:val="24"/>
            <w:rtl w:val="0"/>
          </w:rPr>
          <w:t xml:space="preserve"> </w:t>
        </w:r>
      </w:hyperlink>
      <w:hyperlink r:id="rId106">
        <w:r w:rsidDel="00000000" w:rsidR="00000000" w:rsidRPr="00000000">
          <w:rPr>
            <w:rFonts w:ascii="Times New Roman" w:cs="Times New Roman" w:eastAsia="Times New Roman" w:hAnsi="Times New Roman"/>
            <w:color w:val="1155cc"/>
            <w:sz w:val="24"/>
            <w:szCs w:val="24"/>
            <w:u w:val="single"/>
            <w:rtl w:val="0"/>
          </w:rPr>
          <w:t xml:space="preserve">https://doi.org/10.1016/j.jclepro.2015.07.061</w:t>
        </w:r>
      </w:hyperlink>
      <w:r w:rsidDel="00000000" w:rsidR="00000000" w:rsidRPr="00000000">
        <w:rPr>
          <w:rtl w:val="0"/>
        </w:rPr>
      </w:r>
    </w:p>
    <w:p w:rsidR="00000000" w:rsidDel="00000000" w:rsidP="00000000" w:rsidRDefault="00000000" w:rsidRPr="00000000" w14:paraId="0000017E">
      <w:pPr>
        <w:spacing w:after="240" w:before="240" w:line="36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Pieroni, M. P. P., McAloone, T. C., &amp; Pigosso, D. C. A. (2019). Business model innovation for circular economy and sustainability: A review of approaches. </w:t>
      </w:r>
      <w:r w:rsidDel="00000000" w:rsidR="00000000" w:rsidRPr="00000000">
        <w:rPr>
          <w:rFonts w:ascii="Times New Roman" w:cs="Times New Roman" w:eastAsia="Times New Roman" w:hAnsi="Times New Roman"/>
          <w:i w:val="1"/>
          <w:iCs w:val="1"/>
          <w:sz w:val="24"/>
          <w:szCs w:val="24"/>
          <w:rtl w:val="0"/>
        </w:rPr>
        <w:t xml:space="preserve">Journal of Cleaner Production, 215</w:t>
      </w:r>
      <w:r w:rsidDel="00000000" w:rsidR="00000000" w:rsidRPr="00000000">
        <w:rPr>
          <w:rFonts w:ascii="Times New Roman" w:cs="Times New Roman" w:eastAsia="Times New Roman" w:hAnsi="Times New Roman"/>
          <w:sz w:val="24"/>
          <w:szCs w:val="24"/>
          <w:rtl w:val="0"/>
        </w:rPr>
        <w:t xml:space="preserve">, 198-216.</w:t>
      </w:r>
      <w:hyperlink r:id="rId107">
        <w:r w:rsidDel="00000000" w:rsidR="00000000" w:rsidRPr="00000000">
          <w:rPr>
            <w:rFonts w:ascii="Times New Roman" w:cs="Times New Roman" w:eastAsia="Times New Roman" w:hAnsi="Times New Roman"/>
            <w:sz w:val="24"/>
            <w:szCs w:val="24"/>
            <w:rtl w:val="0"/>
          </w:rPr>
          <w:t xml:space="preserve"> </w:t>
        </w:r>
      </w:hyperlink>
      <w:hyperlink r:id="rId108">
        <w:r w:rsidDel="00000000" w:rsidR="00000000" w:rsidRPr="00000000">
          <w:rPr>
            <w:rFonts w:ascii="Times New Roman" w:cs="Times New Roman" w:eastAsia="Times New Roman" w:hAnsi="Times New Roman"/>
            <w:color w:val="1155cc"/>
            <w:sz w:val="24"/>
            <w:szCs w:val="24"/>
            <w:u w:val="single"/>
            <w:rtl w:val="0"/>
          </w:rPr>
          <w:t xml:space="preserve">https://doi.org/10.1016/j.jclepro.2019.01.036</w:t>
        </w:r>
      </w:hyperlink>
      <w:r w:rsidDel="00000000" w:rsidR="00000000" w:rsidRPr="00000000">
        <w:rPr>
          <w:rtl w:val="0"/>
        </w:rPr>
      </w:r>
    </w:p>
    <w:p w:rsidR="00000000" w:rsidDel="00000000" w:rsidP="00000000" w:rsidRDefault="00000000" w:rsidRPr="00000000" w14:paraId="0000017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Planko, J., Cramer, J., Hekkert, M. P., &amp; Chappin, M. M. H. (2017). Combining the technological innovation systems framework with the entrepreneurs’ perspective on innovation. </w:t>
      </w:r>
      <w:r w:rsidDel="00000000" w:rsidR="00000000" w:rsidRPr="00000000">
        <w:rPr>
          <w:rFonts w:ascii="Times New Roman" w:cs="Times New Roman" w:eastAsia="Times New Roman" w:hAnsi="Times New Roman"/>
          <w:i w:val="1"/>
          <w:iCs w:val="1"/>
          <w:sz w:val="24"/>
          <w:szCs w:val="24"/>
          <w:rtl w:val="0"/>
        </w:rPr>
        <w:t xml:space="preserve">Technology Analysis &amp; Strategic Management, 29</w:t>
      </w:r>
      <w:r w:rsidDel="00000000" w:rsidR="00000000" w:rsidRPr="00000000">
        <w:rPr>
          <w:rFonts w:ascii="Times New Roman" w:cs="Times New Roman" w:eastAsia="Times New Roman" w:hAnsi="Times New Roman"/>
          <w:sz w:val="24"/>
          <w:szCs w:val="24"/>
          <w:rtl w:val="0"/>
        </w:rPr>
        <w:t xml:space="preserve">(6), 614-625.</w:t>
      </w:r>
      <w:hyperlink r:id="rId109">
        <w:r w:rsidDel="00000000" w:rsidR="00000000" w:rsidRPr="00000000">
          <w:rPr>
            <w:rFonts w:ascii="Times New Roman" w:cs="Times New Roman" w:eastAsia="Times New Roman" w:hAnsi="Times New Roman"/>
            <w:sz w:val="24"/>
            <w:szCs w:val="24"/>
            <w:rtl w:val="0"/>
          </w:rPr>
          <w:t xml:space="preserve"> </w:t>
        </w:r>
      </w:hyperlink>
      <w:hyperlink r:id="rId110">
        <w:r w:rsidDel="00000000" w:rsidR="00000000" w:rsidRPr="00000000">
          <w:rPr>
            <w:rFonts w:ascii="Times New Roman" w:cs="Times New Roman" w:eastAsia="Times New Roman" w:hAnsi="Times New Roman"/>
            <w:color w:val="1155cc"/>
            <w:sz w:val="24"/>
            <w:szCs w:val="24"/>
            <w:u w:val="single"/>
            <w:rtl w:val="0"/>
          </w:rPr>
          <w:t xml:space="preserve">https://doi.org/10.1080/09537325.2016.1220515</w:t>
        </w:r>
      </w:hyperlink>
      <w:r w:rsidDel="00000000" w:rsidR="00000000" w:rsidRPr="00000000">
        <w:rPr>
          <w:rtl w:val="0"/>
        </w:rPr>
      </w:r>
    </w:p>
    <w:p w:rsidR="00000000" w:rsidDel="00000000" w:rsidP="00000000" w:rsidRDefault="00000000" w:rsidRPr="00000000" w14:paraId="00000180">
      <w:pPr>
        <w:spacing w:after="240" w:before="240" w:line="36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Richter, M. (2013). Business model innovation for sustainable energy: German utilities and renewable energy. </w:t>
      </w:r>
      <w:r w:rsidDel="00000000" w:rsidR="00000000" w:rsidRPr="00000000">
        <w:rPr>
          <w:rFonts w:ascii="Times New Roman" w:cs="Times New Roman" w:eastAsia="Times New Roman" w:hAnsi="Times New Roman"/>
          <w:i w:val="1"/>
          <w:iCs w:val="1"/>
          <w:sz w:val="24"/>
          <w:szCs w:val="24"/>
          <w:rtl w:val="0"/>
        </w:rPr>
        <w:t xml:space="preserve">Energy Policy, 62</w:t>
      </w:r>
      <w:r w:rsidDel="00000000" w:rsidR="00000000" w:rsidRPr="00000000">
        <w:rPr>
          <w:rFonts w:ascii="Times New Roman" w:cs="Times New Roman" w:eastAsia="Times New Roman" w:hAnsi="Times New Roman"/>
          <w:sz w:val="24"/>
          <w:szCs w:val="24"/>
          <w:rtl w:val="0"/>
        </w:rPr>
        <w:t xml:space="preserve">, 1226-1237.</w:t>
      </w:r>
      <w:hyperlink r:id="rId111">
        <w:r w:rsidDel="00000000" w:rsidR="00000000" w:rsidRPr="00000000">
          <w:rPr>
            <w:rFonts w:ascii="Times New Roman" w:cs="Times New Roman" w:eastAsia="Times New Roman" w:hAnsi="Times New Roman"/>
            <w:sz w:val="24"/>
            <w:szCs w:val="24"/>
            <w:rtl w:val="0"/>
          </w:rPr>
          <w:t xml:space="preserve"> </w:t>
        </w:r>
      </w:hyperlink>
      <w:hyperlink r:id="rId112">
        <w:r w:rsidDel="00000000" w:rsidR="00000000" w:rsidRPr="00000000">
          <w:rPr>
            <w:rFonts w:ascii="Times New Roman" w:cs="Times New Roman" w:eastAsia="Times New Roman" w:hAnsi="Times New Roman"/>
            <w:color w:val="1155cc"/>
            <w:sz w:val="24"/>
            <w:szCs w:val="24"/>
            <w:u w:val="single"/>
            <w:rtl w:val="0"/>
          </w:rPr>
          <w:t xml:space="preserve">https://doi.org/10.1016/j.enpol.2013.05.038</w:t>
        </w:r>
      </w:hyperlink>
      <w:r w:rsidDel="00000000" w:rsidR="00000000" w:rsidRPr="00000000">
        <w:rPr>
          <w:rtl w:val="0"/>
        </w:rPr>
      </w:r>
    </w:p>
    <w:p w:rsidR="00000000" w:rsidDel="00000000" w:rsidP="00000000" w:rsidRDefault="00000000" w:rsidRPr="00000000" w14:paraId="00000181">
      <w:pPr>
        <w:spacing w:after="240" w:before="240" w:line="36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Ritala, P., Albareda, L., &amp; Bocken, N. (2021). Value creation and appropriation in economic, social, and environmental domains: Recognizing and resolving the institutionalized asymmetries. </w:t>
      </w:r>
      <w:r w:rsidDel="00000000" w:rsidR="00000000" w:rsidRPr="00000000">
        <w:rPr>
          <w:rFonts w:ascii="Times New Roman" w:cs="Times New Roman" w:eastAsia="Times New Roman" w:hAnsi="Times New Roman"/>
          <w:i w:val="1"/>
          <w:iCs w:val="1"/>
          <w:sz w:val="24"/>
          <w:szCs w:val="24"/>
          <w:rtl w:val="0"/>
        </w:rPr>
        <w:t xml:space="preserve">Journal of Cleaner Production, 290</w:t>
      </w:r>
      <w:r w:rsidDel="00000000" w:rsidR="00000000" w:rsidRPr="00000000">
        <w:rPr>
          <w:rFonts w:ascii="Times New Roman" w:cs="Times New Roman" w:eastAsia="Times New Roman" w:hAnsi="Times New Roman"/>
          <w:sz w:val="24"/>
          <w:szCs w:val="24"/>
          <w:rtl w:val="0"/>
        </w:rPr>
        <w:t xml:space="preserve">, 125796.</w:t>
      </w:r>
      <w:hyperlink r:id="rId113">
        <w:r w:rsidDel="00000000" w:rsidR="00000000" w:rsidRPr="00000000">
          <w:rPr>
            <w:rFonts w:ascii="Times New Roman" w:cs="Times New Roman" w:eastAsia="Times New Roman" w:hAnsi="Times New Roman"/>
            <w:sz w:val="24"/>
            <w:szCs w:val="24"/>
            <w:rtl w:val="0"/>
          </w:rPr>
          <w:t xml:space="preserve"> </w:t>
        </w:r>
      </w:hyperlink>
      <w:hyperlink r:id="rId114">
        <w:r w:rsidDel="00000000" w:rsidR="00000000" w:rsidRPr="00000000">
          <w:rPr>
            <w:rFonts w:ascii="Times New Roman" w:cs="Times New Roman" w:eastAsia="Times New Roman" w:hAnsi="Times New Roman"/>
            <w:color w:val="1155cc"/>
            <w:sz w:val="24"/>
            <w:szCs w:val="24"/>
            <w:u w:val="single"/>
            <w:rtl w:val="0"/>
          </w:rPr>
          <w:t xml:space="preserve">https://doi.org/10.1016/j.jclepro.2021.125796</w:t>
        </w:r>
      </w:hyperlink>
      <w:r w:rsidDel="00000000" w:rsidR="00000000" w:rsidRPr="00000000">
        <w:rPr>
          <w:rtl w:val="0"/>
        </w:rPr>
      </w:r>
    </w:p>
    <w:p w:rsidR="00000000" w:rsidDel="00000000" w:rsidP="00000000" w:rsidRDefault="00000000" w:rsidRPr="00000000" w14:paraId="00000182">
      <w:pPr>
        <w:spacing w:after="240" w:before="240" w:line="36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Shakeel, J., Mardani, A., Chofreh, A. G., Goni, F. A., &amp; Klemes, J. J. (2020). Anatomy of sustainable business model innovation. </w:t>
      </w:r>
      <w:r w:rsidDel="00000000" w:rsidR="00000000" w:rsidRPr="00000000">
        <w:rPr>
          <w:rFonts w:ascii="Times New Roman" w:cs="Times New Roman" w:eastAsia="Times New Roman" w:hAnsi="Times New Roman"/>
          <w:i w:val="1"/>
          <w:iCs w:val="1"/>
          <w:sz w:val="24"/>
          <w:szCs w:val="24"/>
          <w:rtl w:val="0"/>
        </w:rPr>
        <w:t xml:space="preserve">Journal of Cleaner Production, 261</w:t>
      </w:r>
      <w:r w:rsidDel="00000000" w:rsidR="00000000" w:rsidRPr="00000000">
        <w:rPr>
          <w:rFonts w:ascii="Times New Roman" w:cs="Times New Roman" w:eastAsia="Times New Roman" w:hAnsi="Times New Roman"/>
          <w:sz w:val="24"/>
          <w:szCs w:val="24"/>
          <w:rtl w:val="0"/>
        </w:rPr>
        <w:t xml:space="preserve">, 121201.</w:t>
      </w:r>
      <w:hyperlink r:id="rId115">
        <w:r w:rsidDel="00000000" w:rsidR="00000000" w:rsidRPr="00000000">
          <w:rPr>
            <w:rFonts w:ascii="Times New Roman" w:cs="Times New Roman" w:eastAsia="Times New Roman" w:hAnsi="Times New Roman"/>
            <w:sz w:val="24"/>
            <w:szCs w:val="24"/>
            <w:rtl w:val="0"/>
          </w:rPr>
          <w:t xml:space="preserve"> </w:t>
        </w:r>
      </w:hyperlink>
      <w:hyperlink r:id="rId116">
        <w:r w:rsidDel="00000000" w:rsidR="00000000" w:rsidRPr="00000000">
          <w:rPr>
            <w:rFonts w:ascii="Times New Roman" w:cs="Times New Roman" w:eastAsia="Times New Roman" w:hAnsi="Times New Roman"/>
            <w:color w:val="1155cc"/>
            <w:sz w:val="24"/>
            <w:szCs w:val="24"/>
            <w:u w:val="single"/>
            <w:rtl w:val="0"/>
          </w:rPr>
          <w:t xml:space="preserve">https://doi.org/10.1016/j.jclepro.2020.121201</w:t>
        </w:r>
      </w:hyperlink>
      <w:r w:rsidDel="00000000" w:rsidR="00000000" w:rsidRPr="00000000">
        <w:rPr>
          <w:rtl w:val="0"/>
        </w:rPr>
      </w:r>
    </w:p>
    <w:p w:rsidR="00000000" w:rsidDel="00000000" w:rsidP="00000000" w:rsidRDefault="00000000" w:rsidRPr="00000000" w14:paraId="00000183">
      <w:pPr>
        <w:spacing w:after="240" w:before="240" w:line="36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Short, S. W., Bocken, N. M. P., Barlow, C. Y., &amp; Chertow, M. R. (2014). From refining sugar to growing tomatoes: Industrial ecology and business model evolution. </w:t>
      </w:r>
      <w:r w:rsidDel="00000000" w:rsidR="00000000" w:rsidRPr="00000000">
        <w:rPr>
          <w:rFonts w:ascii="Times New Roman" w:cs="Times New Roman" w:eastAsia="Times New Roman" w:hAnsi="Times New Roman"/>
          <w:i w:val="1"/>
          <w:iCs w:val="1"/>
          <w:sz w:val="24"/>
          <w:szCs w:val="24"/>
          <w:rtl w:val="0"/>
        </w:rPr>
        <w:t xml:space="preserve">Journal of Industrial Ecology, 18</w:t>
      </w:r>
      <w:r w:rsidDel="00000000" w:rsidR="00000000" w:rsidRPr="00000000">
        <w:rPr>
          <w:rFonts w:ascii="Times New Roman" w:cs="Times New Roman" w:eastAsia="Times New Roman" w:hAnsi="Times New Roman"/>
          <w:sz w:val="24"/>
          <w:szCs w:val="24"/>
          <w:rtl w:val="0"/>
        </w:rPr>
        <w:t xml:space="preserve">(5), 603-618.</w:t>
      </w:r>
      <w:hyperlink r:id="rId117">
        <w:r w:rsidDel="00000000" w:rsidR="00000000" w:rsidRPr="00000000">
          <w:rPr>
            <w:rFonts w:ascii="Times New Roman" w:cs="Times New Roman" w:eastAsia="Times New Roman" w:hAnsi="Times New Roman"/>
            <w:sz w:val="24"/>
            <w:szCs w:val="24"/>
            <w:rtl w:val="0"/>
          </w:rPr>
          <w:t xml:space="preserve"> </w:t>
        </w:r>
      </w:hyperlink>
      <w:hyperlink r:id="rId118">
        <w:r w:rsidDel="00000000" w:rsidR="00000000" w:rsidRPr="00000000">
          <w:rPr>
            <w:rFonts w:ascii="Times New Roman" w:cs="Times New Roman" w:eastAsia="Times New Roman" w:hAnsi="Times New Roman"/>
            <w:color w:val="1155cc"/>
            <w:sz w:val="24"/>
            <w:szCs w:val="24"/>
            <w:u w:val="single"/>
            <w:rtl w:val="0"/>
          </w:rPr>
          <w:t xml:space="preserve">https://doi.org/10.1111/jiec.12171</w:t>
        </w:r>
      </w:hyperlink>
      <w:r w:rsidDel="00000000" w:rsidR="00000000" w:rsidRPr="00000000">
        <w:rPr>
          <w:rtl w:val="0"/>
        </w:rPr>
      </w:r>
    </w:p>
    <w:p w:rsidR="00000000" w:rsidDel="00000000" w:rsidP="00000000" w:rsidRDefault="00000000" w:rsidRPr="00000000" w14:paraId="00000184">
      <w:pPr>
        <w:spacing w:after="240" w:before="240" w:line="36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Smith, P. M., Gaffney, M. J., Shi, W., Hoard, S., Ibarrola Armendariz, I., &amp; Mueller, D. W. (2017). Drivers and barriers to the adoption and diffusion of Sustainable Jet Fuel (SJF) in the U.S. Pacific Northwest. </w:t>
      </w:r>
      <w:r w:rsidDel="00000000" w:rsidR="00000000" w:rsidRPr="00000000">
        <w:rPr>
          <w:rFonts w:ascii="Times New Roman" w:cs="Times New Roman" w:eastAsia="Times New Roman" w:hAnsi="Times New Roman"/>
          <w:i w:val="1"/>
          <w:iCs w:val="1"/>
          <w:sz w:val="24"/>
          <w:szCs w:val="24"/>
          <w:rtl w:val="0"/>
        </w:rPr>
        <w:t xml:space="preserve">Journal of Air Transport Management, 58</w:t>
      </w:r>
      <w:r w:rsidDel="00000000" w:rsidR="00000000" w:rsidRPr="00000000">
        <w:rPr>
          <w:rFonts w:ascii="Times New Roman" w:cs="Times New Roman" w:eastAsia="Times New Roman" w:hAnsi="Times New Roman"/>
          <w:sz w:val="24"/>
          <w:szCs w:val="24"/>
          <w:rtl w:val="0"/>
        </w:rPr>
        <w:t xml:space="preserve">, 113-124.</w:t>
      </w:r>
      <w:hyperlink r:id="rId119">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color w:val="1155cc"/>
          <w:sz w:val="24"/>
          <w:szCs w:val="24"/>
          <w:u w:val="single"/>
          <w:rtl w:val="0"/>
        </w:rPr>
        <w:t xml:space="preserve">https://doi.org/10.1016/j.jairtraman.2016.10.004</w:t>
      </w:r>
    </w:p>
    <w:p w:rsidR="00000000" w:rsidDel="00000000" w:rsidP="00000000" w:rsidRDefault="00000000" w:rsidRPr="00000000" w14:paraId="00000185">
      <w:pPr>
        <w:spacing w:after="240" w:before="240" w:line="36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Speich, M., &amp; Ulli-Beer, S. (2023). Applying an ecosystem lens to low-carbon energy transitions: A conceptual framework. </w:t>
      </w:r>
      <w:r w:rsidDel="00000000" w:rsidR="00000000" w:rsidRPr="00000000">
        <w:rPr>
          <w:rFonts w:ascii="Times New Roman" w:cs="Times New Roman" w:eastAsia="Times New Roman" w:hAnsi="Times New Roman"/>
          <w:i w:val="1"/>
          <w:iCs w:val="1"/>
          <w:sz w:val="24"/>
          <w:szCs w:val="24"/>
          <w:rtl w:val="0"/>
        </w:rPr>
        <w:t xml:space="preserve">Journal of Cleaner Production, 398</w:t>
      </w:r>
      <w:r w:rsidDel="00000000" w:rsidR="00000000" w:rsidRPr="00000000">
        <w:rPr>
          <w:rFonts w:ascii="Times New Roman" w:cs="Times New Roman" w:eastAsia="Times New Roman" w:hAnsi="Times New Roman"/>
          <w:sz w:val="24"/>
          <w:szCs w:val="24"/>
          <w:rtl w:val="0"/>
        </w:rPr>
        <w:t xml:space="preserve">, 136429.</w:t>
      </w:r>
      <w:hyperlink r:id="rId120">
        <w:r w:rsidDel="00000000" w:rsidR="00000000" w:rsidRPr="00000000">
          <w:rPr>
            <w:rFonts w:ascii="Times New Roman" w:cs="Times New Roman" w:eastAsia="Times New Roman" w:hAnsi="Times New Roman"/>
            <w:sz w:val="24"/>
            <w:szCs w:val="24"/>
            <w:rtl w:val="0"/>
          </w:rPr>
          <w:t xml:space="preserve"> </w:t>
        </w:r>
      </w:hyperlink>
      <w:hyperlink r:id="rId121">
        <w:r w:rsidDel="00000000" w:rsidR="00000000" w:rsidRPr="00000000">
          <w:rPr>
            <w:rFonts w:ascii="Times New Roman" w:cs="Times New Roman" w:eastAsia="Times New Roman" w:hAnsi="Times New Roman"/>
            <w:color w:val="1155cc"/>
            <w:sz w:val="24"/>
            <w:szCs w:val="24"/>
            <w:u w:val="single"/>
            <w:rtl w:val="0"/>
          </w:rPr>
          <w:t xml:space="preserve">https://doi.org/10.1016/j.jclepro.2023.136429</w:t>
        </w:r>
      </w:hyperlink>
      <w:r w:rsidDel="00000000" w:rsidR="00000000" w:rsidRPr="00000000">
        <w:rPr>
          <w:rtl w:val="0"/>
        </w:rPr>
      </w:r>
    </w:p>
    <w:p w:rsidR="00000000" w:rsidDel="00000000" w:rsidP="00000000" w:rsidRDefault="00000000" w:rsidRPr="00000000" w14:paraId="00000186">
      <w:pPr>
        <w:spacing w:after="240" w:before="240" w:line="36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Teece, D. J. (2010). Business models, business strategy and innovation. </w:t>
      </w:r>
      <w:r w:rsidDel="00000000" w:rsidR="00000000" w:rsidRPr="00000000">
        <w:rPr>
          <w:rFonts w:ascii="Times New Roman" w:cs="Times New Roman" w:eastAsia="Times New Roman" w:hAnsi="Times New Roman"/>
          <w:i w:val="1"/>
          <w:iCs w:val="1"/>
          <w:sz w:val="24"/>
          <w:szCs w:val="24"/>
          <w:rtl w:val="0"/>
        </w:rPr>
        <w:t xml:space="preserve">Long Range Planning, 43</w:t>
      </w:r>
      <w:r w:rsidDel="00000000" w:rsidR="00000000" w:rsidRPr="00000000">
        <w:rPr>
          <w:rFonts w:ascii="Times New Roman" w:cs="Times New Roman" w:eastAsia="Times New Roman" w:hAnsi="Times New Roman"/>
          <w:sz w:val="24"/>
          <w:szCs w:val="24"/>
          <w:rtl w:val="0"/>
        </w:rPr>
        <w:t xml:space="preserve">(2-3), 172-194.</w:t>
      </w:r>
      <w:hyperlink r:id="rId122">
        <w:r w:rsidDel="00000000" w:rsidR="00000000" w:rsidRPr="00000000">
          <w:rPr>
            <w:rFonts w:ascii="Times New Roman" w:cs="Times New Roman" w:eastAsia="Times New Roman" w:hAnsi="Times New Roman"/>
            <w:sz w:val="24"/>
            <w:szCs w:val="24"/>
            <w:rtl w:val="0"/>
          </w:rPr>
          <w:t xml:space="preserve"> </w:t>
        </w:r>
      </w:hyperlink>
      <w:hyperlink r:id="rId123">
        <w:r w:rsidDel="00000000" w:rsidR="00000000" w:rsidRPr="00000000">
          <w:rPr>
            <w:rFonts w:ascii="Times New Roman" w:cs="Times New Roman" w:eastAsia="Times New Roman" w:hAnsi="Times New Roman"/>
            <w:color w:val="1155cc"/>
            <w:sz w:val="24"/>
            <w:szCs w:val="24"/>
            <w:u w:val="single"/>
            <w:rtl w:val="0"/>
          </w:rPr>
          <w:t xml:space="preserve">https://doi.org/10.1016/j.lrp.2009.07.003</w:t>
        </w:r>
      </w:hyperlink>
      <w:r w:rsidDel="00000000" w:rsidR="00000000" w:rsidRPr="00000000">
        <w:rPr>
          <w:rtl w:val="0"/>
        </w:rPr>
      </w:r>
    </w:p>
    <w:p w:rsidR="00000000" w:rsidDel="00000000" w:rsidP="00000000" w:rsidRDefault="00000000" w:rsidRPr="00000000" w14:paraId="00000187">
      <w:pPr>
        <w:spacing w:after="240" w:before="240" w:line="36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Velter, M. G. E., Bitzer, V., Bocken, N. M. P., &amp; Kemp, R. (2021). Boundary work for collaborative sustainable business model innovation: The journey of a Dutch SME. </w:t>
      </w:r>
      <w:r w:rsidDel="00000000" w:rsidR="00000000" w:rsidRPr="00000000">
        <w:rPr>
          <w:rFonts w:ascii="Times New Roman" w:cs="Times New Roman" w:eastAsia="Times New Roman" w:hAnsi="Times New Roman"/>
          <w:i w:val="1"/>
          <w:iCs w:val="1"/>
          <w:sz w:val="24"/>
          <w:szCs w:val="24"/>
          <w:rtl w:val="0"/>
        </w:rPr>
        <w:t xml:space="preserve">Journal of Business Models, 9</w:t>
      </w:r>
      <w:r w:rsidDel="00000000" w:rsidR="00000000" w:rsidRPr="00000000">
        <w:rPr>
          <w:rFonts w:ascii="Times New Roman" w:cs="Times New Roman" w:eastAsia="Times New Roman" w:hAnsi="Times New Roman"/>
          <w:sz w:val="24"/>
          <w:szCs w:val="24"/>
          <w:rtl w:val="0"/>
        </w:rPr>
        <w:t xml:space="preserve">(4), 36-66.</w:t>
      </w:r>
      <w:hyperlink r:id="rId124">
        <w:r w:rsidDel="00000000" w:rsidR="00000000" w:rsidRPr="00000000">
          <w:rPr>
            <w:rFonts w:ascii="Times New Roman" w:cs="Times New Roman" w:eastAsia="Times New Roman" w:hAnsi="Times New Roman"/>
            <w:sz w:val="24"/>
            <w:szCs w:val="24"/>
            <w:rtl w:val="0"/>
          </w:rPr>
          <w:t xml:space="preserve"> </w:t>
        </w:r>
      </w:hyperlink>
      <w:hyperlink r:id="rId125">
        <w:r w:rsidDel="00000000" w:rsidR="00000000" w:rsidRPr="00000000">
          <w:rPr>
            <w:rFonts w:ascii="Times New Roman" w:cs="Times New Roman" w:eastAsia="Times New Roman" w:hAnsi="Times New Roman"/>
            <w:color w:val="1155cc"/>
            <w:sz w:val="24"/>
            <w:szCs w:val="24"/>
            <w:u w:val="single"/>
            <w:rtl w:val="0"/>
          </w:rPr>
          <w:t xml:space="preserve">https://doi.org/10.5278/jbm.v9i4.6267</w:t>
        </w:r>
      </w:hyperlink>
      <w:r w:rsidDel="00000000" w:rsidR="00000000" w:rsidRPr="00000000">
        <w:rPr>
          <w:rtl w:val="0"/>
        </w:rPr>
      </w:r>
    </w:p>
    <w:p w:rsidR="00000000" w:rsidDel="00000000" w:rsidP="00000000" w:rsidRDefault="00000000" w:rsidRPr="00000000" w14:paraId="00000188">
      <w:pPr>
        <w:spacing w:after="240" w:before="240" w:line="36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Wadin, J. L., Ahlgren, K., &amp; Bengtsson, L. (2017). Joint business model innovation for sustainable transformation of industries: A large multinational utility in alliance with a small solar energy company. </w:t>
      </w:r>
      <w:r w:rsidDel="00000000" w:rsidR="00000000" w:rsidRPr="00000000">
        <w:rPr>
          <w:rFonts w:ascii="Times New Roman" w:cs="Times New Roman" w:eastAsia="Times New Roman" w:hAnsi="Times New Roman"/>
          <w:i w:val="1"/>
          <w:iCs w:val="1"/>
          <w:sz w:val="24"/>
          <w:szCs w:val="24"/>
          <w:rtl w:val="0"/>
        </w:rPr>
        <w:t xml:space="preserve">Journal of Cleaner Production, 160</w:t>
      </w:r>
      <w:r w:rsidDel="00000000" w:rsidR="00000000" w:rsidRPr="00000000">
        <w:rPr>
          <w:rFonts w:ascii="Times New Roman" w:cs="Times New Roman" w:eastAsia="Times New Roman" w:hAnsi="Times New Roman"/>
          <w:sz w:val="24"/>
          <w:szCs w:val="24"/>
          <w:rtl w:val="0"/>
        </w:rPr>
        <w:t xml:space="preserve">, 139-150.</w:t>
      </w:r>
      <w:hyperlink r:id="rId126">
        <w:r w:rsidDel="00000000" w:rsidR="00000000" w:rsidRPr="00000000">
          <w:rPr>
            <w:rFonts w:ascii="Times New Roman" w:cs="Times New Roman" w:eastAsia="Times New Roman" w:hAnsi="Times New Roman"/>
            <w:sz w:val="24"/>
            <w:szCs w:val="24"/>
            <w:rtl w:val="0"/>
          </w:rPr>
          <w:t xml:space="preserve"> </w:t>
        </w:r>
      </w:hyperlink>
      <w:hyperlink r:id="rId127">
        <w:r w:rsidDel="00000000" w:rsidR="00000000" w:rsidRPr="00000000">
          <w:rPr>
            <w:rFonts w:ascii="Times New Roman" w:cs="Times New Roman" w:eastAsia="Times New Roman" w:hAnsi="Times New Roman"/>
            <w:color w:val="1155cc"/>
            <w:sz w:val="24"/>
            <w:szCs w:val="24"/>
            <w:u w:val="single"/>
            <w:rtl w:val="0"/>
          </w:rPr>
          <w:t xml:space="preserve">https://doi.org/10.1016/j.jclepro.2017.03.151</w:t>
        </w:r>
      </w:hyperlink>
      <w:r w:rsidDel="00000000" w:rsidR="00000000" w:rsidRPr="00000000">
        <w:rPr>
          <w:rtl w:val="0"/>
        </w:rPr>
      </w:r>
    </w:p>
    <w:p w:rsidR="00000000" w:rsidDel="00000000" w:rsidP="00000000" w:rsidRDefault="00000000" w:rsidRPr="00000000" w14:paraId="00000189">
      <w:pPr>
        <w:spacing w:after="240" w:before="240" w:line="36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Wainstein, M. E., &amp; Bumpus, A. G. (2016). Business models as drivers of the low carbon power system transition: A multi-level perspective. </w:t>
      </w:r>
      <w:r w:rsidDel="00000000" w:rsidR="00000000" w:rsidRPr="00000000">
        <w:rPr>
          <w:rFonts w:ascii="Times New Roman" w:cs="Times New Roman" w:eastAsia="Times New Roman" w:hAnsi="Times New Roman"/>
          <w:i w:val="1"/>
          <w:iCs w:val="1"/>
          <w:sz w:val="24"/>
          <w:szCs w:val="24"/>
          <w:rtl w:val="0"/>
        </w:rPr>
        <w:t xml:space="preserve">Journal of Cleaner Production, 126</w:t>
      </w:r>
      <w:r w:rsidDel="00000000" w:rsidR="00000000" w:rsidRPr="00000000">
        <w:rPr>
          <w:rFonts w:ascii="Times New Roman" w:cs="Times New Roman" w:eastAsia="Times New Roman" w:hAnsi="Times New Roman"/>
          <w:sz w:val="24"/>
          <w:szCs w:val="24"/>
          <w:rtl w:val="0"/>
        </w:rPr>
        <w:t xml:space="preserve">, 572-585.</w:t>
      </w:r>
      <w:hyperlink r:id="rId128">
        <w:r w:rsidDel="00000000" w:rsidR="00000000" w:rsidRPr="00000000">
          <w:rPr>
            <w:rFonts w:ascii="Times New Roman" w:cs="Times New Roman" w:eastAsia="Times New Roman" w:hAnsi="Times New Roman"/>
            <w:sz w:val="24"/>
            <w:szCs w:val="24"/>
            <w:rtl w:val="0"/>
          </w:rPr>
          <w:t xml:space="preserve"> </w:t>
        </w:r>
      </w:hyperlink>
      <w:hyperlink r:id="rId129">
        <w:r w:rsidDel="00000000" w:rsidR="00000000" w:rsidRPr="00000000">
          <w:rPr>
            <w:rFonts w:ascii="Times New Roman" w:cs="Times New Roman" w:eastAsia="Times New Roman" w:hAnsi="Times New Roman"/>
            <w:color w:val="1155cc"/>
            <w:sz w:val="24"/>
            <w:szCs w:val="24"/>
            <w:u w:val="single"/>
            <w:rtl w:val="0"/>
          </w:rPr>
          <w:t xml:space="preserve">https://doi.org/10.1016/j.jclepro.2016.02.095</w:t>
        </w:r>
      </w:hyperlink>
      <w:r w:rsidDel="00000000" w:rsidR="00000000" w:rsidRPr="00000000">
        <w:rPr>
          <w:rtl w:val="0"/>
        </w:rPr>
      </w:r>
    </w:p>
    <w:p w:rsidR="00000000" w:rsidDel="00000000" w:rsidP="00000000" w:rsidRDefault="00000000" w:rsidRPr="00000000" w14:paraId="0000018A">
      <w:pPr>
        <w:spacing w:after="240" w:before="240" w:line="36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Wasserbaur, R., Sakao, T., &amp; Milios, L. (2022). Interactions of governmental policies and business models for a circular economy: A systematic literature review. </w:t>
      </w:r>
      <w:r w:rsidDel="00000000" w:rsidR="00000000" w:rsidRPr="00000000">
        <w:rPr>
          <w:rFonts w:ascii="Times New Roman" w:cs="Times New Roman" w:eastAsia="Times New Roman" w:hAnsi="Times New Roman"/>
          <w:i w:val="1"/>
          <w:iCs w:val="1"/>
          <w:sz w:val="24"/>
          <w:szCs w:val="24"/>
          <w:rtl w:val="0"/>
        </w:rPr>
        <w:t xml:space="preserve">Journal of Cleaner Production, 337</w:t>
      </w:r>
      <w:r w:rsidDel="00000000" w:rsidR="00000000" w:rsidRPr="00000000">
        <w:rPr>
          <w:rFonts w:ascii="Times New Roman" w:cs="Times New Roman" w:eastAsia="Times New Roman" w:hAnsi="Times New Roman"/>
          <w:sz w:val="24"/>
          <w:szCs w:val="24"/>
          <w:rtl w:val="0"/>
        </w:rPr>
        <w:t xml:space="preserve">, 130329.</w:t>
      </w:r>
      <w:hyperlink r:id="rId130">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color w:val="1155cc"/>
          <w:sz w:val="24"/>
          <w:szCs w:val="24"/>
          <w:u w:val="single"/>
          <w:rtl w:val="0"/>
        </w:rPr>
        <w:t xml:space="preserve">https://doi.org/10.1016/j.jclepro.2021.130329</w:t>
      </w:r>
    </w:p>
    <w:p w:rsidR="00000000" w:rsidDel="00000000" w:rsidP="00000000" w:rsidRDefault="00000000" w:rsidRPr="00000000" w14:paraId="0000018B">
      <w:pPr>
        <w:spacing w:after="240" w:before="240" w:line="36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Yang, M., Vladimirova, D., &amp; Evans, S. (2017). Creating and capturing value through sustainability. </w:t>
      </w:r>
      <w:r w:rsidDel="00000000" w:rsidR="00000000" w:rsidRPr="00000000">
        <w:rPr>
          <w:rFonts w:ascii="Times New Roman" w:cs="Times New Roman" w:eastAsia="Times New Roman" w:hAnsi="Times New Roman"/>
          <w:i w:val="1"/>
          <w:iCs w:val="1"/>
          <w:sz w:val="24"/>
          <w:szCs w:val="24"/>
          <w:rtl w:val="0"/>
        </w:rPr>
        <w:t xml:space="preserve">Research-Technology Management, 60</w:t>
      </w:r>
      <w:r w:rsidDel="00000000" w:rsidR="00000000" w:rsidRPr="00000000">
        <w:rPr>
          <w:rFonts w:ascii="Times New Roman" w:cs="Times New Roman" w:eastAsia="Times New Roman" w:hAnsi="Times New Roman"/>
          <w:sz w:val="24"/>
          <w:szCs w:val="24"/>
          <w:rtl w:val="0"/>
        </w:rPr>
        <w:t xml:space="preserve">(3), 30-39.</w:t>
      </w:r>
      <w:hyperlink r:id="rId131">
        <w:r w:rsidDel="00000000" w:rsidR="00000000" w:rsidRPr="00000000">
          <w:rPr>
            <w:rFonts w:ascii="Times New Roman" w:cs="Times New Roman" w:eastAsia="Times New Roman" w:hAnsi="Times New Roman"/>
            <w:sz w:val="24"/>
            <w:szCs w:val="24"/>
            <w:rtl w:val="0"/>
          </w:rPr>
          <w:t xml:space="preserve"> </w:t>
        </w:r>
      </w:hyperlink>
      <w:hyperlink r:id="rId132">
        <w:r w:rsidDel="00000000" w:rsidR="00000000" w:rsidRPr="00000000">
          <w:rPr>
            <w:rFonts w:ascii="Times New Roman" w:cs="Times New Roman" w:eastAsia="Times New Roman" w:hAnsi="Times New Roman"/>
            <w:color w:val="1155cc"/>
            <w:sz w:val="24"/>
            <w:szCs w:val="24"/>
            <w:u w:val="single"/>
            <w:rtl w:val="0"/>
          </w:rPr>
          <w:t xml:space="preserve">https://doi.org/10.1080/08956308.2017.1301001</w:t>
        </w:r>
      </w:hyperlink>
      <w:r w:rsidDel="00000000" w:rsidR="00000000" w:rsidRPr="00000000">
        <w:rPr>
          <w:rtl w:val="0"/>
        </w:rPr>
      </w:r>
    </w:p>
    <w:p w:rsidR="00000000" w:rsidDel="00000000" w:rsidP="00000000" w:rsidRDefault="00000000" w:rsidRPr="00000000" w14:paraId="0000018C">
      <w:pPr>
        <w:spacing w:after="240" w:before="240" w:line="36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Zhang, X., Antonialli, F., Bonnardel, S. M., &amp; Bareille, O. (2024). Where business model innovation comes from and where it goes: A bibliometric review. </w:t>
      </w:r>
      <w:r w:rsidDel="00000000" w:rsidR="00000000" w:rsidRPr="00000000">
        <w:rPr>
          <w:rFonts w:ascii="Times New Roman" w:cs="Times New Roman" w:eastAsia="Times New Roman" w:hAnsi="Times New Roman"/>
          <w:i w:val="1"/>
          <w:iCs w:val="1"/>
          <w:sz w:val="24"/>
          <w:szCs w:val="24"/>
          <w:rtl w:val="0"/>
        </w:rPr>
        <w:t xml:space="preserve">Creativity and Innovation Management, 33</w:t>
      </w:r>
      <w:r w:rsidDel="00000000" w:rsidR="00000000" w:rsidRPr="00000000">
        <w:rPr>
          <w:rFonts w:ascii="Times New Roman" w:cs="Times New Roman" w:eastAsia="Times New Roman" w:hAnsi="Times New Roman"/>
          <w:sz w:val="24"/>
          <w:szCs w:val="24"/>
          <w:rtl w:val="0"/>
        </w:rPr>
        <w:t xml:space="preserve">(2), 109-126.</w:t>
      </w:r>
      <w:hyperlink r:id="rId133">
        <w:r w:rsidDel="00000000" w:rsidR="00000000" w:rsidRPr="00000000">
          <w:rPr>
            <w:rFonts w:ascii="Times New Roman" w:cs="Times New Roman" w:eastAsia="Times New Roman" w:hAnsi="Times New Roman"/>
            <w:sz w:val="24"/>
            <w:szCs w:val="24"/>
            <w:rtl w:val="0"/>
          </w:rPr>
          <w:t xml:space="preserve"> </w:t>
        </w:r>
      </w:hyperlink>
      <w:hyperlink r:id="rId134">
        <w:r w:rsidDel="00000000" w:rsidR="00000000" w:rsidRPr="00000000">
          <w:rPr>
            <w:rFonts w:ascii="Times New Roman" w:cs="Times New Roman" w:eastAsia="Times New Roman" w:hAnsi="Times New Roman"/>
            <w:color w:val="1155cc"/>
            <w:sz w:val="24"/>
            <w:szCs w:val="24"/>
            <w:u w:val="single"/>
            <w:rtl w:val="0"/>
          </w:rPr>
          <w:t xml:space="preserve">https://doi.org/10.1111/caim.12558</w:t>
        </w:r>
      </w:hyperlink>
      <w:r w:rsidDel="00000000" w:rsidR="00000000" w:rsidRPr="00000000">
        <w:rPr>
          <w:rtl w:val="0"/>
        </w:rPr>
      </w:r>
    </w:p>
    <w:p w:rsidR="00000000" w:rsidDel="00000000" w:rsidP="00000000" w:rsidRDefault="00000000" w:rsidRPr="00000000" w14:paraId="0000018D">
      <w:pPr>
        <w:spacing w:after="240" w:before="240" w:line="36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Liam Hornschild-Bear" w:id="0" w:date="2026-07-08T10:11:43Z">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methodology still needs to be</w:t>
      </w:r>
    </w:p>
  </w:comment>
  <w:comment w:author="Liam Hornschild-Bear" w:id="2" w:date="2026-07-08T10:12:21Z">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due date?</w:t>
      </w:r>
    </w:p>
  </w:comment>
  <w:comment w:author="Liam Hornschild-Bear" w:id="1" w:date="2026-07-08T10:12:00Z">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cut down</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8E" w15:done="0"/>
  <w15:commentEx w15:paraId="0000018F" w15:done="0"/>
  <w15:commentEx w15:paraId="00000190"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eur-lex.europa.eu/eli/dir/2008/98/oj/eng" TargetMode="External"/><Relationship Id="rId42" Type="http://schemas.openxmlformats.org/officeDocument/2006/relationships/hyperlink" Target="https://eur-lex.europa.eu/legal-content/EN/TXT/?uri=CELEX%3A32018L0410" TargetMode="External"/><Relationship Id="rId41" Type="http://schemas.openxmlformats.org/officeDocument/2006/relationships/hyperlink" Target="https://eur-lex.europa.eu/eli/reg/2009/1069/oj/eng" TargetMode="External"/><Relationship Id="rId44" Type="http://schemas.openxmlformats.org/officeDocument/2006/relationships/hyperlink" Target="https://eur-lex.europa.eu/eli/reg/2020/852/oj/eng" TargetMode="External"/><Relationship Id="rId43" Type="http://schemas.openxmlformats.org/officeDocument/2006/relationships/hyperlink" Target="https://eur-lex.europa.eu/eli/dir/2018/410/oj/eng" TargetMode="External"/><Relationship Id="rId46" Type="http://schemas.openxmlformats.org/officeDocument/2006/relationships/hyperlink" Target="https://eur-lex.europa.eu/eli/dir/2023/2413/oj/eng" TargetMode="External"/><Relationship Id="rId45" Type="http://schemas.openxmlformats.org/officeDocument/2006/relationships/hyperlink" Target="https://eur-lex.europa.eu/legal-content/EN/TXT/?uri=CELEX%3A32023R2405" TargetMode="External"/><Relationship Id="rId107" Type="http://schemas.openxmlformats.org/officeDocument/2006/relationships/hyperlink" Target="https://doi.org/10.1016/j.jclepro.2018.12.240" TargetMode="External"/><Relationship Id="rId106" Type="http://schemas.openxmlformats.org/officeDocument/2006/relationships/hyperlink" Target="https://doi.org/10.1016/j.jclepro.2015.07.061" TargetMode="External"/><Relationship Id="rId105" Type="http://schemas.openxmlformats.org/officeDocument/2006/relationships/hyperlink" Target="https://doi.org/10.1016/j.jclepro.2016.03.085" TargetMode="External"/><Relationship Id="rId104" Type="http://schemas.openxmlformats.org/officeDocument/2006/relationships/hyperlink" Target="https://doi.org/10.1016/j.resourpol.2026.105917" TargetMode="External"/><Relationship Id="rId109" Type="http://schemas.openxmlformats.org/officeDocument/2006/relationships/hyperlink" Target="https://doi.org/10.1080/09537325.2016.1249838" TargetMode="External"/><Relationship Id="rId108" Type="http://schemas.openxmlformats.org/officeDocument/2006/relationships/hyperlink" Target="https://doi.org/10.1016/j.jclepro.2019.01.036" TargetMode="External"/><Relationship Id="rId48" Type="http://schemas.openxmlformats.org/officeDocument/2006/relationships/hyperlink" Target="https://eur-lex.europa.eu/eli/dir/2023/959/oj" TargetMode="External"/><Relationship Id="rId47" Type="http://schemas.openxmlformats.org/officeDocument/2006/relationships/hyperlink" Target="https://eur-lex.europa.eu/legal-content/EN/TXT/?uri=CELEX%3A32023L0959" TargetMode="External"/><Relationship Id="rId49" Type="http://schemas.openxmlformats.org/officeDocument/2006/relationships/hyperlink" Target="https://eur-lex.europa.eu/eli/dir/2026/470/oj/eng" TargetMode="External"/><Relationship Id="rId103" Type="http://schemas.openxmlformats.org/officeDocument/2006/relationships/hyperlink" Target="https://doi.org/10.1016/j.resourpol.2026.105917" TargetMode="External"/><Relationship Id="rId102" Type="http://schemas.openxmlformats.org/officeDocument/2006/relationships/hyperlink" Target="https://doi.org/10.1016/j.tra.2026.104898" TargetMode="External"/><Relationship Id="rId101" Type="http://schemas.openxmlformats.org/officeDocument/2006/relationships/hyperlink" Target="https://doi.org/10.1016/j.tra.2026.104898" TargetMode="External"/><Relationship Id="rId100" Type="http://schemas.openxmlformats.org/officeDocument/2006/relationships/hyperlink" Target="https://doi.org/10.1016/j.jclepro.2017.07.146" TargetMode="External"/><Relationship Id="rId31" Type="http://schemas.openxmlformats.org/officeDocument/2006/relationships/hyperlink" Target="https://doi.org/10.1016/j.jik.2026.101033" TargetMode="External"/><Relationship Id="rId30" Type="http://schemas.openxmlformats.org/officeDocument/2006/relationships/hyperlink" Target="https://doi.org/10.1016/j.jclepro.2023.139294" TargetMode="External"/><Relationship Id="rId33" Type="http://schemas.openxmlformats.org/officeDocument/2006/relationships/hyperlink" Target="https://eur-lex.europa.eu/legal-content/EN/TXT/?uri=CELEX%3A32018R2066" TargetMode="External"/><Relationship Id="rId32" Type="http://schemas.openxmlformats.org/officeDocument/2006/relationships/hyperlink" Target="https://doi.org/10.1016/j.jik.2026.101033" TargetMode="External"/><Relationship Id="rId35" Type="http://schemas.openxmlformats.org/officeDocument/2006/relationships/hyperlink" Target="https://eur-lex.europa.eu/eli/reg_impl/2022/996/oj/eng" TargetMode="External"/><Relationship Id="rId34" Type="http://schemas.openxmlformats.org/officeDocument/2006/relationships/hyperlink" Target="https://eur-lex.europa.eu/eli/reg_impl/2018/2066/oj/eng" TargetMode="External"/><Relationship Id="rId37" Type="http://schemas.openxmlformats.org/officeDocument/2006/relationships/hyperlink" Target="https://eur-lex.europa.eu/legal-content/EN/TXT/?uri=celex:52025DC0664" TargetMode="External"/><Relationship Id="rId36" Type="http://schemas.openxmlformats.org/officeDocument/2006/relationships/hyperlink" Target="https://eur-lex.europa.eu/legal-content/EN/TXT/?qid=1583933814386&amp;uri=COM:2020:98:FIN" TargetMode="External"/><Relationship Id="rId39" Type="http://schemas.openxmlformats.org/officeDocument/2006/relationships/hyperlink" Target="https://eur-lex.europa.eu/eli/dir/2003/87/oj/eng" TargetMode="External"/><Relationship Id="rId38" Type="http://schemas.openxmlformats.org/officeDocument/2006/relationships/hyperlink" Target="https://eur-lex.europa.eu/legal-content/EN/TXT/?uri=CELEX%3A32003L0087" TargetMode="External"/><Relationship Id="rId20" Type="http://schemas.openxmlformats.org/officeDocument/2006/relationships/hyperlink" Target="https://doi.org/10.1016/j.jclepro.2012.07.007" TargetMode="External"/><Relationship Id="rId22" Type="http://schemas.openxmlformats.org/officeDocument/2006/relationships/hyperlink" Target="https://doi.org/10.1016/j.jclepro.2022.134150" TargetMode="External"/><Relationship Id="rId21" Type="http://schemas.openxmlformats.org/officeDocument/2006/relationships/hyperlink" Target="https://doi.org/10.1016/j.jclepro.2022.134150" TargetMode="External"/><Relationship Id="rId24" Type="http://schemas.openxmlformats.org/officeDocument/2006/relationships/hyperlink" Target="https://doi.org/10.1016/j.enpol.2019.03.050" TargetMode="External"/><Relationship Id="rId23" Type="http://schemas.openxmlformats.org/officeDocument/2006/relationships/hyperlink" Target="https://doi.org/10.1016/j.enpol.2019.03.050" TargetMode="External"/><Relationship Id="rId129" Type="http://schemas.openxmlformats.org/officeDocument/2006/relationships/hyperlink" Target="https://doi.org/10.1016/j.jclepro.2016.02.095" TargetMode="External"/><Relationship Id="rId128" Type="http://schemas.openxmlformats.org/officeDocument/2006/relationships/hyperlink" Target="https://doi.org/10.1016/j.jclepro.2016.03.056" TargetMode="External"/><Relationship Id="rId127" Type="http://schemas.openxmlformats.org/officeDocument/2006/relationships/hyperlink" Target="https://doi.org/10.1016/j.jclepro.2017.03.151" TargetMode="External"/><Relationship Id="rId126" Type="http://schemas.openxmlformats.org/officeDocument/2006/relationships/hyperlink" Target="https://doi.org/10.1016/j.jclepro.2016.10.115" TargetMode="External"/><Relationship Id="rId26" Type="http://schemas.openxmlformats.org/officeDocument/2006/relationships/hyperlink" Target="https://doi.org/10.1016/j.jclepro.2021.125823" TargetMode="External"/><Relationship Id="rId121" Type="http://schemas.openxmlformats.org/officeDocument/2006/relationships/hyperlink" Target="https://doi.org/10.1016/j.jclepro.2023.136429" TargetMode="External"/><Relationship Id="rId25" Type="http://schemas.openxmlformats.org/officeDocument/2006/relationships/hyperlink" Target="https://doi.org/10.1016/j.jclepro.2020.125823" TargetMode="External"/><Relationship Id="rId120" Type="http://schemas.openxmlformats.org/officeDocument/2006/relationships/hyperlink" Target="https://doi.org/10.1016/j.jclepro.2023.136429" TargetMode="External"/><Relationship Id="rId28" Type="http://schemas.openxmlformats.org/officeDocument/2006/relationships/hyperlink" Target="https://doi.org/10.1016/j.jik.2024.100539" TargetMode="External"/><Relationship Id="rId27" Type="http://schemas.openxmlformats.org/officeDocument/2006/relationships/hyperlink" Target="https://doi.org/10.1016/j.jik.2024.100539" TargetMode="External"/><Relationship Id="rId125" Type="http://schemas.openxmlformats.org/officeDocument/2006/relationships/hyperlink" Target="https://doi.org/10.5278/jbm.v9i4.6267" TargetMode="External"/><Relationship Id="rId29" Type="http://schemas.openxmlformats.org/officeDocument/2006/relationships/hyperlink" Target="https://doi.org/10.1016/j.jclepro.2023.139294" TargetMode="External"/><Relationship Id="rId124" Type="http://schemas.openxmlformats.org/officeDocument/2006/relationships/hyperlink" Target="https://doi.org/10.5278/jbm.v9i4.7033" TargetMode="External"/><Relationship Id="rId123" Type="http://schemas.openxmlformats.org/officeDocument/2006/relationships/hyperlink" Target="https://doi.org/10.1016/j.lrp.2009.07.003" TargetMode="External"/><Relationship Id="rId122" Type="http://schemas.openxmlformats.org/officeDocument/2006/relationships/hyperlink" Target="https://doi.org/10.1016/j.lrp.2009.07.003" TargetMode="External"/><Relationship Id="rId95" Type="http://schemas.openxmlformats.org/officeDocument/2006/relationships/hyperlink" Target="https://open.overheid.nl/documenten/1cc2dff1-ea3e-499e-b1e3-04bf487b649d/file" TargetMode="External"/><Relationship Id="rId94" Type="http://schemas.openxmlformats.org/officeDocument/2006/relationships/hyperlink" Target="https://wetten.overheid.nl/BWBR0049322/2024-07-01/0" TargetMode="External"/><Relationship Id="rId97" Type="http://schemas.openxmlformats.org/officeDocument/2006/relationships/hyperlink" Target="https://doi.org/10.1016/j.jclepro.2024.143584" TargetMode="External"/><Relationship Id="rId96" Type="http://schemas.openxmlformats.org/officeDocument/2006/relationships/hyperlink" Target="https://wetten.overheid.nl/BWBR0037885" TargetMode="External"/><Relationship Id="rId11" Type="http://schemas.openxmlformats.org/officeDocument/2006/relationships/hyperlink" Target="https://doi.org/10.1016/j.jclepro.2015.06.108" TargetMode="External"/><Relationship Id="rId99" Type="http://schemas.openxmlformats.org/officeDocument/2006/relationships/hyperlink" Target="https://doi.org/10.1016/j.jclepro.2017.07.146" TargetMode="External"/><Relationship Id="rId10" Type="http://schemas.openxmlformats.org/officeDocument/2006/relationships/hyperlink" Target="https://doi.org/10.1177/0149206316678451" TargetMode="External"/><Relationship Id="rId98" Type="http://schemas.openxmlformats.org/officeDocument/2006/relationships/hyperlink" Target="https://doi.org/10.1016/j.jclepro.2024.143584" TargetMode="External"/><Relationship Id="rId13" Type="http://schemas.openxmlformats.org/officeDocument/2006/relationships/hyperlink" Target="https://doi.org/10.1111/jiec.13124" TargetMode="External"/><Relationship Id="rId12" Type="http://schemas.openxmlformats.org/officeDocument/2006/relationships/hyperlink" Target="https://doi.org/10.1016/j.jclepro.2014.08.042" TargetMode="External"/><Relationship Id="rId91" Type="http://schemas.openxmlformats.org/officeDocument/2006/relationships/hyperlink" Target="https://wetten.overheid.nl/BWBR0003245" TargetMode="External"/><Relationship Id="rId90" Type="http://schemas.openxmlformats.org/officeDocument/2006/relationships/hyperlink" Target="https://circulairmaterialenplan.nl" TargetMode="External"/><Relationship Id="rId93" Type="http://schemas.openxmlformats.org/officeDocument/2006/relationships/hyperlink" Target="https://wetten.overheid.nl/BWBR0042394" TargetMode="External"/><Relationship Id="rId92" Type="http://schemas.openxmlformats.org/officeDocument/2006/relationships/hyperlink" Target="https://open.overheid.nl/documenten/ronl-c2ae4e29-a960-4c91-99af-7bca52b8c9f9/pdf" TargetMode="External"/><Relationship Id="rId118" Type="http://schemas.openxmlformats.org/officeDocument/2006/relationships/hyperlink" Target="https://doi.org/10.1111/jiec.12171" TargetMode="External"/><Relationship Id="rId117" Type="http://schemas.openxmlformats.org/officeDocument/2006/relationships/hyperlink" Target="https://doi.org/10.1111/jiec.12171" TargetMode="External"/><Relationship Id="rId116" Type="http://schemas.openxmlformats.org/officeDocument/2006/relationships/hyperlink" Target="https://doi.org/10.1016/j.jclepro.2020.121201" TargetMode="External"/><Relationship Id="rId115" Type="http://schemas.openxmlformats.org/officeDocument/2006/relationships/hyperlink" Target="https://doi.org/10.1016/j.jclepro.2020.121201" TargetMode="External"/><Relationship Id="rId119" Type="http://schemas.openxmlformats.org/officeDocument/2006/relationships/hyperlink" Target="https://doi.org/10.1016/j.jairtraman.2016.10.010" TargetMode="External"/><Relationship Id="rId15" Type="http://schemas.openxmlformats.org/officeDocument/2006/relationships/hyperlink" Target="https://doi.org/10.1080/01446193.2022.2089073" TargetMode="External"/><Relationship Id="rId110" Type="http://schemas.openxmlformats.org/officeDocument/2006/relationships/hyperlink" Target="https://doi.org/10.1080/09537325.2016.1220515" TargetMode="External"/><Relationship Id="rId14" Type="http://schemas.openxmlformats.org/officeDocument/2006/relationships/hyperlink" Target="https://doi.org/10.1111/jiec.13124" TargetMode="External"/><Relationship Id="rId17" Type="http://schemas.openxmlformats.org/officeDocument/2006/relationships/hyperlink" Target="https://doi.org/10.1016/j.jclepro.2017.12.238" TargetMode="External"/><Relationship Id="rId16" Type="http://schemas.openxmlformats.org/officeDocument/2006/relationships/hyperlink" Target="https://doi.org/10.1080/01446193.2022.2094434" TargetMode="External"/><Relationship Id="rId19" Type="http://schemas.openxmlformats.org/officeDocument/2006/relationships/hyperlink" Target="https://doi.org/10.1016/j.jclepro.2012.07.007" TargetMode="External"/><Relationship Id="rId114" Type="http://schemas.openxmlformats.org/officeDocument/2006/relationships/hyperlink" Target="https://doi.org/10.1016/j.jclepro.2021.125796" TargetMode="External"/><Relationship Id="rId18" Type="http://schemas.openxmlformats.org/officeDocument/2006/relationships/hyperlink" Target="https://doi.org/10.1016/j.jclepro.2017.12.198" TargetMode="External"/><Relationship Id="rId113" Type="http://schemas.openxmlformats.org/officeDocument/2006/relationships/hyperlink" Target="https://doi.org/10.1016/j.jclepro.2021.125796" TargetMode="External"/><Relationship Id="rId112" Type="http://schemas.openxmlformats.org/officeDocument/2006/relationships/hyperlink" Target="https://doi.org/10.1016/j.enpol.2013.05.038" TargetMode="External"/><Relationship Id="rId111" Type="http://schemas.openxmlformats.org/officeDocument/2006/relationships/hyperlink" Target="https://doi.org/10.1016/j.enpol.2013.05.038" TargetMode="External"/><Relationship Id="rId84" Type="http://schemas.openxmlformats.org/officeDocument/2006/relationships/hyperlink" Target="https://doi.org/10.1016/j.jclepro.2019.01.330" TargetMode="External"/><Relationship Id="rId83" Type="http://schemas.openxmlformats.org/officeDocument/2006/relationships/hyperlink" Target="https://doi.org/10.1016/j.jclepro.2019.02.072" TargetMode="External"/><Relationship Id="rId86" Type="http://schemas.openxmlformats.org/officeDocument/2006/relationships/hyperlink" Target="https://doi.org/10.1016/j.tranpol.2025.103944" TargetMode="External"/><Relationship Id="rId85" Type="http://schemas.openxmlformats.org/officeDocument/2006/relationships/hyperlink" Target="https://doi.org/10.1016/j.tranpol.2025.103944" TargetMode="External"/><Relationship Id="rId88" Type="http://schemas.openxmlformats.org/officeDocument/2006/relationships/hyperlink" Target="https://open.overheid.nl/documenten/ronl-a6ce8220-07e8-4b64-9f3d-e69bb4ed2f9c/pdf" TargetMode="External"/><Relationship Id="rId87" Type="http://schemas.openxmlformats.org/officeDocument/2006/relationships/hyperlink" Target="https://open.overheid.nl/documenten/2f5cbb52-0631-4aad-b3dd-5088fab859c5/file" TargetMode="External"/><Relationship Id="rId89" Type="http://schemas.openxmlformats.org/officeDocument/2006/relationships/hyperlink" Target="https://lap3.nl" TargetMode="External"/><Relationship Id="rId80" Type="http://schemas.openxmlformats.org/officeDocument/2006/relationships/hyperlink" Target="https://doi.org/10.1016/j.jik.2026.101021" TargetMode="External"/><Relationship Id="rId82" Type="http://schemas.openxmlformats.org/officeDocument/2006/relationships/hyperlink" Target="https://doi.org/10.1016/j.jclepro.2019.119942" TargetMode="External"/><Relationship Id="rId81" Type="http://schemas.openxmlformats.org/officeDocument/2006/relationships/hyperlink" Target="https://doi.org/10.1016/j.jclepro.2019.119942"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2.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 Id="rId73" Type="http://schemas.openxmlformats.org/officeDocument/2006/relationships/hyperlink" Target="https://doi.org/10.1016/j.jclepro.2024.141103" TargetMode="External"/><Relationship Id="rId72" Type="http://schemas.openxmlformats.org/officeDocument/2006/relationships/hyperlink" Target="https://cris.tuni.fi/ws/portalfiles/portal/74975162/How_companies_innovate_BMs_and_SCs_for_a_CE_003_.pdf" TargetMode="External"/><Relationship Id="rId75" Type="http://schemas.openxmlformats.org/officeDocument/2006/relationships/hyperlink" Target="https://doi.org/10.1016/j.jclepro.2022.134134" TargetMode="External"/><Relationship Id="rId74" Type="http://schemas.openxmlformats.org/officeDocument/2006/relationships/hyperlink" Target="https://doi.org/10.1016/j.jclepro.2024.141103" TargetMode="External"/><Relationship Id="rId77" Type="http://schemas.openxmlformats.org/officeDocument/2006/relationships/hyperlink" Target="https://doi.org/10.1016/j.tranpol.2026.104059" TargetMode="External"/><Relationship Id="rId76" Type="http://schemas.openxmlformats.org/officeDocument/2006/relationships/hyperlink" Target="https://doi.org/10.1016/j.jclepro.2022.134134" TargetMode="External"/><Relationship Id="rId79" Type="http://schemas.openxmlformats.org/officeDocument/2006/relationships/hyperlink" Target="https://doi.org/10.1016/j.jik.2026.101021" TargetMode="External"/><Relationship Id="rId78" Type="http://schemas.openxmlformats.org/officeDocument/2006/relationships/hyperlink" Target="https://doi.org/10.1016/j.tranpol.2026.104059" TargetMode="External"/><Relationship Id="rId71" Type="http://schemas.openxmlformats.org/officeDocument/2006/relationships/hyperlink" Target="https://www.icao.int/sites/default/files/environmental-protection/Assembly42/Resolution-A42-22_CORSIA.pdf" TargetMode="External"/><Relationship Id="rId70" Type="http://schemas.openxmlformats.org/officeDocument/2006/relationships/hyperlink" Target="https://www.icao.int/sites/default/files/sp-files/environmental-protection/Documents/Assembly/Resolution_A41-21_Climate_change.pdf" TargetMode="External"/><Relationship Id="rId132" Type="http://schemas.openxmlformats.org/officeDocument/2006/relationships/hyperlink" Target="https://doi.org/10.1080/08956308.2017.1301001" TargetMode="External"/><Relationship Id="rId131" Type="http://schemas.openxmlformats.org/officeDocument/2006/relationships/hyperlink" Target="https://doi.org/10.1080/08956308.2017.1301001" TargetMode="External"/><Relationship Id="rId130" Type="http://schemas.openxmlformats.org/officeDocument/2006/relationships/hyperlink" Target="https://doi.org/10.1016/j.jclepro.2022.130329" TargetMode="External"/><Relationship Id="rId134" Type="http://schemas.openxmlformats.org/officeDocument/2006/relationships/hyperlink" Target="https://doi.org/10.1111/caim.12558" TargetMode="External"/><Relationship Id="rId133" Type="http://schemas.openxmlformats.org/officeDocument/2006/relationships/hyperlink" Target="https://doi.org/10.1111/caim.12558" TargetMode="External"/><Relationship Id="rId62" Type="http://schemas.openxmlformats.org/officeDocument/2006/relationships/hyperlink" Target="https://doi.org/10.1016/j.jairtraman.2022.102353" TargetMode="External"/><Relationship Id="rId61" Type="http://schemas.openxmlformats.org/officeDocument/2006/relationships/hyperlink" Target="https://doi.org/10.1016/j.jclepro.2018.06.240" TargetMode="External"/><Relationship Id="rId64" Type="http://schemas.openxmlformats.org/officeDocument/2006/relationships/hyperlink" Target="https://doi.org/10.1111/jiec.13016" TargetMode="External"/><Relationship Id="rId63" Type="http://schemas.openxmlformats.org/officeDocument/2006/relationships/hyperlink" Target="https://doi.org/10.1016/j.jairtraman.2022.102353" TargetMode="External"/><Relationship Id="rId66" Type="http://schemas.openxmlformats.org/officeDocument/2006/relationships/hyperlink" Target="https://doi.org/10.1016/j.jclepro.2015.04.128" TargetMode="External"/><Relationship Id="rId65" Type="http://schemas.openxmlformats.org/officeDocument/2006/relationships/hyperlink" Target="https://doi.org/10.1111/jiec.13016" TargetMode="External"/><Relationship Id="rId68" Type="http://schemas.openxmlformats.org/officeDocument/2006/relationships/hyperlink" Target="https://doi.org/10.1016/j.jclepro.2019.03.115" TargetMode="External"/><Relationship Id="rId67" Type="http://schemas.openxmlformats.org/officeDocument/2006/relationships/hyperlink" Target="https://doi.org/10.1016/j.jclepro.2015.04.128" TargetMode="External"/><Relationship Id="rId60" Type="http://schemas.openxmlformats.org/officeDocument/2006/relationships/hyperlink" Target="https://doi.org/10.1016/j.jclepro.2018.06.240" TargetMode="External"/><Relationship Id="rId69" Type="http://schemas.openxmlformats.org/officeDocument/2006/relationships/hyperlink" Target="https://doi.org/10.1016/j.jclepro.2019.03.115" TargetMode="External"/><Relationship Id="rId51" Type="http://schemas.openxmlformats.org/officeDocument/2006/relationships/hyperlink" Target="https://doi.org/10.1108/MD-07-2024-1548" TargetMode="External"/><Relationship Id="rId50" Type="http://schemas.openxmlformats.org/officeDocument/2006/relationships/hyperlink" Target="https://doi.org/10.1108/MD-07-2024-1548" TargetMode="External"/><Relationship Id="rId53" Type="http://schemas.openxmlformats.org/officeDocument/2006/relationships/hyperlink" Target="https://doi.org/10.1016/j.jclepro.2023.137143" TargetMode="External"/><Relationship Id="rId52" Type="http://schemas.openxmlformats.org/officeDocument/2006/relationships/hyperlink" Target="https://doi.org/10.1016/j.jclepro.2023.137143" TargetMode="External"/><Relationship Id="rId55" Type="http://schemas.openxmlformats.org/officeDocument/2006/relationships/hyperlink" Target="https://doi.org/10.1177/0149206316675927" TargetMode="External"/><Relationship Id="rId54" Type="http://schemas.openxmlformats.org/officeDocument/2006/relationships/hyperlink" Target="https://doi.org/10.1177/0149206316675927" TargetMode="External"/><Relationship Id="rId57" Type="http://schemas.openxmlformats.org/officeDocument/2006/relationships/hyperlink" Target="https://doi.org/10.1016/j.jclepro.2018.04.159" TargetMode="External"/><Relationship Id="rId56" Type="http://schemas.openxmlformats.org/officeDocument/2006/relationships/hyperlink" Target="https://doi.org/10.1016/j.jclepro.2018.04.159" TargetMode="External"/><Relationship Id="rId59" Type="http://schemas.openxmlformats.org/officeDocument/2006/relationships/hyperlink" Target="https://doi.org/10.1016/j.jclepro.2020.123741" TargetMode="External"/><Relationship Id="rId58" Type="http://schemas.openxmlformats.org/officeDocument/2006/relationships/hyperlink" Target="https://doi.org/10.1016/j.jclepro.2020.12374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xUsGUBdjKBU0Inmzij/UXlUIkA==">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