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Title"/>
        <w:spacing w:after="240" w:before="240" w:line="360" w:lineRule="auto"/>
        <w:jc w:val="center"/>
        <w:rPr/>
      </w:pPr>
      <w:bookmarkStart w:colFirst="0" w:colLast="0" w:name="_heading=h.qf27y91qtr27" w:id="0"/>
      <w:bookmarkEnd w:id="0"/>
      <w:r w:rsidDel="00000000" w:rsidR="00000000" w:rsidRPr="00000000">
        <w:rPr>
          <w:rtl w:val="0"/>
        </w:rPr>
        <w:t xml:space="preserve">Business Model Transformation under Regulatory Pressure (Draft Literature Review)): The Case of Waste-to-SAF in Aviation</w:t>
      </w:r>
      <w:r w:rsidDel="00000000" w:rsidR="00000000" w:rsidRPr="00000000">
        <w:rPr>
          <w:rtl w:val="0"/>
        </w:rPr>
        <w:t xml:space="preserve"> Draft</w:t>
      </w:r>
      <w:r w:rsidDel="00000000" w:rsidR="00000000" w:rsidRPr="00000000">
        <w:rPr>
          <w:rtl w:val="0"/>
        </w:rPr>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1"/>
        <w:spacing w:after="240" w:before="240" w:line="360" w:lineRule="auto"/>
        <w:jc w:val="both"/>
        <w:rPr/>
      </w:pPr>
      <w:bookmarkStart w:colFirst="0" w:colLast="0" w:name="_heading=h.5zz8mb8fv4gb" w:id="1"/>
      <w:bookmarkEnd w:id="1"/>
      <w:r w:rsidDel="00000000" w:rsidR="00000000" w:rsidRPr="00000000">
        <w:rPr>
          <w:rtl w:val="0"/>
        </w:rPr>
        <w:t xml:space="preserve">Abstract</w:t>
      </w:r>
    </w:p>
    <w:p w:rsidR="00000000" w:rsidDel="00000000" w:rsidP="00000000" w:rsidRDefault="00000000" w:rsidRPr="00000000" w14:paraId="0000001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examines how policy-driven circular innovation, specifically waste-to-sustainable aviation fuel via hydrothermal liquefaction, can be translated into a viable business model within the aviation ecosystem. Through a systematic review of business model innovation, sustainable business model, and circular economy literatures, combined with detailed regulatory mapping of EU and Dutch instruments and five semi-structured interviews across the Dutch aviation fuel value chain, the study identifies a central coordination gap: the long-term offtake commitments required to finance pre-commercial SAF production are structurally incompatible with the short-term fuel purchasing norms that have governed aviation for decades. No single actor in the chain currently sees resolving this mismatch as its own responsibility. The paper develops a four-level analytical framework spanning firm, inter-firm, ecosystem, and institutional dynamics to assess how architectural business model change might overcome this barrier, and surfaces a voluntary certificate market operating alongside mandated compliance that existing academic literature has not addressed. The findings suggest that aviation decarbonisation will be decided less by technology readiness than by who is willing to build and pay for the coalition that regulation presumes will emerge.</w:t>
      </w:r>
    </w:p>
    <w:p w:rsidR="00000000" w:rsidDel="00000000" w:rsidP="00000000" w:rsidRDefault="00000000" w:rsidRPr="00000000" w14:paraId="0000001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spacing w:after="240" w:before="240" w:line="360" w:lineRule="auto"/>
        <w:jc w:val="both"/>
        <w:rPr>
          <w:rFonts w:ascii="Times New Roman" w:cs="Times New Roman" w:eastAsia="Times New Roman" w:hAnsi="Times New Roman"/>
        </w:rPr>
      </w:pPr>
      <w:bookmarkStart w:colFirst="0" w:colLast="0" w:name="_heading=h.s4kzu19uamr8" w:id="2"/>
      <w:bookmarkEnd w:id="2"/>
      <w:r w:rsidDel="00000000" w:rsidR="00000000" w:rsidRPr="00000000">
        <w:rPr>
          <w:rtl w:val="0"/>
        </w:rPr>
        <w:t xml:space="preserve">Table of Contents</w:t>
      </w:r>
      <w:r w:rsidDel="00000000" w:rsidR="00000000" w:rsidRPr="00000000">
        <w:rPr>
          <w:rtl w:val="0"/>
        </w:rPr>
      </w:r>
    </w:p>
    <w:sdt>
      <w:sdtPr>
        <w:id w:val="536320619"/>
        <w:docPartObj>
          <w:docPartGallery w:val="Table of Contents"/>
          <w:docPartUnique w:val="1"/>
        </w:docPartObj>
      </w:sdtPr>
      <w:sdtContent>
        <w:p w:rsidR="00000000" w:rsidDel="00000000" w:rsidP="00000000" w:rsidRDefault="00000000" w:rsidRPr="00000000" w14:paraId="0000001A">
          <w:pPr>
            <w:widowControl w:val="0"/>
            <w:spacing w:before="60" w:line="240" w:lineRule="auto"/>
            <w:rPr>
              <w:rFonts w:ascii="Times New Roman" w:cs="Times New Roman" w:eastAsia="Times New Roman" w:hAnsi="Times New Roman"/>
            </w:rPr>
          </w:pPr>
          <w:r w:rsidDel="00000000" w:rsidR="00000000" w:rsidRPr="00000000">
            <w:fldChar w:fldCharType="begin"/>
            <w:instrText xml:space="preserve"> TOC \h \u \z \n \t "Heading 1,1,Heading 2,2,Heading 3,3,Heading 4,4,Heading 5,5,Heading 6,6,"</w:instrText>
            <w:fldChar w:fldCharType="separate"/>
          </w:r>
          <w:hyperlink w:anchor="_heading=h.5zz8mb8fv4gb">
            <w:r w:rsidDel="00000000" w:rsidR="00000000" w:rsidRPr="00000000">
              <w:rPr>
                <w:rFonts w:ascii="Times New Roman" w:cs="Times New Roman" w:eastAsia="Times New Roman" w:hAnsi="Times New Roman"/>
                <w:rtl w:val="0"/>
              </w:rPr>
              <w:t xml:space="preserve">Abstract</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Times New Roman" w:cs="Times New Roman" w:eastAsia="Times New Roman" w:hAnsi="Times New Roman"/>
            </w:rPr>
          </w:pPr>
          <w:hyperlink w:anchor="_heading=h.s4kzu19uamr8">
            <w:r w:rsidDel="00000000" w:rsidR="00000000" w:rsidRPr="00000000">
              <w:rPr>
                <w:rFonts w:ascii="Times New Roman" w:cs="Times New Roman" w:eastAsia="Times New Roman" w:hAnsi="Times New Roman"/>
                <w:rtl w:val="0"/>
              </w:rPr>
              <w:t xml:space="preserve">Table of Contents</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Times New Roman" w:cs="Times New Roman" w:eastAsia="Times New Roman" w:hAnsi="Times New Roman"/>
            </w:rPr>
          </w:pPr>
          <w:hyperlink w:anchor="_heading=h.f0rjmngrqlec">
            <w:r w:rsidDel="00000000" w:rsidR="00000000" w:rsidRPr="00000000">
              <w:rPr>
                <w:rFonts w:ascii="Times New Roman" w:cs="Times New Roman" w:eastAsia="Times New Roman" w:hAnsi="Times New Roman"/>
                <w:rtl w:val="0"/>
              </w:rPr>
              <w:t xml:space="preserve">​1. Introduction</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Times New Roman" w:cs="Times New Roman" w:eastAsia="Times New Roman" w:hAnsi="Times New Roman"/>
            </w:rPr>
          </w:pPr>
          <w:hyperlink w:anchor="_heading=h.jlb7cebh158u">
            <w:r w:rsidDel="00000000" w:rsidR="00000000" w:rsidRPr="00000000">
              <w:rPr>
                <w:rFonts w:ascii="Times New Roman" w:cs="Times New Roman" w:eastAsia="Times New Roman" w:hAnsi="Times New Roman"/>
                <w:rtl w:val="0"/>
              </w:rPr>
              <w:t xml:space="preserve">​2. Methodology</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Times New Roman" w:cs="Times New Roman" w:eastAsia="Times New Roman" w:hAnsi="Times New Roman"/>
            </w:rPr>
          </w:pPr>
          <w:hyperlink w:anchor="_heading=h.a5qksi9uxnv0">
            <w:r w:rsidDel="00000000" w:rsidR="00000000" w:rsidRPr="00000000">
              <w:rPr>
                <w:rFonts w:ascii="Times New Roman" w:cs="Times New Roman" w:eastAsia="Times New Roman" w:hAnsi="Times New Roman"/>
                <w:rtl w:val="0"/>
              </w:rPr>
              <w:t xml:space="preserve">​2.1 Literature search strategy and databases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Times New Roman" w:cs="Times New Roman" w:eastAsia="Times New Roman" w:hAnsi="Times New Roman"/>
            </w:rPr>
          </w:pPr>
          <w:hyperlink w:anchor="_heading=h.brxoz4t41fqp">
            <w:r w:rsidDel="00000000" w:rsidR="00000000" w:rsidRPr="00000000">
              <w:rPr>
                <w:rFonts w:ascii="Times New Roman" w:cs="Times New Roman" w:eastAsia="Times New Roman" w:hAnsi="Times New Roman"/>
                <w:rtl w:val="0"/>
              </w:rPr>
              <w:t xml:space="preserve">​2.2 Deduplication and screening</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Times New Roman" w:cs="Times New Roman" w:eastAsia="Times New Roman" w:hAnsi="Times New Roman"/>
            </w:rPr>
          </w:pPr>
          <w:hyperlink w:anchor="_heading=h.wtif5i9rcts">
            <w:r w:rsidDel="00000000" w:rsidR="00000000" w:rsidRPr="00000000">
              <w:rPr>
                <w:rFonts w:ascii="Times New Roman" w:cs="Times New Roman" w:eastAsia="Times New Roman" w:hAnsi="Times New Roman"/>
                <w:rtl w:val="0"/>
              </w:rPr>
              <w:t xml:space="preserve">​2.3 Reference checking</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Times New Roman" w:cs="Times New Roman" w:eastAsia="Times New Roman" w:hAnsi="Times New Roman"/>
            </w:rPr>
          </w:pPr>
          <w:hyperlink w:anchor="_heading=h.yw3q1nxptow1">
            <w:r w:rsidDel="00000000" w:rsidR="00000000" w:rsidRPr="00000000">
              <w:rPr>
                <w:rFonts w:ascii="Times New Roman" w:cs="Times New Roman" w:eastAsia="Times New Roman" w:hAnsi="Times New Roman"/>
                <w:rtl w:val="0"/>
              </w:rPr>
              <w:t xml:space="preserve">​2.4 Regulatory and legal instrument mapping</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Times New Roman" w:cs="Times New Roman" w:eastAsia="Times New Roman" w:hAnsi="Times New Roman"/>
            </w:rPr>
          </w:pPr>
          <w:hyperlink w:anchor="_heading=h.cb8an4mso3m8">
            <w:r w:rsidDel="00000000" w:rsidR="00000000" w:rsidRPr="00000000">
              <w:rPr>
                <w:rFonts w:ascii="Times New Roman" w:cs="Times New Roman" w:eastAsia="Times New Roman" w:hAnsi="Times New Roman"/>
                <w:rtl w:val="0"/>
              </w:rPr>
              <w:t xml:space="preserve">​2.5 Interview approach</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Times New Roman" w:cs="Times New Roman" w:eastAsia="Times New Roman" w:hAnsi="Times New Roman"/>
            </w:rPr>
          </w:pPr>
          <w:hyperlink w:anchor="_heading=h.z85zatmzp9zj">
            <w:r w:rsidDel="00000000" w:rsidR="00000000" w:rsidRPr="00000000">
              <w:rPr>
                <w:rFonts w:ascii="Times New Roman" w:cs="Times New Roman" w:eastAsia="Times New Roman" w:hAnsi="Times New Roman"/>
                <w:rtl w:val="0"/>
              </w:rPr>
              <w:t xml:space="preserve">​3. Policy Context</w:t>
            </w:r>
          </w:hyperlink>
          <w:r w:rsidDel="00000000" w:rsidR="00000000" w:rsidRPr="00000000">
            <w:rPr>
              <w:rtl w:val="0"/>
            </w:rPr>
          </w:r>
        </w:p>
        <w:p w:rsidR="00000000" w:rsidDel="00000000" w:rsidP="00000000" w:rsidRDefault="00000000" w:rsidRPr="00000000" w14:paraId="00000024">
          <w:pPr>
            <w:widowControl w:val="0"/>
            <w:spacing w:before="60" w:line="240" w:lineRule="auto"/>
            <w:rPr>
              <w:rFonts w:ascii="Times New Roman" w:cs="Times New Roman" w:eastAsia="Times New Roman" w:hAnsi="Times New Roman"/>
            </w:rPr>
          </w:pPr>
          <w:hyperlink w:anchor="_heading=h.39089jl0ndgb">
            <w:r w:rsidDel="00000000" w:rsidR="00000000" w:rsidRPr="00000000">
              <w:rPr>
                <w:rFonts w:ascii="Times New Roman" w:cs="Times New Roman" w:eastAsia="Times New Roman" w:hAnsi="Times New Roman"/>
                <w:rtl w:val="0"/>
              </w:rPr>
              <w:t xml:space="preserve">​4. Business Model Innovation and the Sustainable Business Model: Definitional Foundations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Times New Roman" w:cs="Times New Roman" w:eastAsia="Times New Roman" w:hAnsi="Times New Roman"/>
            </w:rPr>
          </w:pPr>
          <w:hyperlink w:anchor="_heading=h.32r7jnh6dnzu">
            <w:r w:rsidDel="00000000" w:rsidR="00000000" w:rsidRPr="00000000">
              <w:rPr>
                <w:rFonts w:ascii="Times New Roman" w:cs="Times New Roman" w:eastAsia="Times New Roman" w:hAnsi="Times New Roman"/>
                <w:rtl w:val="0"/>
              </w:rPr>
              <w:t xml:space="preserve">4.1 The Business Model as Unit of Analysis</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Times New Roman" w:cs="Times New Roman" w:eastAsia="Times New Roman" w:hAnsi="Times New Roman"/>
            </w:rPr>
          </w:pPr>
          <w:hyperlink w:anchor="_heading=h.seh32oalm5bn">
            <w:r w:rsidDel="00000000" w:rsidR="00000000" w:rsidRPr="00000000">
              <w:rPr>
                <w:rFonts w:ascii="Times New Roman" w:cs="Times New Roman" w:eastAsia="Times New Roman" w:hAnsi="Times New Roman"/>
                <w:rtl w:val="0"/>
              </w:rPr>
              <w:t xml:space="preserve">4.2 From Sustainable to Circular: A Necessary Distinction</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Times New Roman" w:cs="Times New Roman" w:eastAsia="Times New Roman" w:hAnsi="Times New Roman"/>
            </w:rPr>
          </w:pPr>
          <w:hyperlink w:anchor="_heading=h.p566aliegavq">
            <w:r w:rsidDel="00000000" w:rsidR="00000000" w:rsidRPr="00000000">
              <w:rPr>
                <w:rFonts w:ascii="Times New Roman" w:cs="Times New Roman" w:eastAsia="Times New Roman" w:hAnsi="Times New Roman"/>
                <w:rtl w:val="0"/>
              </w:rPr>
              <w:t xml:space="preserve">4.3 Business Model Innovation Types and the Scale of Required Change</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Times New Roman" w:cs="Times New Roman" w:eastAsia="Times New Roman" w:hAnsi="Times New Roman"/>
            </w:rPr>
          </w:pPr>
          <w:hyperlink w:anchor="_heading=h.x7yspuod9117">
            <w:r w:rsidDel="00000000" w:rsidR="00000000" w:rsidRPr="00000000">
              <w:rPr>
                <w:rFonts w:ascii="Times New Roman" w:cs="Times New Roman" w:eastAsia="Times New Roman" w:hAnsi="Times New Roman"/>
                <w:rtl w:val="0"/>
              </w:rPr>
              <w:t xml:space="preserve">4.4 Review Approach and Structure</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Times New Roman" w:cs="Times New Roman" w:eastAsia="Times New Roman" w:hAnsi="Times New Roman"/>
            </w:rPr>
          </w:pPr>
          <w:hyperlink w:anchor="_heading=h.3j8g2k59esaq">
            <w:r w:rsidDel="00000000" w:rsidR="00000000" w:rsidRPr="00000000">
              <w:rPr>
                <w:rFonts w:ascii="Times New Roman" w:cs="Times New Roman" w:eastAsia="Times New Roman" w:hAnsi="Times New Roman"/>
                <w:rtl w:val="0"/>
              </w:rPr>
              <w:t xml:space="preserve">​5. Literature: Policy as a Co-Evolutionary Force</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Times New Roman" w:cs="Times New Roman" w:eastAsia="Times New Roman" w:hAnsi="Times New Roman"/>
            </w:rPr>
          </w:pPr>
          <w:hyperlink w:anchor="_heading=h.u5rgjyx3zi6e">
            <w:r w:rsidDel="00000000" w:rsidR="00000000" w:rsidRPr="00000000">
              <w:rPr>
                <w:rFonts w:ascii="Times New Roman" w:cs="Times New Roman" w:eastAsia="Times New Roman" w:hAnsi="Times New Roman"/>
                <w:rtl w:val="0"/>
              </w:rPr>
              <w:t xml:space="preserve">5.1 Policy as Business Model Shaper: A Discussion of Co-evolutionary Dynamics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Times New Roman" w:cs="Times New Roman" w:eastAsia="Times New Roman" w:hAnsi="Times New Roman"/>
            </w:rPr>
          </w:pPr>
          <w:hyperlink w:anchor="_heading=h.pmcbs37xjga">
            <w:r w:rsidDel="00000000" w:rsidR="00000000" w:rsidRPr="00000000">
              <w:rPr>
                <w:rFonts w:ascii="Times New Roman" w:cs="Times New Roman" w:eastAsia="Times New Roman" w:hAnsi="Times New Roman"/>
                <w:rtl w:val="0"/>
              </w:rPr>
              <w:t xml:space="preserve">5.2 Lessons from the Energy Transition: Collaboration Mechanisms and the Chicken-and-Egg Problem</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Times New Roman" w:cs="Times New Roman" w:eastAsia="Times New Roman" w:hAnsi="Times New Roman"/>
            </w:rPr>
          </w:pPr>
          <w:hyperlink w:anchor="_heading=h.u4s1kwy0x5ce">
            <w:r w:rsidDel="00000000" w:rsidR="00000000" w:rsidRPr="00000000">
              <w:rPr>
                <w:rFonts w:ascii="Times New Roman" w:cs="Times New Roman" w:eastAsia="Times New Roman" w:hAnsi="Times New Roman"/>
                <w:rtl w:val="0"/>
              </w:rPr>
              <w:t xml:space="preserve">5.3 SAF-Specific Evidence on Aviation Business Model Pressure</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Times New Roman" w:cs="Times New Roman" w:eastAsia="Times New Roman" w:hAnsi="Times New Roman"/>
            </w:rPr>
          </w:pPr>
          <w:hyperlink w:anchor="_heading=h.p6niczr3gfkp">
            <w:r w:rsidDel="00000000" w:rsidR="00000000" w:rsidRPr="00000000">
              <w:rPr>
                <w:rFonts w:ascii="Times New Roman" w:cs="Times New Roman" w:eastAsia="Times New Roman" w:hAnsi="Times New Roman"/>
                <w:rtl w:val="0"/>
              </w:rPr>
              <w:t xml:space="preserve">​6. Circular Business Model Design and Waste Valorization as Value Creation Logic</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Times New Roman" w:cs="Times New Roman" w:eastAsia="Times New Roman" w:hAnsi="Times New Roman"/>
            </w:rPr>
          </w:pPr>
          <w:hyperlink w:anchor="_heading=h.i19bb2r3xpzq">
            <w:r w:rsidDel="00000000" w:rsidR="00000000" w:rsidRPr="00000000">
              <w:rPr>
                <w:rFonts w:ascii="Times New Roman" w:cs="Times New Roman" w:eastAsia="Times New Roman" w:hAnsi="Times New Roman"/>
                <w:rtl w:val="0"/>
              </w:rPr>
              <w:t xml:space="preserve">6.1 Circular Business Model Architecture in Industrial Contexts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Times New Roman" w:cs="Times New Roman" w:eastAsia="Times New Roman" w:hAnsi="Times New Roman"/>
            </w:rPr>
          </w:pPr>
          <w:hyperlink w:anchor="_heading=h.ksvuxkut89bg">
            <w:r w:rsidDel="00000000" w:rsidR="00000000" w:rsidRPr="00000000">
              <w:rPr>
                <w:rFonts w:ascii="Times New Roman" w:cs="Times New Roman" w:eastAsia="Times New Roman" w:hAnsi="Times New Roman"/>
                <w:rtl w:val="0"/>
              </w:rPr>
              <w:t xml:space="preserve">6.2 Waste Valorization and the Open Circular Economy Business Model</w:t>
            </w:r>
          </w:hyperlink>
          <w:r w:rsidDel="00000000" w:rsidR="00000000" w:rsidRPr="00000000">
            <w:rPr>
              <w:rtl w:val="0"/>
            </w:rPr>
          </w:r>
        </w:p>
        <w:p w:rsidR="00000000" w:rsidDel="00000000" w:rsidP="00000000" w:rsidRDefault="00000000" w:rsidRPr="00000000" w14:paraId="00000030">
          <w:pPr>
            <w:widowControl w:val="0"/>
            <w:spacing w:before="60" w:line="240" w:lineRule="auto"/>
            <w:rPr>
              <w:rFonts w:ascii="Times New Roman" w:cs="Times New Roman" w:eastAsia="Times New Roman" w:hAnsi="Times New Roman"/>
            </w:rPr>
          </w:pPr>
          <w:hyperlink w:anchor="_heading=h.c6qtly6fdk1u">
            <w:r w:rsidDel="00000000" w:rsidR="00000000" w:rsidRPr="00000000">
              <w:rPr>
                <w:rFonts w:ascii="Times New Roman" w:cs="Times New Roman" w:eastAsia="Times New Roman" w:hAnsi="Times New Roman"/>
                <w:rtl w:val="0"/>
              </w:rPr>
              <w:t xml:space="preserve">​7. Ecosystem Dynamics, Coalition Formation, and Value Chain Governance</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Times New Roman" w:cs="Times New Roman" w:eastAsia="Times New Roman" w:hAnsi="Times New Roman"/>
            </w:rPr>
          </w:pPr>
          <w:hyperlink w:anchor="_heading=h.mxcivzxcmd3x">
            <w:r w:rsidDel="00000000" w:rsidR="00000000" w:rsidRPr="00000000">
              <w:rPr>
                <w:rFonts w:ascii="Times New Roman" w:cs="Times New Roman" w:eastAsia="Times New Roman" w:hAnsi="Times New Roman"/>
                <w:rtl w:val="0"/>
              </w:rPr>
              <w:t xml:space="preserve">7.1 The Multi-Actor Challenge: From Firm-Level to Ecosystem-Level Analysis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Times New Roman" w:cs="Times New Roman" w:eastAsia="Times New Roman" w:hAnsi="Times New Roman"/>
            </w:rPr>
          </w:pPr>
          <w:hyperlink w:anchor="_heading=h.bl2twyxc4wl4">
            <w:r w:rsidDel="00000000" w:rsidR="00000000" w:rsidRPr="00000000">
              <w:rPr>
                <w:rFonts w:ascii="Times New Roman" w:cs="Times New Roman" w:eastAsia="Times New Roman" w:hAnsi="Times New Roman"/>
                <w:rtl w:val="0"/>
              </w:rPr>
              <w:t xml:space="preserve">7.2 Coalition Formation: Triggers, Barriers, and Value Chain Co-evolution</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Times New Roman" w:cs="Times New Roman" w:eastAsia="Times New Roman" w:hAnsi="Times New Roman"/>
            </w:rPr>
          </w:pPr>
          <w:hyperlink w:anchor="_heading=h.fwo1799h2elb">
            <w:r w:rsidDel="00000000" w:rsidR="00000000" w:rsidRPr="00000000">
              <w:rPr>
                <w:rFonts w:ascii="Times New Roman" w:cs="Times New Roman" w:eastAsia="Times New Roman" w:hAnsi="Times New Roman"/>
                <w:rtl w:val="0"/>
              </w:rPr>
              <w:t xml:space="preserve">7.3 Value Chain Co-evolution and the Supply Chain-Business Model Interface</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Times New Roman" w:cs="Times New Roman" w:eastAsia="Times New Roman" w:hAnsi="Times New Roman"/>
            </w:rPr>
          </w:pPr>
          <w:hyperlink w:anchor="_heading=h.gzw7qsqn5ir8">
            <w:r w:rsidDel="00000000" w:rsidR="00000000" w:rsidRPr="00000000">
              <w:rPr>
                <w:rFonts w:ascii="Times New Roman" w:cs="Times New Roman" w:eastAsia="Times New Roman" w:hAnsi="Times New Roman"/>
                <w:rtl w:val="0"/>
              </w:rPr>
              <w:t xml:space="preserve">7.4 Governance Frameworks for Circular Fuel Ecosystems</w:t>
            </w:r>
          </w:hyperlink>
          <w:r w:rsidDel="00000000" w:rsidR="00000000" w:rsidRPr="00000000">
            <w:rPr>
              <w:rtl w:val="0"/>
            </w:rPr>
          </w:r>
        </w:p>
        <w:p w:rsidR="00000000" w:rsidDel="00000000" w:rsidP="00000000" w:rsidRDefault="00000000" w:rsidRPr="00000000" w14:paraId="00000035">
          <w:pPr>
            <w:widowControl w:val="0"/>
            <w:spacing w:before="60" w:line="240" w:lineRule="auto"/>
            <w:rPr>
              <w:rFonts w:ascii="Times New Roman" w:cs="Times New Roman" w:eastAsia="Times New Roman" w:hAnsi="Times New Roman"/>
            </w:rPr>
          </w:pPr>
          <w:hyperlink w:anchor="_heading=h.cou4wveik1us">
            <w:r w:rsidDel="00000000" w:rsidR="00000000" w:rsidRPr="00000000">
              <w:rPr>
                <w:rFonts w:ascii="Times New Roman" w:cs="Times New Roman" w:eastAsia="Times New Roman" w:hAnsi="Times New Roman"/>
                <w:rtl w:val="0"/>
              </w:rPr>
              <w:t xml:space="preserve">​8. Financial Viability, Risk Allocation, and the Design-Implementation Gap</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Times New Roman" w:cs="Times New Roman" w:eastAsia="Times New Roman" w:hAnsi="Times New Roman"/>
            </w:rPr>
          </w:pPr>
          <w:hyperlink w:anchor="_heading=h.8m0ct1rf6164">
            <w:r w:rsidDel="00000000" w:rsidR="00000000" w:rsidRPr="00000000">
              <w:rPr>
                <w:rFonts w:ascii="Times New Roman" w:cs="Times New Roman" w:eastAsia="Times New Roman" w:hAnsi="Times New Roman"/>
                <w:rtl w:val="0"/>
              </w:rPr>
              <w:t xml:space="preserve">8.1 The Financial Viability Problem in Circular Business Model Transitions</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rFonts w:ascii="Times New Roman" w:cs="Times New Roman" w:eastAsia="Times New Roman" w:hAnsi="Times New Roman"/>
            </w:rPr>
          </w:pPr>
          <w:hyperlink w:anchor="_heading=h.13r7alk6fob0">
            <w:r w:rsidDel="00000000" w:rsidR="00000000" w:rsidRPr="00000000">
              <w:rPr>
                <w:rFonts w:ascii="Times New Roman" w:cs="Times New Roman" w:eastAsia="Times New Roman" w:hAnsi="Times New Roman"/>
                <w:rtl w:val="0"/>
              </w:rPr>
              <w:t xml:space="preserve">8.2 Risk Allocation across the Supply Chain</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Times New Roman" w:cs="Times New Roman" w:eastAsia="Times New Roman" w:hAnsi="Times New Roman"/>
            </w:rPr>
          </w:pPr>
          <w:hyperlink w:anchor="_heading=h.fdhhhieznc2j">
            <w:r w:rsidDel="00000000" w:rsidR="00000000" w:rsidRPr="00000000">
              <w:rPr>
                <w:rFonts w:ascii="Times New Roman" w:cs="Times New Roman" w:eastAsia="Times New Roman" w:hAnsi="Times New Roman"/>
                <w:rtl w:val="0"/>
              </w:rPr>
              <w:t xml:space="preserve">8.3 The Design-Implementation Gap and Organizational Readiness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Times New Roman" w:cs="Times New Roman" w:eastAsia="Times New Roman" w:hAnsi="Times New Roman"/>
            </w:rPr>
          </w:pPr>
          <w:hyperlink w:anchor="_heading=h.b4vhixe1lwzb">
            <w:r w:rsidDel="00000000" w:rsidR="00000000" w:rsidRPr="00000000">
              <w:rPr>
                <w:rFonts w:ascii="Times New Roman" w:cs="Times New Roman" w:eastAsia="Times New Roman" w:hAnsi="Times New Roman"/>
                <w:rtl w:val="0"/>
              </w:rPr>
              <w:t xml:space="preserve">8.4 What the Literature Has and Has Not Addressed</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Times New Roman" w:cs="Times New Roman" w:eastAsia="Times New Roman" w:hAnsi="Times New Roman"/>
            </w:rPr>
          </w:pPr>
          <w:hyperlink w:anchor="_heading=h.2y7ell3jgy47">
            <w:r w:rsidDel="00000000" w:rsidR="00000000" w:rsidRPr="00000000">
              <w:rPr>
                <w:rFonts w:ascii="Times New Roman" w:cs="Times New Roman" w:eastAsia="Times New Roman" w:hAnsi="Times New Roman"/>
                <w:rtl w:val="0"/>
              </w:rPr>
              <w:t xml:space="preserve">8.5 The Analytical Framework</w:t>
            </w:r>
          </w:hyperlink>
          <w:r w:rsidDel="00000000" w:rsidR="00000000" w:rsidRPr="00000000">
            <w:rPr>
              <w:rtl w:val="0"/>
            </w:rPr>
          </w:r>
        </w:p>
        <w:p w:rsidR="00000000" w:rsidDel="00000000" w:rsidP="00000000" w:rsidRDefault="00000000" w:rsidRPr="00000000" w14:paraId="0000003B">
          <w:pPr>
            <w:widowControl w:val="0"/>
            <w:spacing w:before="60" w:line="240" w:lineRule="auto"/>
            <w:rPr>
              <w:rFonts w:ascii="Times New Roman" w:cs="Times New Roman" w:eastAsia="Times New Roman" w:hAnsi="Times New Roman"/>
            </w:rPr>
          </w:pPr>
          <w:hyperlink w:anchor="_heading=h.wn7t1anfq1od">
            <w:r w:rsidDel="00000000" w:rsidR="00000000" w:rsidRPr="00000000">
              <w:rPr>
                <w:rFonts w:ascii="Times New Roman" w:cs="Times New Roman" w:eastAsia="Times New Roman" w:hAnsi="Times New Roman"/>
                <w:rtl w:val="0"/>
              </w:rPr>
              <w:t xml:space="preserve">​9. Interviews: Early Evidence from the Field</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rFonts w:ascii="Times New Roman" w:cs="Times New Roman" w:eastAsia="Times New Roman" w:hAnsi="Times New Roman"/>
            </w:rPr>
          </w:pPr>
          <w:hyperlink w:anchor="_heading=h.vp4kqzrhpr5y">
            <w:r w:rsidDel="00000000" w:rsidR="00000000" w:rsidRPr="00000000">
              <w:rPr>
                <w:rFonts w:ascii="Times New Roman" w:cs="Times New Roman" w:eastAsia="Times New Roman" w:hAnsi="Times New Roman"/>
                <w:rtl w:val="0"/>
              </w:rPr>
              <w:t xml:space="preserve">9.1 Overview</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rFonts w:ascii="Times New Roman" w:cs="Times New Roman" w:eastAsia="Times New Roman" w:hAnsi="Times New Roman"/>
            </w:rPr>
          </w:pPr>
          <w:hyperlink w:anchor="_heading=h.dh10rc306qqo">
            <w:r w:rsidDel="00000000" w:rsidR="00000000" w:rsidRPr="00000000">
              <w:rPr>
                <w:rFonts w:ascii="Times New Roman" w:cs="Times New Roman" w:eastAsia="Times New Roman" w:hAnsi="Times New Roman"/>
                <w:rtl w:val="0"/>
              </w:rPr>
              <w:t xml:space="preserve">9.2 Port infrastructure: enabler, not fuel actor</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Times New Roman" w:cs="Times New Roman" w:eastAsia="Times New Roman" w:hAnsi="Times New Roman"/>
            </w:rPr>
          </w:pPr>
          <w:hyperlink w:anchor="_heading=h.a2y9n4xeiins">
            <w:r w:rsidDel="00000000" w:rsidR="00000000" w:rsidRPr="00000000">
              <w:rPr>
                <w:rFonts w:ascii="Times New Roman" w:cs="Times New Roman" w:eastAsia="Times New Roman" w:hAnsi="Times New Roman"/>
                <w:rtl w:val="0"/>
              </w:rPr>
              <w:t xml:space="preserve">9.3 KLM: SAF as cost, not business model</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Times New Roman" w:cs="Times New Roman" w:eastAsia="Times New Roman" w:hAnsi="Times New Roman"/>
            </w:rPr>
          </w:pPr>
          <w:hyperlink w:anchor="_heading=h.oc6965mlrjev">
            <w:r w:rsidDel="00000000" w:rsidR="00000000" w:rsidRPr="00000000">
              <w:rPr>
                <w:rFonts w:ascii="Times New Roman" w:cs="Times New Roman" w:eastAsia="Times New Roman" w:hAnsi="Times New Roman"/>
                <w:rtl w:val="0"/>
              </w:rPr>
              <w:t xml:space="preserve">9.4 The voluntary and certificate market: a second, disconnected market</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rFonts w:ascii="Times New Roman" w:cs="Times New Roman" w:eastAsia="Times New Roman" w:hAnsi="Times New Roman"/>
            </w:rPr>
          </w:pPr>
          <w:hyperlink w:anchor="_heading=h.4q0nzdi0mfbm">
            <w:r w:rsidDel="00000000" w:rsidR="00000000" w:rsidRPr="00000000">
              <w:rPr>
                <w:rFonts w:ascii="Times New Roman" w:cs="Times New Roman" w:eastAsia="Times New Roman" w:hAnsi="Times New Roman"/>
                <w:rtl w:val="0"/>
              </w:rPr>
              <w:t xml:space="preserve">9.5 Technology supply: following the customer through the value chain</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rFonts w:ascii="Times New Roman" w:cs="Times New Roman" w:eastAsia="Times New Roman" w:hAnsi="Times New Roman"/>
            </w:rPr>
          </w:pPr>
          <w:hyperlink w:anchor="_heading=h.5hts33z0r3a0">
            <w:r w:rsidDel="00000000" w:rsidR="00000000" w:rsidRPr="00000000">
              <w:rPr>
                <w:rFonts w:ascii="Times New Roman" w:cs="Times New Roman" w:eastAsia="Times New Roman" w:hAnsi="Times New Roman"/>
                <w:rtl w:val="0"/>
              </w:rPr>
              <w:t xml:space="preserve">9.6 An integrated energy major: risk allocation as the core problem</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rFonts w:ascii="Times New Roman" w:cs="Times New Roman" w:eastAsia="Times New Roman" w:hAnsi="Times New Roman"/>
            </w:rPr>
          </w:pPr>
          <w:hyperlink w:anchor="_heading=h.nwqjlcfenqjm">
            <w:r w:rsidDel="00000000" w:rsidR="00000000" w:rsidRPr="00000000">
              <w:rPr>
                <w:rFonts w:ascii="Times New Roman" w:cs="Times New Roman" w:eastAsia="Times New Roman" w:hAnsi="Times New Roman"/>
                <w:rtl w:val="0"/>
              </w:rPr>
              <w:t xml:space="preserve">9.7 Cross-cutting findings from the interviews</w:t>
            </w:r>
          </w:hyperlink>
          <w:r w:rsidDel="00000000" w:rsidR="00000000" w:rsidRPr="00000000">
            <w:rPr>
              <w:rtl w:val="0"/>
            </w:rPr>
          </w:r>
        </w:p>
        <w:p w:rsidR="00000000" w:rsidDel="00000000" w:rsidP="00000000" w:rsidRDefault="00000000" w:rsidRPr="00000000" w14:paraId="00000043">
          <w:pPr>
            <w:widowControl w:val="0"/>
            <w:spacing w:before="60" w:line="240" w:lineRule="auto"/>
            <w:rPr>
              <w:rFonts w:ascii="Times New Roman" w:cs="Times New Roman" w:eastAsia="Times New Roman" w:hAnsi="Times New Roman"/>
            </w:rPr>
          </w:pPr>
          <w:hyperlink w:anchor="_heading=h.w0bejwwoiraq">
            <w:r w:rsidDel="00000000" w:rsidR="00000000" w:rsidRPr="00000000">
              <w:rPr>
                <w:rFonts w:ascii="Times New Roman" w:cs="Times New Roman" w:eastAsia="Times New Roman" w:hAnsi="Times New Roman"/>
                <w:rtl w:val="0"/>
              </w:rPr>
              <w:t xml:space="preserve">​10. Discussion</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Times New Roman" w:cs="Times New Roman" w:eastAsia="Times New Roman" w:hAnsi="Times New Roman"/>
            </w:rPr>
          </w:pPr>
          <w:hyperlink w:anchor="_heading=h.xq63vunpj922">
            <w:r w:rsidDel="00000000" w:rsidR="00000000" w:rsidRPr="00000000">
              <w:rPr>
                <w:rFonts w:ascii="Times New Roman" w:cs="Times New Roman" w:eastAsia="Times New Roman" w:hAnsi="Times New Roman"/>
                <w:rtl w:val="0"/>
              </w:rPr>
              <w:t xml:space="preserve">10.1 Reading the interviews against the co-evolution literature</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rFonts w:ascii="Times New Roman" w:cs="Times New Roman" w:eastAsia="Times New Roman" w:hAnsi="Times New Roman"/>
            </w:rPr>
          </w:pPr>
          <w:hyperlink w:anchor="_heading=h.3rymfv7cp901">
            <w:r w:rsidDel="00000000" w:rsidR="00000000" w:rsidRPr="00000000">
              <w:rPr>
                <w:rFonts w:ascii="Times New Roman" w:cs="Times New Roman" w:eastAsia="Times New Roman" w:hAnsi="Times New Roman"/>
                <w:rtl w:val="0"/>
              </w:rPr>
              <w:t xml:space="preserve">10.2 Barrier, facilitator, or niche innovator</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rFonts w:ascii="Times New Roman" w:cs="Times New Roman" w:eastAsia="Times New Roman" w:hAnsi="Times New Roman"/>
            </w:rPr>
          </w:pPr>
          <w:hyperlink w:anchor="_heading=h.niwhhrku6pz">
            <w:r w:rsidDel="00000000" w:rsidR="00000000" w:rsidRPr="00000000">
              <w:rPr>
                <w:rFonts w:ascii="Times New Roman" w:cs="Times New Roman" w:eastAsia="Times New Roman" w:hAnsi="Times New Roman"/>
                <w:rtl w:val="0"/>
              </w:rPr>
              <w:t xml:space="preserve">10.3 The bankability and offtake mismatch, seen from three sides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Times New Roman" w:cs="Times New Roman" w:eastAsia="Times New Roman" w:hAnsi="Times New Roman"/>
            </w:rPr>
          </w:pPr>
          <w:hyperlink w:anchor="_heading=h.osb24w3gj9sx">
            <w:r w:rsidDel="00000000" w:rsidR="00000000" w:rsidRPr="00000000">
              <w:rPr>
                <w:rFonts w:ascii="Times New Roman" w:cs="Times New Roman" w:eastAsia="Times New Roman" w:hAnsi="Times New Roman"/>
                <w:rtl w:val="0"/>
              </w:rPr>
              <w:t xml:space="preserve">10.4 A second market the literature does not cover</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rFonts w:ascii="Times New Roman" w:cs="Times New Roman" w:eastAsia="Times New Roman" w:hAnsi="Times New Roman"/>
            </w:rPr>
          </w:pPr>
          <w:hyperlink w:anchor="_heading=h.gbnzevlx7ejm">
            <w:r w:rsidDel="00000000" w:rsidR="00000000" w:rsidRPr="00000000">
              <w:rPr>
                <w:rFonts w:ascii="Times New Roman" w:cs="Times New Roman" w:eastAsia="Times New Roman" w:hAnsi="Times New Roman"/>
                <w:rtl w:val="0"/>
              </w:rPr>
              <w:t xml:space="preserve">10.5 Modular change at the edges, architectural change at the core, revisited</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rFonts w:ascii="Times New Roman" w:cs="Times New Roman" w:eastAsia="Times New Roman" w:hAnsi="Times New Roman"/>
            </w:rPr>
          </w:pPr>
          <w:hyperlink w:anchor="_heading=h.s704f5js96jq">
            <w:r w:rsidDel="00000000" w:rsidR="00000000" w:rsidRPr="00000000">
              <w:rPr>
                <w:rFonts w:ascii="Times New Roman" w:cs="Times New Roman" w:eastAsia="Times New Roman" w:hAnsi="Times New Roman"/>
                <w:rtl w:val="0"/>
              </w:rPr>
              <w:t xml:space="preserve">10.6 Limitations of the discussion at this stage</w:t>
            </w:r>
          </w:hyperlink>
          <w:r w:rsidDel="00000000" w:rsidR="00000000" w:rsidRPr="00000000">
            <w:rPr>
              <w:rtl w:val="0"/>
            </w:rPr>
          </w:r>
        </w:p>
        <w:p w:rsidR="00000000" w:rsidDel="00000000" w:rsidP="00000000" w:rsidRDefault="00000000" w:rsidRPr="00000000" w14:paraId="0000004A">
          <w:pPr>
            <w:widowControl w:val="0"/>
            <w:spacing w:before="60" w:line="240" w:lineRule="auto"/>
            <w:rPr>
              <w:rFonts w:ascii="Times New Roman" w:cs="Times New Roman" w:eastAsia="Times New Roman" w:hAnsi="Times New Roman"/>
            </w:rPr>
          </w:pPr>
          <w:hyperlink w:anchor="_heading=h.b9lipekl8yo">
            <w:r w:rsidDel="00000000" w:rsidR="00000000" w:rsidRPr="00000000">
              <w:rPr>
                <w:rFonts w:ascii="Times New Roman" w:cs="Times New Roman" w:eastAsia="Times New Roman" w:hAnsi="Times New Roman"/>
                <w:rtl w:val="0"/>
              </w:rPr>
              <w:t xml:space="preserve">​11. Conclusion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1"/>
        <w:spacing w:after="240" w:before="240" w:line="360" w:lineRule="auto"/>
        <w:jc w:val="both"/>
        <w:rPr/>
      </w:pPr>
      <w:bookmarkStart w:colFirst="0" w:colLast="0" w:name="_heading=h.9wvoc2a1sn6t" w:id="3"/>
      <w:bookmarkEnd w:id="3"/>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spacing w:after="240" w:before="240" w:line="360" w:lineRule="auto"/>
        <w:jc w:val="both"/>
        <w:rPr/>
      </w:pPr>
      <w:bookmarkStart w:colFirst="0" w:colLast="0" w:name="_heading=h.kh05igsmctjs" w:id="4"/>
      <w:bookmarkEnd w:id="4"/>
      <w:r w:rsidDel="00000000" w:rsidR="00000000" w:rsidRPr="00000000">
        <w:rPr>
          <w:rtl w:val="0"/>
        </w:rPr>
      </w:r>
    </w:p>
    <w:p w:rsidR="00000000" w:rsidDel="00000000" w:rsidP="00000000" w:rsidRDefault="00000000" w:rsidRPr="00000000" w14:paraId="00000050">
      <w:pPr>
        <w:pStyle w:val="Heading1"/>
        <w:spacing w:after="240" w:before="240" w:line="360" w:lineRule="auto"/>
        <w:jc w:val="both"/>
        <w:rPr/>
      </w:pPr>
      <w:bookmarkStart w:colFirst="0" w:colLast="0" w:name="_heading=h.kkg47g8o5jrc" w:id="5"/>
      <w:bookmarkEnd w:id="5"/>
      <w:r w:rsidDel="00000000" w:rsidR="00000000" w:rsidRPr="00000000">
        <w:rPr>
          <w:rtl w:val="0"/>
        </w:rPr>
      </w:r>
    </w:p>
    <w:p w:rsidR="00000000" w:rsidDel="00000000" w:rsidP="00000000" w:rsidRDefault="00000000" w:rsidRPr="00000000" w14:paraId="00000051">
      <w:pPr>
        <w:pStyle w:val="Heading1"/>
        <w:spacing w:after="240" w:before="240" w:line="360" w:lineRule="auto"/>
        <w:jc w:val="both"/>
        <w:rPr/>
      </w:pPr>
      <w:bookmarkStart w:colFirst="0" w:colLast="0" w:name="_heading=h.qergdwqvaaf8" w:id="6"/>
      <w:bookmarkEnd w:id="6"/>
      <w:r w:rsidDel="00000000" w:rsidR="00000000" w:rsidRPr="00000000">
        <w:rPr>
          <w:rtl w:val="0"/>
        </w:rPr>
      </w:r>
    </w:p>
    <w:p w:rsidR="00000000" w:rsidDel="00000000" w:rsidP="00000000" w:rsidRDefault="00000000" w:rsidRPr="00000000" w14:paraId="00000052">
      <w:pPr>
        <w:pStyle w:val="Heading1"/>
        <w:spacing w:after="240" w:before="240" w:line="360" w:lineRule="auto"/>
        <w:jc w:val="both"/>
        <w:rPr/>
      </w:pPr>
      <w:bookmarkStart w:colFirst="0" w:colLast="0" w:name="_heading=h.x0w2r4tpxa99" w:id="7"/>
      <w:bookmarkEnd w:id="7"/>
      <w:r w:rsidDel="00000000" w:rsidR="00000000" w:rsidRPr="00000000">
        <w:rPr>
          <w:rtl w:val="0"/>
        </w:rPr>
      </w:r>
    </w:p>
    <w:p w:rsidR="00000000" w:rsidDel="00000000" w:rsidP="00000000" w:rsidRDefault="00000000" w:rsidRPr="00000000" w14:paraId="00000053">
      <w:pPr>
        <w:pStyle w:val="Heading1"/>
        <w:spacing w:after="240" w:before="240" w:line="360" w:lineRule="auto"/>
        <w:jc w:val="both"/>
        <w:rPr/>
      </w:pPr>
      <w:bookmarkStart w:colFirst="0" w:colLast="0" w:name="_heading=h.hstkegwqt6ln" w:id="8"/>
      <w:bookmarkEnd w:id="8"/>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spacing w:after="240" w:before="240" w:line="360" w:lineRule="auto"/>
        <w:jc w:val="both"/>
        <w:rPr/>
      </w:pPr>
      <w:bookmarkStart w:colFirst="0" w:colLast="0" w:name="_heading=h.f0rjmngrqlec" w:id="9"/>
      <w:bookmarkEnd w:id="9"/>
      <w:r w:rsidDel="00000000" w:rsidR="00000000" w:rsidRPr="00000000">
        <w:rPr>
          <w:rtl w:val="0"/>
        </w:rPr>
        <w:t xml:space="preserve">​1. Introduction</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most industrial sectors, commercial aviation has never had to rebuild its energy base. Since the birth of commercial flight, the same class of fuel, kerosene refined from crude oil, has powered essentially every aircraft in the sky. This is not simply a matter of habit or an inherited supply chain. Aircraft engines, airport fuelling infrastructure, and international certification regimes are all built around a narrow specification window, and any substitute fuel must slot into that window rather than force the industry to redesign around it. That constraint has kept aviation's energy base essentially unchanged even as other heavy industries, from utilities to shipping, have diversified toward multiple energy carriers over the past two decades.</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structural rigidity is now colliding with a wave of binding European climate policy. Mandates such as the ReFuelEU Aviation Regulation and the phase-out of free allowances under the EU Emissions Trading System are forcing a shift toward sustainable aviation fuel (SAF) on a fixed timetable, regardless of whether the underlying supply chain, cost structure, or production capacity is ready to support it. The full detail of this regulatory architecture, and how it interacts with Dutch national policy, is set out in Section 3, immediately below. What matters for the argument here is more basic: the mandate does not, by itself, create a viable supply chain, and a supply chain is not the same thing as a business model. Bidmon and Knab (2018) describe the pre-existing arrangement among fuel producers, distributors, airports, and airlines as an industry recipe, a collectively stabilised logic of value creation and capture that has held for decades. Regulatory pressure is now placing that recipe under direct challenge, but it says nothing about what should replace it, who should build it, or how the costs and risks of the transition should be shared.</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examines that gap through a specific circular innovation pathway: waste-to-SAF via hydrothermal liquefaction (HTL), a technology that converts organic waste streams into a biocrude intermediate that must then be upgraded into jet-range molecules. A pilot collaboration between the University of Amsterdam and Schiphol Airport has demonstrated that HTL can produce fuel-grade output from airport waste at lab scale. What it has not demonstrated, and cannot demonstrate through chemistry alone, is that this pathway can become a commercially viable operation. Technical feasibility and business viability are different questions, and the gap between them is not primarily a technology problem. It is an organisational and inter-organisational one: who invests, who bears the risk if a batch fails to meet specification, who certifies the output, and who is willing to pay a premium for it.</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question that follows from this is: how does a policy-driven innovation get translated into a viable, sustainable business model within the aviation ecosystem? This breaks down into five more specific questions. First, what does the current aviation fuel business model look like, and where do value and risk currently sit within it? Second, what structural elements of that model have to change to accommodate a waste-to-SAF pathway? Third, which actors have to participate in that change, including actors that play no role in the conventional fuel chain today? Fourth, how are the resulting costs and risks likely to be redistributed across the value chain? And fifth, can this transition happen without breaking the operational continuity the sector depends on, or does it necessarily introduce friction and disruption along the way?</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Answering these questions draws on three sources that have so far developed largely apart from one another: a review of the business model innovation and sustainable and circular business model literature, a mapping of the regulatory instruments governing SAF and waste valorisation at EU and Dutch level, and early interview material gathered from across the Dutch aviation fuel ecosystem. Section 2 sets out the methodology behind all three. Section 3 covers the regulatory architecture in detail. Section 4 reviews the business model innovation literature. Sections 5 through 8 build toward an integrated analytical framework drawing on the ecosystem, coalition formation, and financial viability literatures. Section 9 turns to the interview material. Section 10 discusses what the literature and the interviews together tell us. Section 11 concludes.</w:t>
      </w:r>
    </w:p>
    <w:p w:rsidR="00000000" w:rsidDel="00000000" w:rsidP="00000000" w:rsidRDefault="00000000" w:rsidRPr="00000000" w14:paraId="0000005B">
      <w:pPr>
        <w:pStyle w:val="Heading1"/>
        <w:spacing w:after="240" w:before="240" w:line="360" w:lineRule="auto"/>
        <w:jc w:val="both"/>
        <w:rPr/>
      </w:pPr>
      <w:bookmarkStart w:colFirst="0" w:colLast="0" w:name="_heading=h.jlb7cebh158u" w:id="10"/>
      <w:bookmarkEnd w:id="10"/>
      <w:r w:rsidDel="00000000" w:rsidR="00000000" w:rsidRPr="00000000">
        <w:rPr>
          <w:rtl w:val="0"/>
        </w:rPr>
        <w:t xml:space="preserve">​2. Methodology</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review combines three strands of work: a systematic literature search on business model innovation and sustainable business model theory, a targeted regulatory mapping of the instruments governing waste-to-SAF pathways in the EU and the Netherlands, and a set of semi-structured interviews with stakeholders positioned at different points of the Dutch aviation fuel value chain. The literature and policy work ground the analytical framework developed in Sections 4 through 8. The interviews, reported in Section 9, provide early empirical evidence against which that framework is read in the discussion in Section 10.</w:t>
      </w:r>
    </w:p>
    <w:p w:rsidR="00000000" w:rsidDel="00000000" w:rsidP="00000000" w:rsidRDefault="00000000" w:rsidRPr="00000000" w14:paraId="0000005D">
      <w:pPr>
        <w:pStyle w:val="Heading2"/>
        <w:spacing w:after="240" w:before="240" w:line="360" w:lineRule="auto"/>
        <w:jc w:val="both"/>
        <w:rPr/>
      </w:pPr>
      <w:bookmarkStart w:colFirst="0" w:colLast="0" w:name="_heading=h.a5qksi9uxnv0" w:id="11"/>
      <w:bookmarkEnd w:id="11"/>
      <w:r w:rsidDel="00000000" w:rsidR="00000000" w:rsidRPr="00000000">
        <w:rPr>
          <w:rtl w:val="0"/>
        </w:rPr>
        <w:t xml:space="preserve">​2.1 Literature search strategy and databases</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independent databases were searched, Business Source Premier (EBSCO) and Scopus, covering the period from database inception through May 2026. Search terms were structured using a Venn diagram logic with two circles, an initial design that separated a theoretical circle covering business model and sustainable business model literature from a phenomenon circle covering aviation sustainability literature. The phenomenon circle was later removed from the combined query in consultation with a research team member, since it introduced excessive noise from aeronautical engineering literature, and aviation-specific terms were instead folded into a dedicated intersection query. The theoretical circle (Circle 1) combined a block of business model innovation and transformation terms with a block of sustainability and circular economy terms, searched across subject headings, titles, abstracts, and author keywords in EBSCO, and across title, abstract, and keyword fields in Scopus. The intersection query (Sustainable Business Models in Aviation) combined four blocks covering business model terminology, fuel and feedstock terminology, aviation terminology, and sustainability and decarbonisation terminology. Wildcard truncation and proximity operators were used to capture term variants, for example word-distance operators of three words to capture phrases such as emissions reduction or carbon minimisation. Filters were applied for English language, peer-reviewed status, and academic journal or article document type. Record counts were logged at each stage, with Business Source Premier Circle 1 returning 2,526 records, Business Source Premier Intersection returning 29 records, Scopus Circle 1 returning 2,274 records, and Scopus Intersection returning 341 records.</w:t>
      </w:r>
    </w:p>
    <w:p w:rsidR="00000000" w:rsidDel="00000000" w:rsidP="00000000" w:rsidRDefault="00000000" w:rsidRPr="00000000" w14:paraId="0000005F">
      <w:pPr>
        <w:pStyle w:val="Heading2"/>
        <w:spacing w:after="240" w:before="240" w:line="360" w:lineRule="auto"/>
        <w:jc w:val="both"/>
        <w:rPr/>
      </w:pPr>
      <w:bookmarkStart w:colFirst="0" w:colLast="0" w:name="_heading=h.brxoz4t41fqp" w:id="12"/>
      <w:bookmarkEnd w:id="12"/>
      <w:r w:rsidDel="00000000" w:rsidR="00000000" w:rsidRPr="00000000">
        <w:rPr>
          <w:rtl w:val="0"/>
        </w:rPr>
        <w:t xml:space="preserve">​2.2 Deduplication and screening</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records were exported to Zotero for reference management. Manual deduplication in Zotero proved too slow given the volume of records, so an automated deduplication tool (zoplicate) was used instead. The combined pre-deduplication set totalled approximately 5,170 records, reduced to 4,301 records after deduplication. The deduplicated set was uploaded to ASReview for screening, with title coverage at 100 percent, abstract coverage at 99 percent, and DOI or URL coverage at 92.6 percent. Records were screened and labelled as relevant, not relevant, or left unlabelled. The ABS Academic Journal Guide 2024 rankings were then applied, retaining only journals classified in categories 1 and 2, which reduced the set to 224 papers. A quality check was performed on the next 200 records in the ASReview ranking, continuing until 50 consecutive irrelevant records were reached, followed by team discussion of borderline inclusions.</w:t>
      </w:r>
    </w:p>
    <w:p w:rsidR="00000000" w:rsidDel="00000000" w:rsidP="00000000" w:rsidRDefault="00000000" w:rsidRPr="00000000" w14:paraId="00000061">
      <w:pPr>
        <w:pStyle w:val="Heading2"/>
        <w:spacing w:after="240" w:before="240" w:line="360" w:lineRule="auto"/>
        <w:jc w:val="both"/>
        <w:rPr/>
      </w:pPr>
      <w:bookmarkStart w:colFirst="0" w:colLast="0" w:name="_heading=h.wtif5i9rcts" w:id="13"/>
      <w:bookmarkEnd w:id="13"/>
      <w:r w:rsidDel="00000000" w:rsidR="00000000" w:rsidRPr="00000000">
        <w:rPr>
          <w:rtl w:val="0"/>
        </w:rPr>
        <w:t xml:space="preserve">​2.3 Reference checking</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and forward reference checking was conducted on key included articles, following citation chains to and from foundational sources such as Foss and Saebi (2017) and Pieroni et al. (2019). This step surfaced additional articles not captured by the original search strings, which were then screened using the same relevance criteria.</w:t>
      </w:r>
    </w:p>
    <w:p w:rsidR="00000000" w:rsidDel="00000000" w:rsidP="00000000" w:rsidRDefault="00000000" w:rsidRPr="00000000" w14:paraId="00000063">
      <w:pPr>
        <w:pStyle w:val="Heading2"/>
        <w:spacing w:after="240" w:before="240" w:line="360" w:lineRule="auto"/>
        <w:jc w:val="both"/>
        <w:rPr/>
      </w:pPr>
      <w:bookmarkStart w:colFirst="0" w:colLast="0" w:name="_heading=h.yw3q1nxptow1" w:id="14"/>
      <w:bookmarkEnd w:id="14"/>
      <w:r w:rsidDel="00000000" w:rsidR="00000000" w:rsidRPr="00000000">
        <w:rPr>
          <w:rtl w:val="0"/>
        </w:rPr>
        <w:t xml:space="preserve">​2.4 Regulatory and legal instrument mapping</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case study sits at the intersection of business model theory and a dense regulatory environment, a separate mapping exercise was conducted for the legal and policy instruments governing SAF and waste valorisation. This mapping followed a trickle-down approach, starting from the ReFuelEU Aviation Regulation as the anchor instrument. Each operative article of ReFuelEU was read in full on EUR-Lex, and cross-references within the text were followed outward to related instruments. This process led from ReFuelEU to RED III for feedstock eligibility, to the EU ETS Directive and its Monitoring and Reporting Regulation for carbon accounting, to the Waste Framework Directive for waste classification, and to the EU Taxonomy Regulation for sustainable finance criteria. Implementing and delegated acts referenced within these primary instruments were retrieved and reviewed in the same way. The same trickle-down logic was applied at the Dutch level, starting from national instruments that transpose or sit alongside the EU rules, drawing on wetten.overheid.nl for statutory texts and open.overheid.nl and relevant ministry websites for policy documents. Where a Dutch instrument referenced an EU directive or regulation, or vice versa, that link was followed to confirm how the national instrument transposes or operationalises the EU-level rule. This citation-following approach was chosen over a keyword search of legal databases because the regulatory architecture is deeply cross-referential, and a keyword search risked missing implementing detail held in cross-referenced articles rather than in the primary instrument itself.</w:t>
      </w:r>
    </w:p>
    <w:p w:rsidR="00000000" w:rsidDel="00000000" w:rsidP="00000000" w:rsidRDefault="00000000" w:rsidRPr="00000000" w14:paraId="00000065">
      <w:pPr>
        <w:pStyle w:val="Heading2"/>
        <w:spacing w:after="240" w:before="240" w:line="360" w:lineRule="auto"/>
        <w:jc w:val="both"/>
        <w:rPr/>
      </w:pPr>
      <w:bookmarkStart w:colFirst="0" w:colLast="0" w:name="_heading=h.cb8an4mso3m8" w:id="15"/>
      <w:bookmarkEnd w:id="15"/>
      <w:r w:rsidDel="00000000" w:rsidR="00000000" w:rsidRPr="00000000">
        <w:rPr>
          <w:rtl w:val="0"/>
        </w:rPr>
        <w:t xml:space="preserve">​2.5 Interview approach</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the literature and regulatory mapping, five semi-structured interviews were conducted with stakeholders positioned at different points of the aviation fuel value chain, following the interview guide developed for the ENLENS project (reproduced in the appendix). Participants were selected to cover distinct functional positions in the value chain rather than for statistical representativeness: an infrastructure and logistics actor, an airline fuel buyer, a former employee of a SAF producer working specifically on the voluntary certificate market, a technology supplier to SAF producers, and a major integrated energy company active in both SAF production and trading. The participants are summarised in the table below. Interviews were conducted between April and June 2026, lasted between 20 and 55 minutes, and were recorded and transcribed with participant consent under the informed consent procedure described in the project's information sheet. All participants were offered pseudonymisation; where this document names a participant's employer, that reflects the participant's own choice on the consent form or a role so specific to one organisation (for example, board membership of a named joint venture) that anonymisation was not meaningful. Interviews are treated as illustrative rather than statistically representative, given the small sample size and the early stage of the broader ENLENS project, which anticipates further interviews with feedstock suppliers, certification bodies, and Dutch policymakers in later phases.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participants</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160"/>
        <w:gridCol w:w="2295"/>
        <w:gridCol w:w="3330"/>
        <w:tblGridChange w:id="0">
          <w:tblGrid>
            <w:gridCol w:w="1590"/>
            <w:gridCol w:w="2160"/>
            <w:gridCol w:w="229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Position in value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Organisation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Interview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Strategy department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Infrastructure and logistics, non-fuel-transacting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blending, terminal investment, coordination role of infrastructure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M&amp;A and holdings lead, board member of a SAF joint venture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Fuel buyer and mandated compliance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Offtake contracting, project finance, internal capability building, cost pass-through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Former partnership manager, emission-reduction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Certificate and voluntary-market intermediary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producer (former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Book-and-claim mechanics, corporate voluntary demand, certification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 of partnerships and technology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Upstream technology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Catalyst 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Feedstock and pathway diversification, R&amp;D portfolio allocation, cross-sector spillovers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 of partnerships and technology, low carbon fuels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Producer, trader, and project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energy 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allocation across the value chain, offtake and financing mismatch, regulatory design</w:t>
            </w:r>
          </w:p>
        </w:tc>
      </w:tr>
    </w:tbl>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spacing w:after="240" w:before="240" w:line="360" w:lineRule="auto"/>
        <w:jc w:val="both"/>
        <w:rPr/>
      </w:pPr>
      <w:bookmarkStart w:colFirst="0" w:colLast="0" w:name="_heading=h.z85zatmzp9zj" w:id="16"/>
      <w:bookmarkEnd w:id="16"/>
      <w:r w:rsidDel="00000000" w:rsidR="00000000" w:rsidRPr="00000000">
        <w:rPr>
          <w:rtl w:val="0"/>
        </w:rPr>
        <w:t xml:space="preserve">​3. Policy Context</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turning to the business model literature, this section lays out the regulatory architecture that the rest of the paper treats as a fixed constraint. It covers the binding EU-level instruments (ReFuelEU Aviation, RED III, the EU ETS, the Waste Framework Directive, and the EU Taxonomy Regulation), the certification and audit rules that convert physical feedstock into a compliance claim, and the Dutch national instruments that sit on top of the EU framework, including the Klimaatwet, the Luchtvaartnota, and the Circulair Materialenplan. The detail here is deliberately dense, since it is the fixed input the rest of the analysis works from, not itself the object of analysis. Section 4 picks up the theoretical question of how business models respond to and reshape instruments of this kind.</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Dutch level, the Klimaatwet brings some specificity with a binding target of 95% greenhouse gas reduction by 2050 and Article 4(2) Article 4(2) requires the government to take corrective action if progress falls behind schedule, giving SAF investors greater confidence that policy support will remain on track. Article 8(3) allows the government to enter into negotiated sector agreements to assist in reaching these targets (Ministerie van Klimaat en Groene Groei, n.d.-a). For airports specifically, the Luchtvaartnota 2020-2050 adds another demand anchor just for Schiphol. Chapter 1.2 makes Schiphol's future growth capacity dependent on whether it can achieve a 14% SAF belnd share by 2030. Dutch domestic aviation CO2 targets must be met through in-sector abatement rather than carbon offsets (Ministerie van Infrastructuur en Waterstaat, 2020, Ch. 1.2, Ch. 5.2.1). For business model design, this means SAF from HTL creates compliance value that carbon credits can't substitute, so there is a niche of protected demand at Schiphol with some shielding from market conditions. Chapter 7.2 includes the Netherland's ambition to be a European SAF production hub using Rotterdam's refinery and pipeline infrastructure. This provides some footing regarding the direction of the Netherlands ant thus some security for co-locating and binding the HTL conversion with the existing SARAS logistics network.</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SDL program is financed through the Tijdelijke wet Klimaat- en energiefonds, the €35 billion Klimaatfonds, whose Article 2(2)(b) covers greenhouse gas reduction pursuits which the SAF pathway is a part of and can draw from the fund under Article 3(3).</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is of the essence though for any HTL project, given the fund closes to new revenues from January 2031 (Ministerie van Klimaat en Groene Groei, n.d.-b). [Ask] Each of these instruments will be mapped against the specific business model components of each actor in the ENLENS waste-to-SAF chain. It should be noted that RED III Article 27(2)(e) and (f) establish the multipliers that determine how much compliance value each SAF type generates. Advanced biofuels from Annex IX Part A feedstocks count double their energy content towards Member State transport targets. In the Dutch renewable transport framework, this impacts the compliance value that an HTL operator can register per tonne of fuel produced. Following the RED III transposition, the HBE system was replaced by the ERE methodology, and aviation fuels were excluded from the national obligation scope that EREs serve. Now, HTL derived SAF sold for aviation use generates ReFuelEU compliance value rather than ERE credits, with ERE value only available if volumes are sold into the road transport pool. Due to the anti-stacking provisions in Article 7(5) of the Besluit energie vervoer, HTL operators must choose between ERE revenues and SDE++ support at the point of investment decision, which could affect project financing (European Parliament &amp; Council of the European Union, 2023b, Art. 27). The Dutch national circular economy framework is also a constraint on feedstock access. The Rijksbrede programma Circulaire Economie (Ministerie van Infrastructuur en Milieu &amp; Ministerie van Economische Zaken, 2016) establishes a cascading principle for biomass use. Essentially, feedstocks must be applied at their highest-value application first, with fuel production being only for residual streams that can't be used for anything else. Chapter 5.1.5 of the program brings this to aviation, which is a proper biomass application as no renewable alternative yet exists for long-haul flight. The cascading principle is a double-edged sword though. Though it supports using airport waste for HTL conversion over other cases, strengthening the access case, it also means that the airport waste could be used for a higher value application first, which might cause problems with quality and heterogeneity. This is also outlined in the Circulair Materialenplan (CMP; Ministerie van Infrastructuur en Waterstaat, 2025), for which the CMP now needs to be consulted for granting, monitoring, and enforcing waste permits. The CMP's minimumstandaard mechanism prevents a waste stream from being processed below the standard the hierarchy assigns it. If the minimum standard for a given fraction of Schiphol's waste is recycling, that fraction can't be diverted to a lower ranked recovery route like HTL. Thus, ENLENS needs to take CMP classifications. Section 4.2.3 of the Rijksbrede programma Circulaire Economie  also mentions that subsidies promoting the combustion of feedstocks that could be recycled at higher value may be phased out, posing some longer term risk. The National Plan Energiesysteem does designate aviation and shipping as priority uses for scarce sustainable carbon carriers though and says the government will intervene when there is a feedstock shortage, offering some protection (Ministerie van Economische Zaken en Klimaat, 2023). The plan identifies co-locating biogenic CO2 capture at existing biofuel facilities as the most viable Dutch pathway for e-SAF, a related but different route than HTL though.</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Implementing Regulation (EU) 2022/996 (European Commission, 2022) defines audit, mass balance, and traceability rules before SAF claims can be made. Article 10 requires on-site auditing of all economic operators delivering five or more tonnes per month (Article 13(4)); for ENLENS, Schiphol, the HTL operator, and logistics handlers each carry separate obligations. Article 19(2)(1) mandates quarterly mass balance reconciliation, adding administrative burden for pre-commercial operators and shaping coalition formation around Di Vaio et al.'s (2026) claimability requirement. Parallel EU ETS MRV converts RED III certificates into reduced surrender obligations: under the Monitoring and Reporting Regulation (European Commission, 2018), only the biomass fraction of SAF is zero-rated (Art. 38(2)), with airlines relying on supplier-certified emission factors (Art. 53(6)-(7)) rather than independent analysis.</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synthesizes these instruments, moving from the general SAF-related demand mandates and feedstock eligibility rules through to the more specific e-SAF sub-mandates and Dutch financial support schemes that build on top of them.</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Key regulatory instruments impacting waste-to-SAF as a business model</w:t>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provision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HTL Relevance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 mandate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ReFuelEU Aviation</w:t>
            </w:r>
          </w:p>
          <w:p w:rsidR="00000000" w:rsidDel="00000000" w:rsidP="00000000" w:rsidRDefault="00000000" w:rsidRPr="00000000" w14:paraId="0000009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 (EU) 2023/2405</w:t>
            </w:r>
          </w:p>
          <w:p w:rsidR="00000000" w:rsidDel="00000000" w:rsidP="00000000" w:rsidRDefault="00000000" w:rsidRPr="00000000" w14:paraId="00000095">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SAF shares at EU airports: 2% (2025) -&gt; 6% (2030) -&gt; 20% (2035) -&gt; 70% (2050) and e-SAF sub-mandates from 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Penalty floor (higher than 2x price gap per tonne short) sets maximum SAF price buyers will pay; anti-tankering rule anchors demand geographically to departure airport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demand floor</w:t>
            </w:r>
          </w:p>
          <w:p w:rsidR="00000000" w:rsidDel="00000000" w:rsidP="00000000" w:rsidRDefault="00000000" w:rsidRPr="00000000" w14:paraId="0000009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Schiphol anchor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Luchtvaartnota 2020–2050</w:t>
            </w:r>
          </w:p>
          <w:p w:rsidR="00000000" w:rsidDel="00000000" w:rsidP="00000000" w:rsidRDefault="00000000" w:rsidRPr="00000000" w14:paraId="0000009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policy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SAF blend NL airports by 2030 (vs. EU 6%); aviation CO2 to return to 2005 levels by 2030; in-sector abatement only, no offsets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domestic demand above EU mandate; carbon credits cannot substitute SAF, protecting niche for local circular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protected demand</w:t>
            </w:r>
          </w:p>
          <w:p w:rsidR="00000000" w:rsidDel="00000000" w:rsidP="00000000" w:rsidRDefault="00000000" w:rsidRPr="00000000" w14:paraId="000000A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offset substitution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Feedstock eligibility and sustainability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 III</w:t>
            </w:r>
          </w:p>
          <w:p w:rsidR="00000000" w:rsidDel="00000000" w:rsidP="00000000" w:rsidRDefault="00000000" w:rsidRPr="00000000" w14:paraId="000000A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(EU) 2023/2413, Art. 29, 29a, 27(2)(e)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from Annex IX Part A feedstocks (sewage sludge, organic MSW) counts double toward transport targets; 70% lifecycle GHG savings threshold; waste/residue exemption from land-use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Double-counting multiplier increases compliance value of advanced bio-SAF; waste exemption removes costly agricultural sustainability audit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double counting</w:t>
            </w:r>
          </w:p>
          <w:p w:rsidR="00000000" w:rsidDel="00000000" w:rsidP="00000000" w:rsidRDefault="00000000" w:rsidRPr="00000000" w14:paraId="000000A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audit cost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 Reg. (EU) 2022/996</w:t>
            </w:r>
          </w:p>
          <w:p w:rsidR="00000000" w:rsidDel="00000000" w:rsidP="00000000" w:rsidRDefault="00000000" w:rsidRPr="00000000" w14:paraId="000000A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10, 13(4), 19(2)</w:t>
            </w:r>
          </w:p>
          <w:p w:rsidR="00000000" w:rsidDel="00000000" w:rsidP="00000000" w:rsidRDefault="00000000" w:rsidRPr="00000000" w14:paraId="000000B0">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On-site audit required for all supply chain actors over 5 t/month; quarterly mass balance clearing; GHG actual values require accredited lab verification before commercial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Quarterly reconciliation creates cash-flow constraint; audit cost scales with supply chain length; creates gatekeeper role for certification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burden</w:t>
            </w:r>
          </w:p>
          <w:p w:rsidR="00000000" w:rsidDel="00000000" w:rsidP="00000000" w:rsidRDefault="00000000" w:rsidRPr="00000000" w14:paraId="000000B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cash-flow timing</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Carbon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 ETS</w:t>
            </w:r>
          </w:p>
          <w:p w:rsidR="00000000" w:rsidDel="00000000" w:rsidP="00000000" w:rsidRDefault="00000000" w:rsidRPr="00000000" w14:paraId="000000B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2003/87/EC; Dir. (EU) 2023/959; MRR Art. 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allowances for airlines fully phased out from 2026; SAF combustion zero-rated (biomass fraction); airlines cannot double-claim ETS zero-rating and CORSIA for same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fossil kerosene carbon cost from 2026 widens effective SAF premium airlines can justify; zero-rating converts RED III certificate into airline cost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cost competitiveness</w:t>
            </w:r>
          </w:p>
          <w:p w:rsidR="00000000" w:rsidDel="00000000" w:rsidP="00000000" w:rsidRDefault="00000000" w:rsidRPr="00000000" w14:paraId="000000C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double-claim</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 classification and permitting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 Framework Directive</w:t>
            </w:r>
          </w:p>
          <w:p w:rsidR="00000000" w:rsidDel="00000000" w:rsidP="00000000" w:rsidRDefault="00000000" w:rsidRPr="00000000" w14:paraId="000000C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2008/98/EC, Art. 3(17), 4, 6</w:t>
            </w:r>
          </w:p>
          <w:p w:rsidR="00000000" w:rsidDel="00000000" w:rsidP="00000000" w:rsidRDefault="00000000" w:rsidRPr="00000000" w14:paraId="000000C9">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classified as "other recovery", not recycling; end-of-waste criteria must be met before biocrude enters commercial fuel supply chain; Member States may deviate from hierarchy where lifecycle GHG justify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End-of-waste status is a regulatory gate before product can be sold; Art. 4(2) deviation provides legal route for NL to prioritise HTL where GHG savings are demonstrably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classification gate</w:t>
            </w:r>
          </w:p>
          <w:p w:rsidR="00000000" w:rsidDel="00000000" w:rsidP="00000000" w:rsidRDefault="00000000" w:rsidRPr="00000000" w14:paraId="000000C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Art. 4(2) deviation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Circulair Materialenplan (CMP)</w:t>
            </w:r>
          </w:p>
          <w:p w:rsidR="00000000" w:rsidDel="00000000" w:rsidP="00000000" w:rsidRDefault="00000000" w:rsidRPr="00000000" w14:paraId="000000D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Replaces LAP3, Dec 2025</w:t>
            </w:r>
          </w:p>
          <w:p w:rsidR="00000000" w:rsidDel="00000000" w:rsidP="00000000" w:rsidRDefault="00000000" w:rsidRPr="00000000" w14:paraId="000000D1">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not listed as standard processing route for sewage sludge; operators must argue case-by-case that HTL represents higher-quality processing than the minimum standard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Case-by-case approval/no routine permit increases timeline and regulatory risk for pre-commercial operators; advocacy for CMP revision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standard permit route</w:t>
            </w:r>
          </w:p>
          <w:p w:rsidR="00000000" w:rsidDel="00000000" w:rsidP="00000000" w:rsidRDefault="00000000" w:rsidRPr="00000000" w14:paraId="000000D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future revision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Omgevingswet / BAL</w:t>
            </w:r>
          </w:p>
          <w:p w:rsidR="00000000" w:rsidDel="00000000" w:rsidP="00000000" w:rsidRDefault="00000000" w:rsidRPr="00000000" w14:paraId="000000D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in force Jan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Environmental permit now required under Omgevingswet for HTL installations; food-derived waste requires additional NVWA authorisation under Reg. (EC) 1069/2009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Dual permitting requirement (Omgevingswet + NVWA) extends pre-commercial timeline; must be resolved before scale-up of mixed airport waste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dual permit burden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instruments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 Innovation Fund (CfDs)</w:t>
            </w:r>
          </w:p>
          <w:p w:rsidR="00000000" w:rsidDel="00000000" w:rsidP="00000000" w:rsidRDefault="00000000" w:rsidRPr="00000000" w14:paraId="000000E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 (EU) 2023/959, Art. 1(13)(h)</w:t>
            </w:r>
          </w:p>
          <w:p w:rsidR="00000000" w:rsidDel="00000000" w:rsidP="00000000" w:rsidRDefault="00000000" w:rsidRPr="00000000" w14:paraId="000000E4">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Carbon Contracts for Difference guarantee strike price for pre-commercial producers; covers up to 60% of costs via grants or up to 100% via competitive bidding; eligible for pre-commercial SAF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Revenue certainty from CfD makes pre-commercial HTL bankable without full market maturity; closes gap identified in Overholm (2017) on alliance formation pre-bankability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bankability instrument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Programma SDL</w:t>
            </w:r>
          </w:p>
          <w:p w:rsidR="00000000" w:rsidDel="00000000" w:rsidP="00000000" w:rsidRDefault="00000000" w:rsidRPr="00000000" w14:paraId="000000E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~€300M allocated</w:t>
            </w:r>
          </w:p>
          <w:p w:rsidR="00000000" w:rsidDel="00000000" w:rsidP="00000000" w:rsidRDefault="00000000" w:rsidRPr="00000000" w14:paraId="000000EB">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Capital support for e-SAF and alcohol-to-jet production scale-up; managed by RVO; aligned with ERE framework from Jan 2026; cannot be combined with SDE++ for same batch (anti-stacking)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directly relevant public instrument for HTL pilot at current pre-commercial stage; anti-stacking rule requires explicit business model choice between SDL and SDE++ revenue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capital de-risking</w:t>
            </w:r>
          </w:p>
          <w:p w:rsidR="00000000" w:rsidDel="00000000" w:rsidP="00000000" w:rsidRDefault="00000000" w:rsidRPr="00000000" w14:paraId="000000F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anti-stacking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Tijdelijke wet Klimaat- en energiefonds</w:t>
            </w:r>
          </w:p>
          <w:p w:rsidR="00000000" w:rsidDel="00000000" w:rsidP="00000000" w:rsidRDefault="00000000" w:rsidRPr="00000000" w14:paraId="000000F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 Art. 2(2)(b), closes Jan 2031</w:t>
            </w:r>
          </w:p>
          <w:p w:rsidR="00000000" w:rsidDel="00000000" w:rsidP="00000000" w:rsidRDefault="00000000" w:rsidRPr="00000000" w14:paraId="000000F3">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Multi-year €35B fund covering GHG-reducing techniques in the business sector; no new revenues accepted from Jan 2031; measures must be additional to pre-2022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Time-limited window creates urgency; HTL projects qualifying under Art. 2(2)(b) must reach funding decision before 2031 closure, constraining pre-commercial development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funding access</w:t>
            </w:r>
          </w:p>
          <w:p w:rsidR="00000000" w:rsidDel="00000000" w:rsidP="00000000" w:rsidRDefault="00000000" w:rsidRPr="00000000" w14:paraId="000000F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- 2031 deadline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CORSIA</w:t>
            </w:r>
          </w:p>
          <w:p w:rsidR="00000000" w:rsidDel="00000000" w:rsidP="00000000" w:rsidRDefault="00000000" w:rsidRPr="00000000" w14:paraId="000000F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ICAO Res. A42-22, para. 6, 20</w:t>
            </w:r>
          </w:p>
          <w:p w:rsidR="00000000" w:rsidDel="00000000" w:rsidP="00000000" w:rsidRDefault="00000000" w:rsidRPr="00000000" w14:paraId="00000100">
            <w:pPr>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use reduces airline offset purchase obligations for international flights; same batch cannot be double-claimed under both CORSIA and EU ETS; no mandatory SAF volume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alternative compliance value stream for HTL-SAF sold to non-EU international routes; double-claim prohibition requires explicit offtake contract specification of which scheme applies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additional market</w:t>
            </w:r>
          </w:p>
          <w:p w:rsidR="00000000" w:rsidDel="00000000" w:rsidP="00000000" w:rsidRDefault="00000000" w:rsidRPr="00000000" w14:paraId="000001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contract complexity</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0"/>
          <w:szCs w:val="20"/>
        </w:rPr>
      </w:pPr>
      <w:r w:rsidDel="00000000" w:rsidR="00000000" w:rsidRPr="00000000">
        <w:rPr>
          <w:rtl w:val="0"/>
        </w:rPr>
      </w:r>
    </w:p>
    <w:tbl>
      <w:tblPr>
        <w:tblStyle w:val="Table3"/>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885"/>
        <w:gridCol w:w="1275"/>
        <w:gridCol w:w="840"/>
        <w:gridCol w:w="1320"/>
        <w:gridCol w:w="1320"/>
        <w:gridCol w:w="1320"/>
        <w:tblGridChange w:id="0">
          <w:tblGrid>
            <w:gridCol w:w="2280"/>
            <w:gridCol w:w="885"/>
            <w:gridCol w:w="1275"/>
            <w:gridCol w:w="84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 scenario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 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LCC 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LCC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LCC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(conventional jet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SAF blend (2.5x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SAF blend (2.5x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SAF blend (1.5x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bl>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Dutch level, the Omgevingswet and Besluit activiteiten leefomgeving (BAL) implement EU waste classifications. Neither LAP3 nor CMP lists HTL as a standard route for sewage sludge, so permits require case-by-case approval with higher risk and longer timelines (Ministerie van Infrastructuur en Waterstaat, n.d.). CMP classifies liquid fuel from waste as other recovery, not recycling. Where CMP chain plans remain incomplete, LAP3 sector plans still govern used oil, plastics, and animal by-products (Ministerie van Infrastructuur en Waterstaat, 2019). Schiphol's mixed waste may require compliance with both frameworks by fraction; food-derived waste needs separate NVWA authorisation under Regulation (EC) No 1069/2009.</w:t>
      </w:r>
    </w:p>
    <w:p w:rsidR="00000000" w:rsidDel="00000000" w:rsidP="00000000" w:rsidRDefault="00000000" w:rsidRPr="00000000" w14:paraId="0000012B">
      <w:pPr>
        <w:pStyle w:val="Heading1"/>
        <w:spacing w:after="240" w:before="240" w:line="360" w:lineRule="auto"/>
        <w:jc w:val="both"/>
        <w:rPr/>
      </w:pPr>
      <w:bookmarkStart w:colFirst="0" w:colLast="0" w:name="_heading=h.39089jl0ndgb" w:id="17"/>
      <w:bookmarkEnd w:id="17"/>
      <w:r w:rsidDel="00000000" w:rsidR="00000000" w:rsidRPr="00000000">
        <w:rPr>
          <w:rtl w:val="0"/>
        </w:rPr>
        <w:t xml:space="preserve">​4. Business Model Innovation and the Sustainable Business Model: Definitional Foundations</w:t>
      </w:r>
    </w:p>
    <w:p w:rsidR="00000000" w:rsidDel="00000000" w:rsidP="00000000" w:rsidRDefault="00000000" w:rsidRPr="00000000" w14:paraId="0000012C">
      <w:pPr>
        <w:pStyle w:val="Heading2"/>
        <w:spacing w:after="240" w:before="240" w:line="360" w:lineRule="auto"/>
        <w:jc w:val="both"/>
        <w:rPr/>
      </w:pPr>
      <w:bookmarkStart w:colFirst="0" w:colLast="0" w:name="_heading=h.32r7jnh6dnzu" w:id="18"/>
      <w:bookmarkEnd w:id="18"/>
      <w:r w:rsidDel="00000000" w:rsidR="00000000" w:rsidRPr="00000000">
        <w:rPr>
          <w:rtl w:val="0"/>
        </w:rPr>
        <w:t xml:space="preserve">4.1 The Business Model as Unit of Analysis</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model transformation analysis requires definitional clarity. Geissdoerfer et al. (2018b) note that the field of business model innovation remains somewhat ambiguous. Across the literature, a business model is understood as the architecture of value creation, delivery, and capture (Teece, 2010). Richter (2013) applies Osterwalder and Pigneur's (2009) canvas to analyse incumbent energy-sector strategies rather than design new ones; in German utilities, incumbents developed viable models for large-scale renewables but not for distributed generation, suggesting fit with existing industry recipes may matter more than technological readiness. Foss and Saebi (2017) define business model innovation as designed, novel, nontrivial changes to key elements and/or their architecture. Adding a SAF procurement line is modular change; redesigning airport waste management as a circular feedstock supply chain is architectural change, and the literature reviewed below finds the latter more difficult.</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 to a sustainability context, it only becomes more difficult. Boons and Ludeke-Freund (2013) find that many sustainable innovation studies have treated firms as black boxes, disregarding how these new technologies actually reach the market, how value chains are governed, and how financial benefits are distributed. To support sustainable innovation, according to them, the value proposition must deliver measurable ecological or social value with economic value, the supply chain must make sure upstream suppliers share accountability, the customer interface must motivate not displace responsibility, and the financial model must reflect appropriate distribution of costs and benefits across all actors. These are presented as normative design criteria, not descriptive, which separates them from frameworks like Geissdoerfer et al. (2018a) which describe what they do not what they should do. These additions are relevant to the waste-to-SAF challenge as neither the feedstock supply from Schiphol’s waste streams nor the financial returns from SAF compliance is governed by a single firm. The value proposition for circular aviation fuel is insufficient without coherent, in-place technology financing, fuel production, blending, and certification infrastructure. This is challenging given the degree of separation between them, and thus must be aligned in some means for success rather than assumed away.</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et al. (2024), reviewing 1,032 BMI publications (2000-2021), find growing interest in sustainable/circular BMI but limited ecosystem-level analysis, highly relevant to ENLENS where value spans waste generators, operators, certifiers, and fuel consumers. Shakeel et al. (2020) distinguish BMI (novelty in each component), SBM (sustainability embedded in components), and SBMI (both co-present), requiring coordinated change across the entire business model.</w:t>
      </w:r>
    </w:p>
    <w:p w:rsidR="00000000" w:rsidDel="00000000" w:rsidP="00000000" w:rsidRDefault="00000000" w:rsidRPr="00000000" w14:paraId="00000130">
      <w:pPr>
        <w:pStyle w:val="Heading2"/>
        <w:spacing w:after="240" w:before="240" w:line="360" w:lineRule="auto"/>
        <w:jc w:val="both"/>
        <w:rPr/>
      </w:pPr>
      <w:bookmarkStart w:colFirst="0" w:colLast="0" w:name="_heading=h.seh32oalm5bn" w:id="19"/>
      <w:bookmarkEnd w:id="19"/>
      <w:r w:rsidDel="00000000" w:rsidR="00000000" w:rsidRPr="00000000">
        <w:rPr>
          <w:rtl w:val="0"/>
        </w:rPr>
        <w:t xml:space="preserve">4.2 From Sustainable to Circular: A Necessary Distinction</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sustainable and circular business models comes with an important caveat. Circular business models are considered a subcategory of sustainable business models by Geissdoerfer et al. (2020), as they specifically focus on cycling, extending, intensifying, or dematerializing material and energy loops. Each of these changes the value proposition, value creation and delivery, and value capture differently. Whether CBMs are a subcategory of SBMs is contested in this literature. Sometimes sustainability is seen as an essential part of circularity, sometimes circularity is defined just in terms of closing resource loops. Geissdoerfer et al. (2020) note this and that only some CBM conceptualizations incorporate sustainability aspects. A circular model is necessary, but not enough by itself for sustainability. In other words, lowering waste and resource use is vital, but doesn’t on its own create social benefits, fair outcomes, or lower overall consumption. Relevant to this, Hofmann (2019) finds that most circular business model research adopts ecological modernist logic, focusing on decoupling economic growth from resource consumption, although not questioning growth itself, and paying less attention to rebound effects and social equity. This means that for HTL-from-waste, SAF from airport waste closes a loop and reduces lifecycle emissions relative to fossil kerosene, provided the business model enables additional aviation growth, which may increase absolute emissions. Thus, whether waste-to-SAF is a truly sustainable business model comes down not only to the circular logic of the conversion pathway but also to the governance framework that determines whether it enables or constrains aviation sector emissions in absolute terms.</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difference between circular economy and sustainability also exists throughout the literature. Pieroni et al. (2019) find that circular economy- and sustainability-oriented business model innovation have largely developed along separate paths, based on a systematic review of 92 approaches to BMI for circular economy and sustainability. They find CE-oriented approaches have resource efficiency, resource longevity, and economic growth as their core value drivers, leaving social relevance as a secondary effect.  Social impact, meaningful work, ethical sourcing, and long-term business viability are just as important as profit to sustainability-oriented approaches. For HTL from airport waste, the conversion is CE-oriented as it closes a material loop, but whether it is genuinely sustainable turns on governance choices about whether the end product enables or constrains total fuel emissions. This was also asked by Hofmann (2019) about rebound effects. Both streams are mainly focused on sensing and seizing. Only 20% of approaches address implementation and organizational change. For waste-to-fuel, the design, implementation gap is a symptom of missing institutional, supply-chain, and financial conditions rather than business model design by itself. Thus, the design-implementation gap identified by Geissdoerfer et al. (2018b) isn’t just a firm-level management problem. For waste-to-fuel, this shows the absence of the institutional, supply chain, and financial conditions that a circular business model would need in practice.</w:t>
      </w:r>
    </w:p>
    <w:p w:rsidR="00000000" w:rsidDel="00000000" w:rsidP="00000000" w:rsidRDefault="00000000" w:rsidRPr="00000000" w14:paraId="00000133">
      <w:pPr>
        <w:pStyle w:val="Heading2"/>
        <w:spacing w:after="240" w:before="240" w:line="360" w:lineRule="auto"/>
        <w:jc w:val="both"/>
        <w:rPr/>
      </w:pPr>
      <w:bookmarkStart w:colFirst="0" w:colLast="0" w:name="_heading=h.p566aliegavq" w:id="20"/>
      <w:bookmarkEnd w:id="20"/>
      <w:r w:rsidDel="00000000" w:rsidR="00000000" w:rsidRPr="00000000">
        <w:rPr>
          <w:rtl w:val="0"/>
        </w:rPr>
        <w:t xml:space="preserve">4.3 Business Model Innovation Types and the Scale of Required Change</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Bidmon and Knab (2018) attempt to combine business model innovation together with sustainability transitions theory. They propose that business models in such societal transitions play the role of barriers (by locking in the current system via cognitive lock-in and structural path dependencies that blind managers to new value creation opportunities), as facilitators (by helping new technologies scale up to become business opportunities), and as independent niche innovations (by challenging the old system with new ways of doing business, even without major technological breakthroughs). This paper's waste-to-SAF pathway approach is most like the second role, as the technology is a niche innovation, and the business model must be designed to turn it into a commercially viable operation. For ENLENS, this means primarily a study of the business model conditions that enable a pre-commercial technology to become commercial within the regulatory window, spurred by escalating SAF mandates.​</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bibliometric-systematic review of the oil and gas sector under pressure, Nguyen and Mori (2026) identified three main paths: double down on existing sectors, branch out into new sectors and maintain the existing ones, or go all-in on the sustainable alternative. The latter, more transformative ones, aren’t common and are enabled primarily by specific conditions such as small scale, government ownership, a declining mature asset base, and first-mover advantages, making this of interest to the aviation sector’s aspirations. Most airlines and airports will continue down the second path, though, adding SAF procurement to existing conventional fuel contracts at the minimum blending ratios. The waste-to-SAF circular business model at Schiphol, however, requires at least some actors to cover the costs of the radical transformation. Nguyen and Mori (2026) also find a rational disconnect between public sustainability commitments and actual investment behavior parted by conflicting policy signals. Nguyen and Mori (2026) find the hypocrisy disconnect between firm's sustainability commitments and their actual investment patterns, largely because market incentives and government policies often wander in different directions. This works well with Bidmon and Knab's (2018) cognitive lock-in concept but with strategic rational adaptation to contradictory identified as the barrier, not incumbent blindness, which means there might be several remedies.  Bidmon and Knab focus on changing how firms think, whereas Nguyen and Mori see consistent government policy as necessary to make sustainable business model innovation commercially attractive and rational enough to remedy the strategic hypocrisy.</w:t>
      </w:r>
    </w:p>
    <w:p w:rsidR="00000000" w:rsidDel="00000000" w:rsidP="00000000" w:rsidRDefault="00000000" w:rsidRPr="00000000" w14:paraId="00000136">
      <w:pPr>
        <w:pStyle w:val="Heading2"/>
        <w:spacing w:after="240" w:before="240" w:line="360" w:lineRule="auto"/>
        <w:jc w:val="both"/>
        <w:rPr/>
      </w:pPr>
      <w:bookmarkStart w:colFirst="0" w:colLast="0" w:name="_heading=h.x7yspuod9117" w:id="21"/>
      <w:bookmarkEnd w:id="21"/>
      <w:r w:rsidDel="00000000" w:rsidR="00000000" w:rsidRPr="00000000">
        <w:rPr>
          <w:rtl w:val="0"/>
        </w:rPr>
        <w:t xml:space="preserve">4.4 Review Approach and Structure</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will proceed thematically by covering five interconnected bodies of knowledge. The first will cover the conceptual foundations of business model innovation and sustainable business model theory, to place the problems faced in waste-to-SAF in the existing landscape. The following section will then cover how regulatory pressure translates into business model change, both in the greater energy transition and also aviation-specific literature on SAF economics and adoption. The section thereafter covers business model design and the challenge of waste valorization as a value-creation logic, drawing on the industrial ecology and circular economy literature. The next section covers ecosystem dynamics, coalition formation, and governance mechanisms that make multi-actor circular value chains viable, with a focus on co-evolution between value and supply chains. The following section covers financial viability, risk allocations, and design implementation gaps. The final section then covers the gaps and contributions of the existing literature and the framework that can be derived thereof.</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synthesizes the definitional building blocks reviewed in this section, moving from the business model as unit of analysis through sustainable and circular distinctions to the scale of change the waste-to-SAF pathway requires.</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Business model innovation and the sustainable business model, key definitional building blocks</w:t>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40"/>
        <w:gridCol w:w="2595"/>
        <w:gridCol w:w="2670"/>
        <w:gridCol w:w="1605"/>
        <w:tblGridChange w:id="0">
          <w:tblGrid>
            <w:gridCol w:w="1590"/>
            <w:gridCol w:w="840"/>
            <w:gridCol w:w="2595"/>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 as unit of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Teece (2010)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business model is the architecture of value creation, delivery, and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analytical lens for the whole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Sets the baseline lens the whole review uses to analyse the waste-to-SAF pathway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Modular vs. architectural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Foss and Saebi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BMI is designed, nontrivial change to a model's elements or their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Distinguishes incremental procurement from systemic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Adding SAF procurement is modular; redesigning airport waste into a circular feedstock chain is architectural, and the harder of the two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 with existing recipe over tech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Richter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German utilities, incumbents built viable models for large-scale renewables but not distributed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Industry recipe fit may outweigh technological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Suggests fit with the existing aviation fuel recipe may matter as much as HTL's technical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 innovation design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Boons and Ludeke-Freund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 innovation requires ecological/social value, shared upstream accountability, a motivating customer interface, and fair cost/benefit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Normative design criteria, not descriptive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single firm governs feedstock or compliance value; alignment across actors is a precondition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BMI / SBM / SBMI distinction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Shakeel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BMI, SBM, and SBMI differ in where novelty and sustainability co-occur across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coordinated change across the entire business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Waste-to-SAF needs SBMI-level coordination, not a single-component tweak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Ecosystem-level gap in BMI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of 1,032 BMI publications finds growing interest in sustainable/circular BMI but limited ecosystem-level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Names a systematic gap in the 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Directly names the gap this paper's ecosystem-spanning waste-to-SAF case is positioned to help fill</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 vs. circular business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CBM as subcategory of SBM (contested)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Geissdoerfer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business models focus on cycling, extending, or dematerialising loops; whether this is automatically sustainable is contested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logic is necessary but not sufficient for 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Closing the waste loop via HTL is necessary but not sufficient for genuine sustainability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Ecological modernist blind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Hofmann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CBM research decouples growth from resource use without questioning growth itself, and underweights rebound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Rebound and absolute emissions remain under-examined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waste-to-SAF simply enables more flying, absolute emissions could still rise even as the loop closes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 vs. sustainability-oriented BMI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Pieroni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CE-oriented work centres resource efficiency and growth; sustainability-oriented work centres social impact and long-term viability; only ~20% address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Design-implementation gap is institutional, not just managerial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design-implementation gap in waste-to-fuel is an institutional and financial gap, not just a modelling weakness</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Scale of required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 facilitator / niche innovator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Bidmon and Knab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models in sustainability transitions act as barriers, facilitators, or independent niche innovations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Frames how pre-commercial pathways become 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Frames waste-to-SAF as a niche innovation that needs a business model built around it to become commercially viable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Paths for incumbents under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Nguyen and Mori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Oil and gas incumbents typically double down, diversify, or (rarely) go all-in on the alternative; transformation is enabled by scale, ownership, and asset-age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actors diversify minimally under contradictory policy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airports/airlines will diversify minimally; Schiphol's HTL pathway asks some actors to absorb the cost of the more radical path</w:t>
            </w:r>
          </w:p>
        </w:tc>
      </w:tr>
    </w:tbl>
    <w:p w:rsidR="00000000" w:rsidDel="00000000" w:rsidP="00000000" w:rsidRDefault="00000000" w:rsidRPr="00000000" w14:paraId="0000018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pStyle w:val="Heading1"/>
        <w:spacing w:after="240" w:before="240" w:line="360" w:lineRule="auto"/>
        <w:jc w:val="both"/>
        <w:rPr/>
      </w:pPr>
      <w:bookmarkStart w:colFirst="0" w:colLast="0" w:name="_heading=h.3j8g2k59esaq" w:id="22"/>
      <w:bookmarkEnd w:id="22"/>
      <w:r w:rsidDel="00000000" w:rsidR="00000000" w:rsidRPr="00000000">
        <w:rPr>
          <w:rtl w:val="0"/>
        </w:rPr>
        <w:t xml:space="preserve">​5. Literature: Policy as a Co-Evolutionary Force</w:t>
      </w:r>
    </w:p>
    <w:p w:rsidR="00000000" w:rsidDel="00000000" w:rsidP="00000000" w:rsidRDefault="00000000" w:rsidRPr="00000000" w14:paraId="00000187">
      <w:pPr>
        <w:pStyle w:val="Heading2"/>
        <w:spacing w:after="240" w:before="240" w:line="360" w:lineRule="auto"/>
        <w:jc w:val="both"/>
        <w:rPr/>
      </w:pPr>
      <w:bookmarkStart w:colFirst="0" w:colLast="0" w:name="_heading=h.u5rgjyx3zi6e" w:id="23"/>
      <w:bookmarkEnd w:id="23"/>
      <w:r w:rsidDel="00000000" w:rsidR="00000000" w:rsidRPr="00000000">
        <w:rPr>
          <w:rtl w:val="0"/>
        </w:rPr>
        <w:t xml:space="preserve">5.1 Policy as Business Model Shaper: A Discussion of Co-evolutionary Dynamics</w:t>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turning to the Dutch and Schiphol-specific case, it is worth first laying out the macro-level SAF policy discussion at the EU level, since this is what the Dutch instruments discussed later sit on top of. The relationship of governmental policy and the business model isn't simply push and pull; rather, it is described in the literature as one of co-evolution. A review of 45 articles on governmental policy and business model interactions, with a focus on circular economy, by Wasserbaur et al. (2022) finds that regulatory and legislative instruments primarily impact model value propositions, cost structures, and revenue models, and that business models are able to adapt to, exploit, and reshape those instruments in return. Their policy-BMI interaction matrix is directly applicable to ENLENS: the ReFuelEU penalty floor shapes how SAF suppliers make their value proposition, the EU ETS zero-rating for SAF changes cost structures for airlines (European Commission, 2018, Art. 38(2)), and the SDL program and SDE++ feed-in premium affect revenue models for conversion technology operators.</w:t>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Bryant et al. (2019), using a content analysis of 63 government energy strategy documents from Europe and Australasia, find that these strategies almost universally fail to engage with the business model effects of their own targets. Their idea of the energy rhetoric gap is relevant: governments talk boldly about energy transformation but typically don't assess if the business models they assume will be created are actually financially feasible, as with the EU SAF framework. The ReFuelEU’s obligations and fines for non-compliance don’t specify viable business models, and there is no historical template for waste-derived circular aviation fuel pathways either. Though not enough to dismiss the policy as inadequate, the ENLENS research addresses a gap the regulation presupposes will be filled by market actors and researchers, and thus, the paper is relevant. Bryant et al. (2019), interestingly identified six governmental energy-policy discourses: Energy Scout, Energy Pontificator, Energy Muddler, Political Footballer, Pure Politics, and Neoliberal Energy Economics. This typology is useful to classify how governments approach transition governance. The Dutch regulation currently seems closest to the Energy Scout discourse, given their long term targets with active state coordination and support for new pathways. Even in this role though, as Bryant et al. note, this type of government assumes viable business models emerge without specifying how.</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of six German energy-sector business models by Leisen et al. (2019) and 34 expert interviews found a disproportionate concentration of regulatory risk on revenue streams relative to costs, and that niche-dependent business models are structurally vulnerable to policy change. Their separation of two types of regulatory risk works well for SAF, with the first being direct, with price-setting tools like feed-in tariffs or blending premiums to shape financial return. The second is indirect, with rules governing market access, eligibility, and certification that determine who can participate. On the direct side, the ReFuelEU’s compliance premium creates real revenue risk when mandates are weakened or non-compliance penalties are changed. On the indirect side, a few questions remain to be answered before the possibility of commercial operation. For example, whether HTL feedstocks qualify under RED III Annex IX Part A, whether HTL-derived SAF can be certified through ASTM pathways, and whether sewage sludge is actually an eligible feedstock under CMP rules?</w:t>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Style w:val="Heading2"/>
        <w:spacing w:after="240" w:before="240" w:line="360" w:lineRule="auto"/>
        <w:jc w:val="both"/>
        <w:rPr/>
      </w:pPr>
      <w:bookmarkStart w:colFirst="0" w:colLast="0" w:name="_heading=h.pmcbs37xjga" w:id="24"/>
      <w:bookmarkEnd w:id="24"/>
      <w:r w:rsidDel="00000000" w:rsidR="00000000" w:rsidRPr="00000000">
        <w:rPr>
          <w:rtl w:val="0"/>
        </w:rPr>
        <w:t xml:space="preserve">5.2 Lessons from the Energy Transition: Collaboration Mechanisms and the Chicken-and-Egg Problem</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transition literature provides perhaps the most relevant material to assist in the SAF challenge. Both involve incumbent-dominated regulated sectors undergoing policy-mandated changes toward novel fuel or energy pathways, and both are characterized by the chicken-and-egg problem of coordinating investments. Everyone is waiting to see what others do before acting, but nobody can know what will happen until someone acts first. In their study of Finnish distributed energy systems, Hellstrom et al. (2015) created a collaboration mechanism concept to address this problem. Collaboration mechanisms trigger and sustain cooperative value creation and capture by identifying value drivers in each ecosystem partner’s business model and matching them to overcome barriers to ecosystem formation. Their biogas-for-traffic case covers a long-term fixed-price fuel supply contract, which acts as the collaboration mechanism by resolving investor uncertainty by making the fuel supplier’s revenue predictable, securing downstream commitments from bus operators by guaranteeing fuel availability, and coordinating business model change across firms that previously had no relationship. This is a clear connection and is relevant to HTL operators at Schiphol, who are securing long-term SAF offtake agreements with airlines while simultaneously negotiating waste supply contracts with municipal waste authorities.</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Wainstein and Bumpus (2016) argue that business models can both reinforce the current carbon-intensive system and also help new, innovative companies challenge and change it. Studying the U.S. solar third-party ownership market shows that financial innovation, especially the design of third-party ownership contracts and power purchase agreements that made these installations bankable, was vital to enabling market-scale deployment of residential photovoltaics. Unique to this study was that business models are the primary unity of analysis in the niche-regime interactions not technologies. Two different business models can use the same technology with two different outcomes. The resistance to carbon transition by the existing players is best understood as lock-in at the business model level. Financial innovation, specifically power purchase agreements and tax equity structures that made solar installations bankable without upfront cost for the customer was the main driver of the deployment, separate from solar panel technology development. Al-Saleh and Mahroum (2015) took a different approach as they looked into business response to different policy instruments, while Wainstein and Bumpus looked into the role of business models in the niche-regime interaction and arguing that financial innovation helps niche players to take on incumbents. For waste-to-SAF financial instrument design, specifically how off-take agreements, blending contracts, public co-investment, and carbon credit mechanisms are structured, may have a greater impact on commercial success than differences in HTL technology performance within its normal operating range.</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Al-Saleh and Mahroum (2015) provide a model to understand how aviation actors will respond to SAF mandates. The paper argues that the dominant technology-push and demand-pull framing in innovation policy literature is lacking as it views business behavior as a response to technology availability and economic incentive, rather than specific policy instruments. Their stick, carrot, and sermon typology captures behavioral responses. Stick-type, like mandatory blending requirements or fines typically lead to buck-passing, in which compliance costs are unloaded onto other parties without creating new value. Carrot-type, like SDL capital subsidies, can lead to carpet-bagging, in which actors exploit temporary financial incentives but don't build for the long term. Sermon-type, on the other hand, like government sustainability frameworks, can lead to value-driven actions but only where entrepreneurial interest was before the financial support. This applies differently to SAF than it did for Al-Saleh and Mahroum, as aviation both in stick through the mandate, carrot through the SDL, SDE++, and CfDs, and sermon through the Luchtvaartnota and Klimaatplan. So the actor's response depends on which instrument is most relevant to the business model instead of a single type. Airlines and airports may respond with buck-passing if their business model is primarily designed around compliance. Opportunistic actors are likely to exploit SDL or SDE++ subsidies without building durable supply chains. Genuinely committed actors, on the other hand, may create circular fuel pathways as strategic vehicles for transformation. The ENLENS study considers which of these is emerging among Dutch aviation ecosystem actors.</w:t>
      </w:r>
    </w:p>
    <w:p w:rsidR="00000000" w:rsidDel="00000000" w:rsidP="00000000" w:rsidRDefault="00000000" w:rsidRPr="00000000" w14:paraId="00000190">
      <w:pPr>
        <w:pStyle w:val="Heading2"/>
        <w:spacing w:after="240" w:before="240" w:line="360" w:lineRule="auto"/>
        <w:jc w:val="both"/>
        <w:rPr/>
      </w:pPr>
      <w:bookmarkStart w:colFirst="0" w:colLast="0" w:name="_heading=h.u4s1kwy0x5ce" w:id="25"/>
      <w:bookmarkEnd w:id="25"/>
      <w:r w:rsidDel="00000000" w:rsidR="00000000" w:rsidRPr="00000000">
        <w:rPr>
          <w:rtl w:val="0"/>
        </w:rPr>
        <w:t xml:space="preserve">5.3 SAF-Specific Evidence on Aviation Business Model Pressure</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Gössling and Humpe (2023) model four SAF cost scenarios toward net zero and find aviation's volume-growth, low-margin model is unlikely to survive heavy SAF dependence without fare restructuring; even the cheapest synthetic fuel path would require roughly 80% higher average fares by 2050, setting a ceiling on adoption regardless of supply-side innovation.</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Liang et al. (2026) find that SAF blending mandates require subsidies covering at least 70% of the cost differential to restore airline profitability under a 5% blend, a logic relevant beyond China. Karanki and Yu (2026) show mandate costs fall unevenly across airlines: low-cost carriers, with more price-sensitive customers and lower markups, bear disproportionate burdens at low blending levels. ReFuelEU's non-compliance fine (Article 12) caps what buyers will pay, constraining pass-through regardless of airline pricing strategy.</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Muller and Wittmer (2026) find Swiss firms prefer certified high-blend SAF but often lack budget authority; corporate WTP on long-haul routes falls far below market prices, pointing to internal governance rather than preference as the barrier. Smith et al. (2017) find airline offtake commitment, not technology or policy, drives SAF adoption in the U.S. Pacific Northwest: projects become bankable only when long-term offtake agreements with credible airlines are secured.</w:t>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policy seems to be backing this direction though, with ICAO calling on states and industry to promote SAF and lower carbon aviation fuel purchase agreements to meet its goal of net-zero international aviation emissions by 2050 (International Civil Aviation Organization, 2022, para. 27c). The European Commission in its Sustainable Transport Investment Plan (European Commission, 2025) further backs this. It reported that  as of 2024, only 0.6% of all jet fuel dispensed at EU airports was SAF, despite the 2% mandate having entered into force that same year. Further, not.a single eSAF project in the EU had reached a final investment decision by late 2025, blaming the differences in expectations by airlines on the length of offtake agreements and the amount a producer would need. The Commission's proposed response would be to create a double-sided auction in which a public or quasi-public body holds long-term supply contracts on one side and concludes shorter-term ones with the airlines, absorbing the refinancing risk. This type of collaboration is outlined in the literature as necessary to overcome the chicken-and-egg problem of coordination. The STIP shows that the design-implementation gap isn't specific to HTL but all new SAF pathways and that closing it will require more than just normal contracting.</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studies frame SAF viability as business model- and governance-dependent rather than technical: identical technologies can succeed or fail depending on cost and risk allocation and coalition sustainability. ReFuelEU Article 5's anti-tankering obligation anchors demand geographically at Schiphol (European Parliament &amp; Council of the European Union, 2023a, Art. 5), while Article 15's book-and-claim feasibility study (results expected Q2 2026) could widen the buyer pool or introduce competition for local producers.</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synthesizes the policy-business model co-evolution literature reviewed in this section, from macro-level policy shaping through energy-transition collaboration mechanisms to SAF-specific demand-side evidence.</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Policy as a co-evolutionary force, key concepts and SAF-specific evidence</w:t>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65"/>
        <w:gridCol w:w="1770"/>
        <w:gridCol w:w="2670"/>
        <w:gridCol w:w="1605"/>
        <w:tblGridChange w:id="0">
          <w:tblGrid>
            <w:gridCol w:w="1590"/>
            <w:gridCol w:w="1665"/>
            <w:gridCol w:w="1770"/>
            <w:gridCol w:w="267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 business model shaper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Policy-business model co-evolution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Wasserbaur et al.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and business models co-evolve; neither is a fixed input to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shapes and is shaped by business model 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ReFuelEU and Dutch instruments set constraints but do not specify who builds HTL capacity or how costs are 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 enabler, not automatic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Bryant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energy strategies treat policy as enabling business model change rather than guaranteeing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alone does not create viable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SDL and ReFuelEU create conditions; ENLENS must still show who captures value and bears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Incumbent adaptation under policy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Leisen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German energy incumbents adapted business models unevenly under Energiewende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Incumbents adapt selectively, not uniformly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Airports and fuel incumbents may adopt SAF procurement without circular feedstock redesign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Energy-transition collaboration 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models as system stabiliser or disruptor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Wainstein and Bumpus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models can reinforce carbon-intensive systems or enable low-carbon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Collaboration design determines direction of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coalition must deliberately redistribute value or reinforce existing fuel-chain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actor response to mandates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Al-Saleh and Mahroum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Airlines respond to SAF mandates through compliance, lobbying, or voluntary leadership depending on cost and reputation incentives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Predicts heterogeneous airline responses at Schiphol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KLM-style leadership is one path; minimum-compliance procurement is the default</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SAF-specific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Sector-level fare and growth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Gössling and Humpe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Aviation's volume-growth, low-margin model is unlikely to survive heavy SAF dependence without fare restructuring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Sets a ceiling on voluntary SAF uptake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successful HTL supply may face demand limits if fare structures cannot absorb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Mandate subsidy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Liang et al.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 blending mandates require subsidies covering at least 70% of the cost differential to restore airline profitability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support shapes viable blending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Dutch/EU support instruments must close a similar gap for pre-commercial HTL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Uneven mandate cost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Karanki and Yu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Low-cost carriers bear disproportionate SAF costs at low blending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pass-through is constrained by airline business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ReFuelEU fine caps buyer willingness to pay, limiting pass-through to passengers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demand-side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Muller and Wittmer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Swiss firms prefer high-blend SAF but often lack internal budget authority; WTP falls below market prices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governance, not preference, is the barrier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voluntary demand for Schiphol-origin SAF depends on buyer-side budget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Offtake as adoption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Smith et al.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 offtake commitment, not technology or policy alone, drives SAF project bankability in the U.S. Pacific Northwest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Long-term offtake precedes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at Schiphol needs credible airline offtake before capital deployment</w:t>
            </w:r>
          </w:p>
        </w:tc>
      </w:tr>
    </w:tbl>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Heading1"/>
        <w:spacing w:after="240" w:before="240" w:line="360" w:lineRule="auto"/>
        <w:jc w:val="both"/>
        <w:rPr/>
      </w:pPr>
      <w:bookmarkStart w:colFirst="0" w:colLast="0" w:name="_heading=h.p6niczr3gfkp" w:id="26"/>
      <w:bookmarkEnd w:id="26"/>
      <w:r w:rsidDel="00000000" w:rsidR="00000000" w:rsidRPr="00000000">
        <w:rPr>
          <w:rtl w:val="0"/>
        </w:rPr>
        <w:t xml:space="preserve">​6. Circular Business Model Design and Waste Valorization as Value Creation Logic</w:t>
      </w:r>
    </w:p>
    <w:p w:rsidR="00000000" w:rsidDel="00000000" w:rsidP="00000000" w:rsidRDefault="00000000" w:rsidRPr="00000000" w14:paraId="000001E0">
      <w:pPr>
        <w:pStyle w:val="Heading2"/>
        <w:spacing w:after="240" w:before="240" w:line="360" w:lineRule="auto"/>
        <w:jc w:val="both"/>
        <w:rPr/>
      </w:pPr>
      <w:bookmarkStart w:colFirst="0" w:colLast="0" w:name="_heading=h.i19bb2r3xpzq" w:id="27"/>
      <w:bookmarkEnd w:id="27"/>
      <w:r w:rsidDel="00000000" w:rsidR="00000000" w:rsidRPr="00000000">
        <w:rPr>
          <w:rtl w:val="0"/>
        </w:rPr>
        <w:t xml:space="preserve">6.1 Circular Business Model Architecture in Industrial Contexts</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Whilst the circular business model literature has primarily covered manufacturing, the frameworks it has developed remain useful for circular fuel pathways. Though before examining such, there is a legal constraint to mention that shapes what claims HTL-from-waste can make. The Waste Framework Directive (European Parliament &amp; Council of the European Union, 2008) in the Article 4 waste hierarchy, ranks prevention, preparing for re-use, recycling, other recovery, and disposal in descending order of preference. Article 3(17) defines recycling to exclude energy recovery and the reprocessing of materials to be used as fuels. Thus, HTL, which converts waste into a fuel precursor, is technically other recovery, not recycling. For ENLENS, this means that HTL can't be presented as a recycling operation in filings and disclosures, limiting reputation and policy value for Schiphol. That having been said, under Article 4(2), Member States can depart from the hierarchy where justified, giving a legal avenue for the Netherlands to pursue HTL when lifecycle GHG savings are superior. This is a real path, but not a default win. Article 6(1) sets out the conditions HTL biocrude must meet to cease being classified as waste and be traded as a commercial product: it must have a specific use, an established market, meet technical requirements, and not cause overall environmental harm. Until the end of waste status is established for biocrude, the product can't be sold into commercial fuel supply chains. This regulatory gate must be considered (European Parliament &amp; Council of the European Union, 2008, Art. 6).</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Geissdoerfer et al. (2018a) find optimal circular performance when value proposition, creation/delivery, and capture all go circular simultaneously. Kaipainen et al. (in press) confirm this empirically: the most successful Finnish and Italian circular transitions innovated at both firm and supply-chain level, and neither alone sufficed.</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capital-intensive, regulated adjacent industry of heavy-duty vehicle manufacturing, Chirumalla et al. (2024) create a grounded readiness framework for circular economy transition. Similarly to the above studies, they find a requirement for simultaneous progress across four main areas. Specifically, the ecosystem of external partners, the customer and business model, the company's culture and internal capabilities, and design and product development. The main contribution of this is the demonstration that these four don’t advance in succession, but rather co-evolve. Firms attempting a circular transition in a successive manner risk discovering later on that earlier choices locked out important ecosystem partners. Applied to the HTL-from-waste case, this implies that feedstock supply chain design (ecosystem of external partners), SAF certification and offtake contract design (customer and business model), Schiphol's own circular economy positioning (culture and capabilities), and HTL process optimization and feedstock quality standards (design and product development) must all advance together from early in the coalition formation process. It is important to keep in mind, conceptually, that Chirumalla et al.'s readiness framework is intended for a single focal firm making an internal transition, where the four areas are within one organization. For HTL, these four areas sit within different ones, so readiness must occur across all legal entities, not just one.</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Hansen and Revellio (2020) identify four reverse-cycle configurations in consumer electronics: vertical integration, network, outsourcing, and laissez-faire. Standardised recycling suits outsourcing; asset-specific pathways like HTL require more vertical integration than typical closed-loop activities, even though EU law classifies HTL as other recovery.</w:t>
      </w:r>
    </w:p>
    <w:p w:rsidR="00000000" w:rsidDel="00000000" w:rsidP="00000000" w:rsidRDefault="00000000" w:rsidRPr="00000000" w14:paraId="000001E5">
      <w:pPr>
        <w:pStyle w:val="Heading2"/>
        <w:spacing w:after="240" w:before="240" w:line="360" w:lineRule="auto"/>
        <w:jc w:val="both"/>
        <w:rPr/>
      </w:pPr>
      <w:bookmarkStart w:colFirst="0" w:colLast="0" w:name="_heading=h.ksvuxkut89bg" w:id="28"/>
      <w:bookmarkEnd w:id="28"/>
      <w:r w:rsidDel="00000000" w:rsidR="00000000" w:rsidRPr="00000000">
        <w:rPr>
          <w:rtl w:val="0"/>
        </w:rPr>
        <w:t xml:space="preserve">6.2 Waste Valorization and the Open Circular Economy Business Model</w:t>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Fedele and Formisano (2023) introduce the concept of the open circular economy business model to describe models that open their doors to externally generated waste streams rather than only to internally generated ones. They cover the case of Saxa Gres, which began converting municipal waste incinerator ash into high-quality ceramic tile production. This is super relevant to HTL, as both involve material that was previously a public liability and now has the opportunity to become commercially valuable, generate revenue, and remove removal costs for that organization. This is in contrast to the traditional closed-loop CEBM that recirculates internal waste within a company's own production. The open model treats external waste as a strategic input. This distinction applies to the HTL pathway, where Schiphol's waste becomes a feedstock for a third-party. In the Fedele and Formisano (2023) document, the multi-actor value distribution starts with value flowing to the commercial producer via cost reduction and the advantage provided by ecolabel certification, continuing to the waste-generating municipality, which avoids disposal costs and environmental compliance difficulty, before then moving to the regional community via employment and environmental protection. This is quite similar to the expected value distribution of the Schiphol HTL case, with value going to Schiphol via avoided waste disposal costs and SAF compliance contribution, to the HTL operator via conversion revenue and green premium, to airlines via ReFuelEU compliance value, FEETS free allowance eligibility, and finally to the wider regulatory system by showing an advanced biofuel pathway and reduction of lifecycle emissions.</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CMP regulatory gap for HTL processing of sewage sludge remains of concern in Dutch policy. At the EU level, the Circular Economy Action Plan (European Commission, 2020) targets developing EU-wide end of waste criteria for key waste streams and harmonize the application of status rules, which is relevant to the classification of biocrude as exit waste to enter commercial fuel supply. Section 4.3 of the Action Plan finds the lack of such criteria as a barrier for scaling, which is also identified in this review. The planned carbon removal certification framework in Section 6.1 could create an additional future revenue stream for waste-to-SAF if it can demonstrate substantially lower lifecycle emissions than fossil kerosene. Although not yet available for aviation, this should be considered. Kanda et al. (2024) have several challenge types they see are the same across all circular business model archetypes and those that are unique. For industrial symbiosis ventures, they find long permit processes as a sector-specific institutional barrier while waste classification ambiguity occurs mainly in food and agricultural sectors where regulatory frameworks focus on food chain protection instead of circular recovery. For HTL, this is important, give has both the permit issue typical of industrial symbiosis and the ambiguity. For ENLENS, the Article 23 of the Waste Framework Directive (European Parliament &amp; Council of the European Union, 2008) requires any facility carrying out waste treatment, including HTL conversion, to get a permit from the competent authority, which means additional compliance work. Article 5(1), however, gives an alternative classification. If airport waste streams can satisfy the conditions for by-product status, they could bypass waste classification completely. This is an open question. Dutch guidance specifies that by product status means that the intended use of the material is certain, lawful, and of sufficiently high value, with the burden of proof lying with the holder not the permitting authority (Ministerie van Infrastructuur en Waterstaat, 2019). For Schiphol's waste, certainty of use would require a binding offtake agreement, for example, before by-product status could even be claimed, which goes back to the chicken-and-egg coordination issue. The classification that makes the feedstock easiest to supply is itself dependent on the commercial commitment from the rest of the value chain. This classification will likely be assessed case by case for now, given it having done so in the past (Ministerie van Infrastructuur en Waterstaat, 2019). Throughout the literature, legitimacy and strategic partnership formation are identified as binding constraints on circular venture scaling, rather than technology maturity or capital availability, which supports the governance focus of the ENLENS research question. In other words, the molecules are ready, but institutional legitimacy and coalition stability may not be.</w:t>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Coproduct revenue growth is an important sign of SAF's long-term prospects as well. The study by Short et al. (2014) of British Sugar’s evolution over three decades into a multi-product biorefinery serves as such a precedent. Coproduct revenue, in this case, grew from a small fraction to approximately 25% of total revenue via a series of internal loop-closing innovations. New regulatory conditions and supply chain partnerships at each stage allowed so. Circular business model transformation in capital-intensive, regulated industrial sectors is hence possible, but long-cycled. Essentially, their sugar waste becoming biorefinery feedstock under the UK renewable fuel obligation is structurally incredibly similar to SAF from waste under the ReFuelEU. including the technology-licensing partnership with Praj Industries for biorefinery technology and the Vivergo joint venture with BP and DuPont that scaled bioethanol production, supports Hellstrom et al.'s (2015) previously mentioned collaboration mechanism framework. British Sugar's mechanisms are more technology and equity partnerships rather than Hellstrom's fixed-price offtake contract.</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et al. (2017) provide a diagnostic methodology in their value-uncaptured framework that we can use for the ENLENS design phase. First, there is value surplus, which means value exists but is unrequired. Second, there is a value absence: value is required but does not exist. Third is value missed, meaning it exists but remains unexploited. Fourth is value destroyed, which means that it's generating negative outcomes. These map well onto the Schiphol state of waste, with 'value destroyed' perhaps the most relevant. Mixed waste currently generates disposal costs and incineration emissions that impose costs on multiple actors without creating any returns. The value missed is the conversion opportunity: chemical energy and organic carbon in mixed airport waste streams have productive potential that HTL can access, but incineration destroys. Value absence is the infrastructural gap, as the certified conversion and offtake infrastructure that facilitates systematic waste-to-fuel recovery at a commercial scale does not yet exist. And finally, value surplus is the regulatory opportunity, given that SAF compliance value created by ReFuelEU mandates exceeds what the current tiny SAF market can absorb, leaving a structural excess of demand-side compliance needs over supply-side production capacity.</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synthesizes the circular business model design and waste valorization literature reviewed in this section, separating architectural design logic from open circular economy and valorization mechanics.</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Circular business model design and waste valorization, key concepts</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35"/>
        <w:gridCol w:w="2580"/>
        <w:gridCol w:w="1890"/>
        <w:gridCol w:w="1605"/>
        <w:tblGridChange w:id="0">
          <w:tblGrid>
            <w:gridCol w:w="1590"/>
            <w:gridCol w:w="1635"/>
            <w:gridCol w:w="2580"/>
            <w:gridCol w:w="189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business model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Simultaneous circularity across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Geissdoerfer et al. (2018a)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Optimal circular performance requires value proposition, creation/delivery, and capture to go circular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 circularity underperforms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must align feedstock collection, conversion, certification, and offtake simultaneously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BMI in heavy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Chirumalla et al.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Capital-intensive manufacturing transitions require staged circular BMI with supplier and customer co-development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Regulated heavy industry parallels aviation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Schiphol-HTL faces similar capital intensity and multi-tier supplier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Reverse-cycle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Hansen and Revellio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 configurations: vertical integration, network, outsourcing, laissez-faire; asset specificity drives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is asset-specific, not standardised recycling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Asset-specific HTL likely needs more vertical integration than outsourcing</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Waste valorization and open circular economy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circular economy business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Fedele and Formisano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Models operating across organisational boundaries with heterogeneous waste streams and shared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Multi-actor valorization beyond firm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waste HTL inherently requires open circular logic across operators and certifiers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Value-uncaptured diagnostic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Yang et al.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identifies uncaptured value across material, energy, and capability flows in industrial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Diagnostic for where value currently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locate where Schiphol waste value is lost before HTL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Coproduct revenue and pathway economics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Short et al.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Coproduct streams materially affect biofuel pathway viability beyond primary fuel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Revenue diversification affects bankability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coproducts may matter for pre-commercial economics if jet yield alone is insufficient</w:t>
            </w:r>
          </w:p>
        </w:tc>
      </w:tr>
    </w:tbl>
    <w:p w:rsidR="00000000" w:rsidDel="00000000" w:rsidP="00000000" w:rsidRDefault="00000000" w:rsidRPr="00000000" w14:paraId="0000021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1"/>
        <w:spacing w:after="240" w:before="240" w:line="360" w:lineRule="auto"/>
        <w:rPr/>
      </w:pPr>
      <w:bookmarkStart w:colFirst="0" w:colLast="0" w:name="_heading=h.c6qtly6fdk1u" w:id="29"/>
      <w:bookmarkEnd w:id="29"/>
      <w:r w:rsidDel="00000000" w:rsidR="00000000" w:rsidRPr="00000000">
        <w:rPr>
          <w:rtl w:val="0"/>
        </w:rPr>
        <w:t xml:space="preserve">​7. Ecosystem Dynamics, Coalition Formation, and Value Chain Governance</w:t>
      </w:r>
    </w:p>
    <w:p w:rsidR="00000000" w:rsidDel="00000000" w:rsidP="00000000" w:rsidRDefault="00000000" w:rsidRPr="00000000" w14:paraId="0000021B">
      <w:pPr>
        <w:pStyle w:val="Heading2"/>
        <w:spacing w:after="240" w:before="240" w:line="360" w:lineRule="auto"/>
        <w:rPr/>
      </w:pPr>
      <w:bookmarkStart w:colFirst="0" w:colLast="0" w:name="_heading=h.mxcivzxcmd3x" w:id="30"/>
      <w:bookmarkEnd w:id="30"/>
      <w:r w:rsidDel="00000000" w:rsidR="00000000" w:rsidRPr="00000000">
        <w:rPr>
          <w:rtl w:val="0"/>
        </w:rPr>
        <w:t xml:space="preserve">7.1 The Multi-Actor Challenge: From Firm-Level to Ecosystem-Level Analysis</w:t>
      </w:r>
    </w:p>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streams of the reviewed literature have found that a main component of circular business model innovation in infrastructure-intensive sectors is that it cannot be achieved by a single firm. No single firm can make a circular fuel value chain viable on its own. It takes a tailored ecosystem of actors working together. Konietzko et al. (2020) argue that circularity is a property of a system (such as a city's mobility system), rather than a property of an individual product or service. They create principles that give priority to the collective of actors rather than optimizing a single company’s business model. Directly applicable from this to ENLENS is their minimum viable circular ecosystem concept, the smallest actor configuration that can create and test circular value propositions, which can be used in the ENLENS design problem. For ENLENS, we need to know which actor combination can demonstrate the HTL pathway on a commercial scale before the full coalition comes together.</w:t>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Hellstrom et al. (2015) argue individual business model design is insufficient for ecosystem-level value creation; a focal actor must identify shared opportunities and manage interdependencies. Speich and Ulli-Beer (2023) shift the unit of analysis to co-evolution of value network and resource pool. For Schiphol-HTL, the resource pool comprises quantified waste streams, HTL technology, Rotterdam-SARAS pipeline infrastructure, and certification frameworks; the value network must be designed around deploying that pool so all participants achieve viable outcomes.</w:t>
      </w:r>
      <w:r w:rsidDel="00000000" w:rsidR="00000000" w:rsidRPr="00000000">
        <w:rPr>
          <w:rtl w:val="0"/>
        </w:rPr>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Brink (2022) shows offshore wind firms aligned around a shared value proposition (LCoE) without a central coordinator, extending Adner's (2017) ecosystem-as-structure logic. For waste-to-aviation, a proposition such as certified circular SAF at competitive cost could coordinate Schiphol, airlines, and HTL operators where no single orchestrator is obvious, complementing Hellstrom et al.'s (2015) focal-firm requirement.</w:t>
      </w:r>
      <w:r w:rsidDel="00000000" w:rsidR="00000000" w:rsidRPr="00000000">
        <w:rPr>
          <w:rtl w:val="0"/>
        </w:rPr>
      </w:r>
    </w:p>
    <w:p w:rsidR="00000000" w:rsidDel="00000000" w:rsidP="00000000" w:rsidRDefault="00000000" w:rsidRPr="00000000" w14:paraId="0000021F">
      <w:pPr>
        <w:pStyle w:val="Heading2"/>
        <w:spacing w:after="240" w:before="240" w:line="360" w:lineRule="auto"/>
        <w:jc w:val="both"/>
        <w:rPr/>
      </w:pPr>
      <w:bookmarkStart w:colFirst="0" w:colLast="0" w:name="_heading=h.bl2twyxc4wl4" w:id="31"/>
      <w:bookmarkEnd w:id="31"/>
      <w:r w:rsidDel="00000000" w:rsidR="00000000" w:rsidRPr="00000000">
        <w:rPr>
          <w:rtl w:val="0"/>
        </w:rPr>
        <w:t xml:space="preserve">7.2 Coalition Formation: Triggers, Barriers, and Value Chain Co-evolution</w:t>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Circular coalitions form iteratively, not by design. Bidmon and Knab (2018) attribute persistence to institutional pressure, power asymmetries, and cognitive barriers. Velter et al. (2021), studying a Dutch food SME, show sustainable BMI emerging through continuous boundary work on identity, power, competence, and efficiency; power reconfigurations prove most resistant. For HTL at Schiphol, operators must work with entrenched incumbents rather than replace them. Wadin et al. (2017) note race-to-learn risk is higher for technology alliances where knowledge is extractable than for business model co-development.</w:t>
      </w:r>
      <w:r w:rsidDel="00000000" w:rsidR="00000000" w:rsidRPr="00000000">
        <w:rPr>
          <w:rtl w:val="0"/>
        </w:rPr>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Cooperation, however, isn’t a guarantee of survival, given incumbents have their own playbook for collaboration. In the field of solar energy diffusion, Wadin et al. (2017) find that large incumbents typically use race-to-learn modes. Essentially, this is extracting codified business model components while failing to absorb tacit ones, and then ultimately defecting once they have what they need. For an HTL operator partnering with Schiphol or KLM, this poses a great risk. Though the operator’s expertise in circular feedstocks, waste characterization, and certification processes may be difficult to replicate, the market access and compliance benefits generated via the partnership are more codified and can be more easily transferred. Governance structures must thus prevent opportunistic learning. A formal joint venture with shared equity or maybe a supply-and-offtake contract over a longer period with exit barriers could help here to avoid defection in the pre-commercial scaling phase. Defecting would be deadly for a young operator here.</w:t>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it happens, this isn't a purely hypothetical governance puzzle. Mousavi and Bossink (2017) documented KLM’s biofuel program from 1995 to 2016. KLM used its position as an anchor offtaker in a novel fuel supply to develop a new sustainable fuel supply chain. It encouraged innovation across the system, helped shape supportive regulations, including via the Dutch Green Deal, co-founded the SkyNRG joint venture to oversee fuel supply, and created the Corporate Biofuel Program, which allowed corporate customers to cover the additional costs of sustainable fuel on a voluntary basis. For the SkyNRG pathway, for example, KLM is the anchor offtaker and Schiphol as a supply chain partner in the Holland BioPort initiative, which is perhaps the most similar example to the ENLENS case. </w:t>
      </w:r>
      <w:r w:rsidDel="00000000" w:rsidR="00000000" w:rsidRPr="00000000">
        <w:rPr>
          <w:rFonts w:ascii="Times New Roman" w:cs="Times New Roman" w:eastAsia="Times New Roman" w:hAnsi="Times New Roman"/>
          <w:sz w:val="24"/>
          <w:szCs w:val="24"/>
          <w:rtl w:val="0"/>
        </w:rPr>
        <w:t xml:space="preserve">Mousavi and Bossink’s analysis of the sensing, seizing, and reconfiguration capabilities that enabled KLM to coordinate this ecosystem over two decades is both practical in terms of a roadmap and in terms of the time required. Mousavi and Bossink use </w:t>
      </w:r>
      <w:r w:rsidDel="00000000" w:rsidR="00000000" w:rsidRPr="00000000">
        <w:rPr>
          <w:rFonts w:ascii="Times New Roman" w:cs="Times New Roman" w:eastAsia="Times New Roman" w:hAnsi="Times New Roman"/>
          <w:sz w:val="24"/>
          <w:szCs w:val="24"/>
          <w:shd w:fill="f4cccc" w:val="clear"/>
          <w:rtl w:val="0"/>
        </w:rPr>
        <w:t xml:space="preserve">Teece's (2007) </w:t>
      </w:r>
      <w:r w:rsidDel="00000000" w:rsidR="00000000" w:rsidRPr="00000000">
        <w:rPr>
          <w:rFonts w:ascii="Times New Roman" w:cs="Times New Roman" w:eastAsia="Times New Roman" w:hAnsi="Times New Roman"/>
          <w:sz w:val="24"/>
          <w:szCs w:val="24"/>
          <w:rtl w:val="0"/>
        </w:rPr>
        <w:t xml:space="preserve">original three capabilities, while Faccin et al. (2025), in section 6.3, add another capability called "orchestrating" for ecosystem level circular value creation. KLM's role coordinating SkyNRG does look like it could be this fourth option.</w:t>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not every ecosystem gets a KLM, which is precisely Planko et al.’s (2017) point. By applying the Technological Innovation Systems framework from an entrepreneurial perspective, the authors identify coordination as a missing function in emerging sustainability-innovation ecosystems. They further argue that fair and viable business models are a prerequisite for market formation and must be actively developed by ecosystem actors, rather than expected to emerge from regulatory incentives. This is in line with Kharbeet et al. 's (2026) empirical finding that the influence of institutional triggers, such as SAF mandates, on firm-level business model innovation is mediated by ecosystem intermediaries and gatekeepers. The triggers are translated by them into concrete value network constraints and opportunities. For ENLENS, this means it would act as a value network translation mechanism, turning regulatory pressure into a concrete, viable business model that actors in the waste-to-SAF value chain can assess and potentially adopt. Kharbeet et al.'s trigger framework did come from startup data where regulatory changes can create new opportunities and constraints. In aviation, there are established players so the ReFuelEU mandates are likely going to impact existing business, resulting in a different response.</w:t>
      </w:r>
    </w:p>
    <w:p w:rsidR="00000000" w:rsidDel="00000000" w:rsidP="00000000" w:rsidRDefault="00000000" w:rsidRPr="00000000" w14:paraId="00000224">
      <w:pPr>
        <w:pStyle w:val="Heading2"/>
        <w:spacing w:after="240" w:before="240" w:line="360" w:lineRule="auto"/>
        <w:jc w:val="both"/>
        <w:rPr/>
      </w:pPr>
      <w:bookmarkStart w:colFirst="0" w:colLast="0" w:name="_heading=h.fwo1799h2elb" w:id="32"/>
      <w:bookmarkEnd w:id="32"/>
      <w:r w:rsidDel="00000000" w:rsidR="00000000" w:rsidRPr="00000000">
        <w:rPr>
          <w:rtl w:val="0"/>
        </w:rPr>
        <w:t xml:space="preserve">7.3 Value Chain Co-evolution and the Supply Chain-Business Model Interface</w:t>
      </w:r>
    </w:p>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issue that deserves more attention is the relationship between business model innovation and the redesign of value chains and supply chains. Research on global value chains, global production networks, and supply chain management has mostly developed in parallel with business model theory, with limited integration between them. For the circular economy context, however, business models and supply chains are closely interconnected. Business models influence which supply chain arrangements are viable by defining value capture mechanisms and how costs are allocated. At the same time, the supply chain structure determines which business model configurations are feasible by defining the assets, capabilities, and relationships available to the actor. The two must thus not be treated as separate issues.</w:t>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Geissdoerfer et al. (2018a) spotlight this co-evolution requirement in their framework for circular business models and supply chain management. They don't see the closing, slowing, and intensifying material loops as optional, but rather as requiring a corresponding supply chain redesign as a necessary condition. For HTL from waste at Schiphol, this means major changes to the supply chain. Waste sorting systems must be upgraded to provide a reliable, suitable stream of feedstock. Now, logistics processes must be developed to handle wet organic waste that current airport systems aren’t designed for, and a transport route for biocrude to the upgrading facility in Rotterdam must be integrated with the existing SARAS infrastructure. These aren’t business model changes in the traditional sense, but are critical to whether the business model can actually be implemented.</w:t>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Axelson et al. (2021), studying European steel decarbonisation, find material efficiency strategies (closest to circular fuel) require greater business model change than emissions efficiency measures, mainly in value creation and delivery rather than capture. For ENLENS, this implies reconfiguring supply chains and actor networks, not just contracts or prices. Carraresi and Broring (2021), on phosphate recovery, show focal-actor choice shapes supply chain design; a dedicated intermediary may accelerate adoption faster than an incumbent transforming its core business, relevant to whether Schiphol, an airline, or a circular-fuel intermediary should lead HTL.</w:t>
      </w:r>
    </w:p>
    <w:p w:rsidR="00000000" w:rsidDel="00000000" w:rsidP="00000000" w:rsidRDefault="00000000" w:rsidRPr="00000000" w14:paraId="00000228">
      <w:pPr>
        <w:pStyle w:val="Heading2"/>
        <w:spacing w:after="240" w:before="240" w:line="360" w:lineRule="auto"/>
        <w:jc w:val="both"/>
        <w:rPr/>
      </w:pPr>
      <w:bookmarkStart w:colFirst="0" w:colLast="0" w:name="_heading=h.gzw7qsqn5ir8" w:id="33"/>
      <w:bookmarkEnd w:id="33"/>
      <w:r w:rsidDel="00000000" w:rsidR="00000000" w:rsidRPr="00000000">
        <w:rPr>
          <w:rtl w:val="0"/>
        </w:rPr>
        <w:t xml:space="preserve">7.4 Governance Frameworks for Circular Fuel Ecosystems</w:t>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case studies of three Italian circular-economy pioneers, Minoja and Romano (2024) apply three governance forms: hub-and-spoke, lead role, and shared governance to circular economy. They argue that effectiveness stems from the circular economy’s level (micro, meso, or macro), the focal actor's ownership identity, and the current effectiveness of market incentives. This is incredibly relevant for the Schiphol waste-to-SAF case. The proposed ecosystem operates at the meso level, focused on an airport network rather than a single organization or regional system. SAF markets, though increasingly supported by policy, remain dependent on regulatory incentives and aren’t yet fully commercially self-sustaining. For these conditions, Minoja and Romano recommend that shared governance is likely more effective than a hub-and-spoke model. Thus, stakeholders would participate jointly in decision-making, monitoring, and conflict resolution, thereby helping align interests. Their analysis of COMIECO, the consortium that coordinated paper and cardboard recycling in Italy, is quite relevant here. Like a potential waste-to-SAF governance vehicle, COMIECO brings together multiple supply chain actors under a shared governance structure to attain collective circular economy objectives. This narrows the focal actor debate from before. Minoja and Romano's (2024) typology makes the choice conditional on CE boundary level, ownership structure, and market incentive strength.</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Hub-and-spoke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decides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Focal firm's managers, by claimed authority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Focal firm's managers, mandated by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stakeholders, relatively equal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control, graduated sanctions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control, stakeholders to lesser extent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stakeholders monitor and sanction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chooses from a wide range of modes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acts as arbiter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Cooperative mode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formal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Benevolent patriarch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among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trust in firm and manager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in governance system and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in the governance system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effective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Micro-level CE, private ownership, market incentives work</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Macro-level CE, public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Meso-level CE, non-profit ownership, weak market incentives</w:t>
            </w:r>
          </w:p>
        </w:tc>
      </w:tr>
    </w:tbl>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equally important question is what this governance structure must actually deliver. In a related heavy-industry setting, Di Vaio et al. (2026) developed the IE-BMI framework by examining carbon-insetting practices in the European port ecosystem, focusing on how governance, digital infrastructure, and environmental claim credibility interact in ecosystem-level business model innovation, paralleling the way Axelson et al. (2021) traced differentiated business model change across the European steel industry above. They find that higher-readiness ports disclose more explicit governance mechanisms, such as data-sharing clauses, sustainability provisions in tenant contracts, and joint investment programs. This matters for the ENLENS case. Their concept of claimability as a governance standard is particularly important here. In the Di Vaio et al. framework, claimability requires four specific conditions: clearly defined value chain boundaries, demonstrable additionality relative to a counterfactual baseline, explicit attribution principles specifying who can claim which reductions, and a robust MRV architecture. SAF under ReFuelEU requires certified lifecycle emissions calculations and chain-of-custody documentation. These do not yet exist at a commercial scale for HTL from mixed airport waste. The creation of the data, monitoring, and verification infrastructure to support the credibility of claims cannot be seen solely as a technical compliance task. It is a key part of the governance that makes the circular business model work.</w:t>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synthesizes the ecosystem, coalition formation, and governance literature reviewed in this section, from multi-actor analysis through coalition dynamics to governance frameworks for circular fuel ecosystems.</w:t>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Ecosystem dynamics, coalition formation, and value chain governance, key concepts</w:t>
      </w:r>
    </w:p>
    <w:tbl>
      <w:tblPr>
        <w:tblStyle w:val="Table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60"/>
        <w:gridCol w:w="2340"/>
        <w:gridCol w:w="2205"/>
        <w:gridCol w:w="1605"/>
        <w:tblGridChange w:id="0">
          <w:tblGrid>
            <w:gridCol w:w="1590"/>
            <w:gridCol w:w="1560"/>
            <w:gridCol w:w="2340"/>
            <w:gridCol w:w="220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5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Multi-actor and ecosystem-level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Focal-actor ecosystem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Hellstrom et al.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firm-level BMI is insufficient; a focal actor must manage interdependencies across the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orchestration beyond bilateral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obvious focal actor exists yet for Schiphol HTL; role must be negotiated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value proposition without orchestrator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Brink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Offshore wind firms aligned around LCoE without a central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Ecosystem-as-structure can coordinate without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shared proposition (certified circular SAF at viable cost) could substitute for a single lead 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 network and resource pool co-evolution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Speich and Ulli-Beer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of analysis shifts to co-evolution of value network and resource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 pool must be designed with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 waste streams, HTL tech, and certification form the resource pool</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Coalition 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Iterative coalition 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Bidmon and Knab (2018); Velter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Coalitions form iteratively under institutional pressure, power asymmetries, and boundary work; power reconfiguration is hardest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Incumbent collaboration is necessary but fragile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operators must work with entrenched fuel incumbents rather than replace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Incumbent collaboration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Wadin et al.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Race-to-learn risk is higher in technology alliances with extractable knowledge than in business model co-development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Alliance type shapes knowledge leakage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 partnerships alone may not secure durable coalition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biofuel partnership precedent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Mousavi and Bossink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KLM's biofuel programme shows how airline-led procurement can anchor supplier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 offtake can orchestrate upstream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a partial precedent, though HTL adds waste and certification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Leadership and ecosystem 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Planko et al.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Technological innovation system functions explain why some ecosystems develop leaders and others 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every ecosystem produces a lead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 may need deliberate leadership design rather than assuming emergence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 chain co-evolution and governance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Material efficiency vs. emissions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Axelson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Material efficiency strategies require greater business model change than emissions efficiency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fuel is closer to material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Implies reconfiguring supply chains and actor networks, not just contracts or prices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Focal-actor choice shapes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Carraresi and Broring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Dedicated intermediary can accelerate adoption faster than incumbent core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Leadership choice is a design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to whether Schiphol, an airline, or an intermediary should lead HTL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Governance forms in circular pioneers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Minoja and Romano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Hub-and-spoke, lead-role, and shared governance each distribute power differently across circular value chains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Governance form shapes risk and value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 HTL coalition must choose among governance forms, not assume one default</w:t>
            </w:r>
          </w:p>
        </w:tc>
      </w:tr>
    </w:tbl>
    <w:p w:rsidR="00000000" w:rsidDel="00000000" w:rsidP="00000000" w:rsidRDefault="00000000" w:rsidRPr="00000000" w14:paraId="0000029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pStyle w:val="Heading1"/>
        <w:spacing w:after="240" w:before="240" w:line="360" w:lineRule="auto"/>
        <w:rPr/>
      </w:pPr>
      <w:bookmarkStart w:colFirst="0" w:colLast="0" w:name="_heading=h.cou4wveik1us" w:id="34"/>
      <w:bookmarkEnd w:id="34"/>
      <w:r w:rsidDel="00000000" w:rsidR="00000000" w:rsidRPr="00000000">
        <w:rPr>
          <w:rtl w:val="0"/>
        </w:rPr>
        <w:t xml:space="preserve">​8. Financial Viability, Risk Allocation, and the Design-Implementation Gap</w:t>
      </w:r>
    </w:p>
    <w:p w:rsidR="00000000" w:rsidDel="00000000" w:rsidP="00000000" w:rsidRDefault="00000000" w:rsidRPr="00000000" w14:paraId="00000293">
      <w:pPr>
        <w:pStyle w:val="Heading2"/>
        <w:spacing w:after="240" w:before="240" w:line="360" w:lineRule="auto"/>
        <w:rPr/>
      </w:pPr>
      <w:bookmarkStart w:colFirst="0" w:colLast="0" w:name="_heading=h.8m0ct1rf6164" w:id="35"/>
      <w:bookmarkEnd w:id="35"/>
      <w:r w:rsidDel="00000000" w:rsidR="00000000" w:rsidRPr="00000000">
        <w:rPr>
          <w:rtl w:val="0"/>
        </w:rPr>
        <w:t xml:space="preserve">8.1 The Financial Viability Problem in Circular Business Model Transitions</w:t>
      </w:r>
    </w:p>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persistent gap in the circular business model literature is also the most relevant for ENLENS. In a systematic review of financial performance assessments in circular business model transitions, Kanzari et al. (2022) show that financial evaluation is weakest in the early design and investment phases, when decisions are most important. Existing evaluation instruments, anchored in short-horizon accounting metrics, are structurally not aligned with circular business model time structures, in which value accumulates across several product lifecycles, policy-dependent revenue streams rise and fall with regulatory risk, and considerable upfront investments are preceded by uncertain, but potentially substantial, future returns. This creates trouble for HTL from waste. The conversion technology requires capital-intensive infrastructure. Furthermore, waste stream quality is heterogeneous, SAF prices depend on evolving policy, and there is no market example for the distribution of revenue among waste suppliers, technology operators, fuel certifiers, and aviation offtakers. Not captured in existing circular business model financial assessments is the cost of certification infrastructure itself. Under Commission Implementing Regulation (EU) 2022/996 (European Commission, 2022), independent third-party audits must be funded every year independently and actual greenhouse gas value approvals require accredited laboratory verification under Article 14. This is an ongoing operational expense that scales in complexity with the supply chain. For a new pathway like HTL, compared to those like HEFA where there is more experience and economies of scale, this is a cost disadvantage. The certification cost burden must thus properly be allocated across coalition members.</w:t>
      </w:r>
    </w:p>
    <w:p w:rsidR="00000000" w:rsidDel="00000000" w:rsidP="00000000" w:rsidRDefault="00000000" w:rsidRPr="00000000" w14:paraId="000002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question arises of how circular business models should be evaluated when substantial portions of the value they create fall outside conventional accounting boundaries. Expanding the scope of evaluation seems to alter the economic case. Azcarate-Aguerre et al. (2022), in a building energy retrofit context, show that product-service system business models exceed conventional procurement models on a regular basis when externalities are included in the evaluation. For example, avoiding carbon and disposal costs, residual material value, and productivity co-benefits adjust the comparative economics. Specifically, their Total Value of Ownership methodology is of interest for the ENLENS case. Azcarate-Aguerre et al.'s TVO method quantifies value capture via Net Present Value with shadow-pricing of externalities like carbon and productivity loss, making it a more concrete financial measure of value capture than the narrative approach of Geissdoerfer et al. (2018a). The economics of waste-to-SAF suddenly look much better when you consider all of the benefits created, not just the cost of producing fuel. For example, there would be lower waste-disposal costs for Schiphol, the carbon value of lifecycle emission reductions at the EU ETS carbon price, the ReFuelEU compliance premium for fuel suppliers, the FEETS free allowance benefit for airlines, and the SDL capital support program for conversion technology. Comparing SAF and fossil kerosene is limited to per-tonne fuel costs. These benefits are spread across organizations, creating a bit of a problem; this can be resolved by ensuring everyone receives enough value so it makes sense for them to take part. Another aspect missed by normal per-tonne fuel costs miss the cost of capital advantage for taxonomy aligned projects. Under the EU Taxonomy Regulation (European Parliament &amp; Council of the European Union, 2020, Art. 10(1)(h)), producing clean fuels from renewable or carbon neutral sources is listed as a substantial contribution to climate change mitigation. HTL derived SAF from airport waste that meets the required greenhouse gas savings threshold and the "do no significant harm" test under Article 17, would then be a taxonomy-aligned activity. For ENLENS, Article 8(2) requires large companies like KLM or Schiphol to disclose the proportion of their capital and operating expenditure in taxonomy aligned activities. This creates pressure on actors to increase their exposure, strengthening the long-term off take commitments and thus helping with bankability described by Overholm, 2017. This pressure now applies unevenly across the coalition. With the Omnibus Directive (EU) 2026/470, though a pre-commercial HTL operator would likely fall below the new thresholds and thus have no Taxonomy disclosure obligations, Nevertheless, voluntary reporting under the new standard may help argue that a new HTL operator is aligned with Taxonomy when looking for green or ESG-linked financing subject to Article 8(2) reporting requirements (Directive (EU) 2026/470, 2026). This leaves open the question of how that value can be captured and distributed in a way that sustains long-term participation. Ritala et al. (2021) argue that a fundamental challenge rests in how that value is distributed: given the joint nature of value creation across economic, social, and environmental domains, the majority of financial benefits tend to be captured by economic actors rather than social and environmental systems. For waste-to-SAF, both the atmosphere and the waste management system benefit from lower emissions. These reductions don’t generate income, however. Instead, they only become financially material when regulatory mechanisms such as carbon pricing and renewable fuel certifications convert environmental benefits into financial ones. The ReFuelEU and EU ETS are such instruments that can correct these asymmetries by converting these environmental common goods into financial signals. Using empirical analysis, Leisen et al. (2019) show that revenue streams built entirely on regulatory instruments, however, tend to be fragile compared to streams of revenue from real market demand. This is an important consideration for the sustained viability of waste-to-SAF as a business model. It will need to develop real market demand for certified circular SAF beyond just that created by the mandate. The Klimaatplan 2025-2035 affirms this demand floor at the Dutch level with the mission of a return to 2005 emissions levels by 2030 and a 50% cut relative to 2005 by 2050, and net zero by 2070. These are explicitly in sector measures not offsetting, so SAF at Schiphol can't be substituted with carbon credits elsewhere in the Netherlands. The Klimaatfonds is also committed in this plan which will offer funds for novel SAF production (Ministerie van Klimaat en Groene Groei, 2025).</w:t>
      </w:r>
    </w:p>
    <w:p w:rsidR="00000000" w:rsidDel="00000000" w:rsidP="00000000" w:rsidRDefault="00000000" w:rsidRPr="00000000" w14:paraId="00000296">
      <w:pPr>
        <w:pStyle w:val="Heading2"/>
        <w:spacing w:after="240" w:before="240" w:line="360" w:lineRule="auto"/>
        <w:jc w:val="both"/>
        <w:rPr/>
      </w:pPr>
      <w:bookmarkStart w:colFirst="0" w:colLast="0" w:name="_heading=h.13r7alk6fob0" w:id="36"/>
      <w:bookmarkEnd w:id="36"/>
      <w:r w:rsidDel="00000000" w:rsidR="00000000" w:rsidRPr="00000000">
        <w:rPr>
          <w:rtl w:val="0"/>
        </w:rPr>
        <w:t xml:space="preserve">8.2 Risk Allocation across the Supply Chain</w:t>
      </w:r>
    </w:p>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Sustainable circular business models require explicit mechanisms for distributing risk and value (Boons and Ludeke-Freund, 2013); their absence drives the design-implementation gap. Karanki and Yu (2026) show that without pre-designed redistribution, weaker participants bear disproportionate SAF costs, undermining coalition stability.</w:t>
      </w:r>
      <w:r w:rsidDel="00000000" w:rsidR="00000000" w:rsidRPr="00000000">
        <w:rPr>
          <w:rtl w:val="0"/>
        </w:rPr>
      </w:r>
    </w:p>
    <w:p w:rsidR="00000000" w:rsidDel="00000000" w:rsidP="00000000" w:rsidRDefault="00000000" w:rsidRPr="00000000" w14:paraId="000002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asymmetric cost burden documented by Karanki and Yu (2026) shows why circular business model design can’t assume that participation will be individually rational for every actor. Airlines bear these costs as the first actors in the value chain, but can’t fully recover them via repricing without risking passenger losses. This explains why circular business model design should not treat each actor’s participation as individually rational without looking at the distribution of value. This is addressed by Hellstrom et al. (2015) through their concept of collaboration mechanisms, showing that long-term, fixed-price contracts are highly valuable because they redistribute timing risk. Revenue and demand uncertainty are removed via committing to a given price. The initial coordination investment required to establish such a contract is shared by the buyer and seller. For HTL from waste, this means long-term SAF offtake agreements between an airline and an HTL operator would address such uncertainty. KLM could be such an anchor airline, given its SkyNRG precedent, and the HTL operator could be supported by an SDL capital investment that reduces the operator’s upfront financing burden.</w:t>
      </w:r>
    </w:p>
    <w:p w:rsidR="00000000" w:rsidDel="00000000" w:rsidP="00000000" w:rsidRDefault="00000000" w:rsidRPr="00000000" w14:paraId="000002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Overholm (2017) finds bankability is the binding constraint before other alliance problems can be addressed. For HTL, offtaker alliances are harder to build than financial partnerships, reversing the solar-PV pattern where customer alliances were straightforward. Public co-investment (EU Innovation Fund CfDs, Dutch SDL) can provide the revenue certainty financial partners require, though waste-to-SAF must still develop market demand beyond the mandate.</w:t>
      </w:r>
    </w:p>
    <w:p w:rsidR="00000000" w:rsidDel="00000000" w:rsidP="00000000" w:rsidRDefault="00000000" w:rsidRPr="00000000" w14:paraId="000002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4597400"/>
                <wp:effectExtent b="0" l="0" r="0" t="0"/>
                <wp:docPr id="1" name=""/>
                <a:graphic>
                  <a:graphicData uri="http://schemas.microsoft.com/office/word/2010/wordprocessingGroup">
                    <wpg:wgp>
                      <wpg:cNvGrpSpPr/>
                      <wpg:grpSpPr>
                        <a:xfrm>
                          <a:off x="2374200" y="1481300"/>
                          <a:ext cx="5943600" cy="4597400"/>
                          <a:chOff x="2374200" y="1481300"/>
                          <a:chExt cx="5943600" cy="4597400"/>
                        </a:xfrm>
                      </wpg:grpSpPr>
                      <wpg:grpSp>
                        <wpg:cNvGrpSpPr/>
                        <wpg:grpSpPr>
                          <a:xfrm>
                            <a:off x="2374200" y="1481300"/>
                            <a:ext cx="5943600" cy="4597400"/>
                            <a:chOff x="2373400" y="1480500"/>
                            <a:chExt cx="5945200" cy="4598225"/>
                          </a:xfrm>
                        </wpg:grpSpPr>
                        <wps:wsp>
                          <wps:cNvSpPr/>
                          <wps:cNvPr id="3" name="Shape 3"/>
                          <wps:spPr>
                            <a:xfrm>
                              <a:off x="2373400" y="1480500"/>
                              <a:ext cx="5945200" cy="459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1481300"/>
                              <a:ext cx="5943600" cy="4597400"/>
                              <a:chOff x="247375" y="147775"/>
                              <a:chExt cx="7125250" cy="5512850"/>
                            </a:xfrm>
                          </wpg:grpSpPr>
                          <wps:wsp>
                            <wps:cNvSpPr/>
                            <wps:cNvPr id="5" name="Shape 5"/>
                            <wps:spPr>
                              <a:xfrm>
                                <a:off x="247375" y="147775"/>
                                <a:ext cx="7125250" cy="551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739000" y="2020050"/>
                                <a:ext cx="2142000" cy="10455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HTL (operator intermediary venture)</w:t>
                                  </w:r>
                                </w:p>
                              </w:txbxContent>
                            </wps:txbx>
                            <wps:bodyPr anchorCtr="0" anchor="ctr" bIns="91425" lIns="91425" spcFirstLastPara="1" rIns="91425" wrap="square" tIns="91425">
                              <a:noAutofit/>
                            </wps:bodyPr>
                          </wps:wsp>
                          <wps:wsp>
                            <wps:cNvSpPr/>
                            <wps:cNvPr id="7" name="Shape 7"/>
                            <wps:spPr>
                              <a:xfrm>
                                <a:off x="252150" y="558450"/>
                                <a:ext cx="2142000" cy="104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Insurers (feedstock and asset risk)</w:t>
                                  </w:r>
                                </w:p>
                              </w:txbxContent>
                            </wps:txbx>
                            <wps:bodyPr anchorCtr="0" anchor="ctr" bIns="91425" lIns="91425" spcFirstLastPara="1" rIns="91425" wrap="square" tIns="91425">
                              <a:noAutofit/>
                            </wps:bodyPr>
                          </wps:wsp>
                          <wps:wsp>
                            <wps:cNvSpPr/>
                            <wps:cNvPr id="8" name="Shape 8"/>
                            <wps:spPr>
                              <a:xfrm>
                                <a:off x="2739000" y="152550"/>
                                <a:ext cx="2142000" cy="104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Financial partners (SDL, CfD, project debt)</w:t>
                                  </w:r>
                                </w:p>
                              </w:txbxContent>
                            </wps:txbx>
                            <wps:bodyPr anchorCtr="0" anchor="ctr" bIns="91425" lIns="91425" spcFirstLastPara="1" rIns="91425" wrap="square" tIns="91425">
                              <a:noAutofit/>
                            </wps:bodyPr>
                          </wps:wsp>
                          <wps:wsp>
                            <wps:cNvSpPr/>
                            <wps:cNvPr id="9" name="Shape 9"/>
                            <wps:spPr>
                              <a:xfrm>
                                <a:off x="5225850" y="457225"/>
                                <a:ext cx="2142000" cy="104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Financial partners (SDL, CfD, project debt)</w:t>
                                  </w:r>
                                </w:p>
                              </w:txbxContent>
                            </wps:txbx>
                            <wps:bodyPr anchorCtr="0" anchor="ctr" bIns="91425" lIns="91425" spcFirstLastPara="1" rIns="91425" wrap="square" tIns="91425">
                              <a:noAutofit/>
                            </wps:bodyPr>
                          </wps:wsp>
                          <wps:wsp>
                            <wps:cNvSpPr/>
                            <wps:cNvPr id="10" name="Shape 10"/>
                            <wps:spPr>
                              <a:xfrm rot="10800000">
                                <a:off x="5225850" y="3441625"/>
                                <a:ext cx="2142000" cy="1045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[Non-commercial] (CMP, NVWA, Schiphol)</w:t>
                                  </w:r>
                                </w:p>
                              </w:txbxContent>
                            </wps:txbx>
                            <wps:bodyPr anchorCtr="0" anchor="ctr" bIns="91425" lIns="91425" spcFirstLastPara="1" rIns="91425" wrap="square" tIns="91425">
                              <a:noAutofit/>
                            </wps:bodyPr>
                          </wps:wsp>
                          <wps:wsp>
                            <wps:cNvSpPr/>
                            <wps:cNvPr id="11" name="Shape 11"/>
                            <wps:spPr>
                              <a:xfrm rot="10800000">
                                <a:off x="2739000" y="3847525"/>
                                <a:ext cx="2142000" cy="1045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[Manufacturer] (HTL reactor supplier)</w:t>
                                  </w:r>
                                </w:p>
                              </w:txbxContent>
                            </wps:txbx>
                            <wps:bodyPr anchorCtr="0" anchor="ctr" bIns="91425" lIns="91425" spcFirstLastPara="1" rIns="91425" wrap="square" tIns="91425">
                              <a:noAutofit/>
                            </wps:bodyPr>
                          </wps:wsp>
                          <wps:wsp>
                            <wps:cNvSpPr/>
                            <wps:cNvPr id="12" name="Shape 12"/>
                            <wps:spPr>
                              <a:xfrm rot="10800000">
                                <a:off x="252150" y="3542850"/>
                                <a:ext cx="2142000" cy="1045500"/>
                              </a:xfrm>
                              <a:prstGeom prst="rect">
                                <a:avLst/>
                              </a:prstGeom>
                              <a:solidFill>
                                <a:srgbClr val="CC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[Installation partners]( biocrude logistics, build)</w:t>
                                  </w:r>
                                </w:p>
                              </w:txbxContent>
                            </wps:txbx>
                            <wps:bodyPr anchorCtr="0" anchor="ctr" bIns="91425" lIns="91425" spcFirstLastPara="1" rIns="91425" wrap="square" tIns="91425">
                              <a:noAutofit/>
                            </wps:bodyPr>
                          </wps:wsp>
                          <wps:wsp>
                            <wps:cNvSpPr/>
                            <wps:cNvPr id="13" name="Shape 13"/>
                            <wps:spPr>
                              <a:xfrm>
                                <a:off x="252150" y="5045025"/>
                                <a:ext cx="58470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Solid = required before value creation; bracketed = conditional, less critical</w:t>
                                  </w:r>
                                </w:p>
                              </w:txbxContent>
                            </wps:txbx>
                            <wps:bodyPr anchorCtr="0" anchor="t" bIns="91425" lIns="91425" spcFirstLastPara="1" rIns="91425" wrap="square" tIns="91425">
                              <a:noAutofit/>
                            </wps:bodyPr>
                          </wps:wsp>
                          <wps:wsp>
                            <wps:cNvCnPr/>
                            <wps:spPr>
                              <a:xfrm>
                                <a:off x="3810000" y="1198050"/>
                                <a:ext cx="0" cy="8220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3810150" y="1502725"/>
                                <a:ext cx="2486700" cy="517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323150" y="1603950"/>
                                <a:ext cx="2487000" cy="4161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1323150" y="3065550"/>
                                <a:ext cx="2487000" cy="477300"/>
                              </a:xfrm>
                              <a:prstGeom prst="straightConnector1">
                                <a:avLst/>
                              </a:prstGeom>
                              <a:noFill/>
                              <a:ln cap="flat" cmpd="sng" w="9525">
                                <a:solidFill>
                                  <a:srgbClr val="000000"/>
                                </a:solidFill>
                                <a:prstDash val="dot"/>
                                <a:round/>
                                <a:headEnd len="sm" w="sm" type="none"/>
                                <a:tailEnd len="med" w="med" type="triangle"/>
                              </a:ln>
                            </wps:spPr>
                            <wps:bodyPr anchorCtr="0" anchor="ctr" bIns="91425" lIns="91425" spcFirstLastPara="1" rIns="91425" wrap="square" tIns="91425">
                              <a:noAutofit/>
                            </wps:bodyPr>
                          </wps:wsp>
                          <wps:wsp>
                            <wps:cNvCnPr/>
                            <wps:spPr>
                              <a:xfrm rot="10800000">
                                <a:off x="3810000" y="3065425"/>
                                <a:ext cx="0" cy="782100"/>
                              </a:xfrm>
                              <a:prstGeom prst="straightConnector1">
                                <a:avLst/>
                              </a:prstGeom>
                              <a:noFill/>
                              <a:ln cap="flat" cmpd="sng" w="9525">
                                <a:solidFill>
                                  <a:srgbClr val="000000"/>
                                </a:solidFill>
                                <a:prstDash val="dot"/>
                                <a:round/>
                                <a:headEnd len="sm" w="sm" type="none"/>
                                <a:tailEnd len="med" w="med" type="triangle"/>
                              </a:ln>
                            </wps:spPr>
                            <wps:bodyPr anchorCtr="0" anchor="ctr" bIns="91425" lIns="91425" spcFirstLastPara="1" rIns="91425" wrap="square" tIns="91425">
                              <a:noAutofit/>
                            </wps:bodyPr>
                          </wps:wsp>
                          <wps:wsp>
                            <wps:cNvCnPr/>
                            <wps:spPr>
                              <a:xfrm rot="10800000">
                                <a:off x="3810150" y="3065425"/>
                                <a:ext cx="2486700" cy="376200"/>
                              </a:xfrm>
                              <a:prstGeom prst="straightConnector1">
                                <a:avLst/>
                              </a:prstGeom>
                              <a:noFill/>
                              <a:ln cap="flat" cmpd="sng" w="9525">
                                <a:solidFill>
                                  <a:srgbClr val="000000"/>
                                </a:solidFill>
                                <a:prstDash val="dot"/>
                                <a:round/>
                                <a:headEnd len="sm" w="sm" type="none"/>
                                <a:tailEnd len="med" w="med" type="triangle"/>
                              </a:ln>
                            </wps:spPr>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5943600" cy="45974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43600" cy="4597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B">
      <w:pPr>
        <w:pStyle w:val="Heading2"/>
        <w:spacing w:after="240" w:before="240" w:line="360" w:lineRule="auto"/>
        <w:rPr/>
      </w:pPr>
      <w:bookmarkStart w:colFirst="0" w:colLast="0" w:name="_heading=h.fdhhhieznc2j" w:id="37"/>
      <w:bookmarkEnd w:id="37"/>
      <w:r w:rsidDel="00000000" w:rsidR="00000000" w:rsidRPr="00000000">
        <w:rPr>
          <w:rtl w:val="0"/>
        </w:rPr>
        <w:t xml:space="preserve">8.3 The Design-Implementation Gap and Organizational Readiness</w:t>
      </w:r>
    </w:p>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Geissdoerfer et al. (2018b) identify this previously mentioned design implementation gap as the central unresolved practical issue for sustainable business model innovation. They see it as an array of challenges that prevent organizations from successfully implementing business model innovations, even when the designs are technically promising. For the ENLENS waste-to-SAF pathway, the gap doesn’t lie within any single firm. Rather, it’s at the ecosystem level that institutional, supply chain, and financial conditions for implementing the circular business model must be developed together. No single actor's readiness is sufficient on its own.</w:t>
      </w:r>
    </w:p>
    <w:p w:rsidR="00000000" w:rsidDel="00000000" w:rsidP="00000000" w:rsidRDefault="00000000" w:rsidRPr="00000000" w14:paraId="000002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proceed, we need to examine how organizations and their partners can build the capacity to move from promising design to coordinated, large-scale implementation. Faccin et al. (2025), in a longitudinal process study of a Brazilian petrochemical company’s transformation of its circular business model, identify four dynamic capabilities required at successive phases to achieve it. First is sensing, which is identifying circular economy opportunities. Second is seizing, which is the mobilization of resources to act on said opportunities. Third is transformation, which involves restructuring organizational capabilities to support the new model. Fourth is orchestrating, which involves mobilizing external resources from partners, suppliers, customers, and other ecosystem actors to collaboratively create value. The orchestrating capability emerges during the consolidation phase, when supply chain alignment can become a source of competitive differentiation rather than just an operational requirement, they say. For the HTL pathway, the early phases thence require sensing and seizing capabilities internal to the UvA-Schipol pilot. Commercial-scale operations require orchestrating capabilities across the entire waste-to-SAF value chain. Internal organizational conditions also need to support this transition. Coffay and Bocken (2023) call the gap between top management's sustainability commitments and the day-to-day culture on the ground the culture gap. They see this barrier to implementing a sustainable business model as underanalyzed. They use a three level organizational design framework going from cultural, strategic, to operational, with each level having to be supportive for SBMI to succeed. This is different from the design-implementation gap in Geissdoerfer et al. (2018b), which is mostly at firm level and a tooling deficit. The mentioned culture gap remains even when the design tools are in place. Both gaps are relevant for HTL from waste, though at different levels. Geissdoerfer et al.'s gap is about missing certification and contracting infrastructure across the coalition. The culture gap is in organizations like Schiphol and KLM, where sustainability teams have less urgency from procurement and operations departments. Such a gap is also relevant for airlines and airports, which have committed to ambitious net-zero targets, while their procurement, investment, and operations functions remain focused on cost minimization, which systematically disadvantages novel sustainable pathways. The ENLENS case study will explore whether a cultural gap exists among Dutch aviation stakeholders regarding the waste-to-SAF initiative. Furthermore, examining governance mechanisms such as sustainability-linked contracts or shared ownership in the conversion project helps turn these ambitions into concrete actions.​</w:t>
      </w:r>
    </w:p>
    <w:p w:rsidR="00000000" w:rsidDel="00000000" w:rsidP="00000000" w:rsidRDefault="00000000" w:rsidRPr="00000000" w14:paraId="0000029E">
      <w:pPr>
        <w:pStyle w:val="Heading2"/>
        <w:spacing w:after="240" w:before="240" w:line="360" w:lineRule="auto"/>
        <w:jc w:val="both"/>
        <w:rPr/>
      </w:pPr>
      <w:bookmarkStart w:colFirst="0" w:colLast="0" w:name="_heading=h.b4vhixe1lwzb" w:id="38"/>
      <w:bookmarkEnd w:id="38"/>
      <w:r w:rsidDel="00000000" w:rsidR="00000000" w:rsidRPr="00000000">
        <w:rPr>
          <w:rtl w:val="0"/>
        </w:rPr>
        <w:t xml:space="preserve">8.4 What the Literature Has and Has Not Addressed</w:t>
      </w:r>
    </w:p>
    <w:p w:rsidR="00000000" w:rsidDel="00000000" w:rsidP="00000000" w:rsidRDefault="00000000" w:rsidRPr="00000000" w14:paraId="000002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establishes that circular transformation in regulated sectors requires architectural change (Foss &amp; Saebi, 2017), that the design-implementation gap is systematic (Geissdoerfer et al., 2018b), and that policy alone does not create business model innovation (Bryant et al., 2019). Energy-transition literature shows coordination requires collaboration mechanisms (Hellstrom et al., 2015); waste valorization literature confirms symbiosis ventures face demanding legitimacy requirements (Kanda et al., 2024); ecosystem governance literature shows circular fuel pathways need arrangements beyond bilateral contracting (Konietzko et al., 2020); and fair value distribution is a design requirement (Boons &amp; Ludeke-Freund, 2013).</w:t>
      </w:r>
    </w:p>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does not yet address the ENLENS case: policy-driven circular innovation requiring multi-actor coalition formation in a certification-intensive sector, with pre-commercial technology converting heterogeneous feedstocks under parallel waste-management, aviation supply-chain, and carbon-accounting constraints. Aviation economics literature treats business model as a sector-level construct (Karanki &amp; Yu, 2026; Gössling &amp; Humpe, 2023) rather than firm-level value architecture, and ecosystem governance frameworks (Konietzko et al., 2020; Speich &amp; Ulli-Beer, 2023) are not grounded in aviation or circular fuel specifically.</w:t>
      </w:r>
    </w:p>
    <w:p w:rsidR="00000000" w:rsidDel="00000000" w:rsidP="00000000" w:rsidRDefault="00000000" w:rsidRPr="00000000" w14:paraId="000002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doesn't cover foundational legal classifications in determining feasibility. The Waste Framework Directive's classification of HTL as other recovery rather than recycling (European Parliament &amp; Council of the European Union, 2008, Art. 3(17)) and its end of life waste criteria (Art. 6) to even enter the market before a model can be considered. At the Dutch level, the Waste Management Act (Wet milieubeheer) sets out a waste hierarchy for household waste (Ministerie van Infrastructuur en Waterstaat, n.d., Art. 10.4), while the CMP's minimum standards (Ministerie van Infrastructuur en Waterstaat, 2025), which replaced LAP3 (Ministerie van Infrastructuur en Waterstaat, 2019), take the EU waste classifications and offer permit requirements that a Dutch HTL facility must meet for each feedstock stream. A new Circular Economy Act (Circulaire Economie-wet) is also being created that would align the Wet milieubeheer's rules on substances, products, and waste with circular-economy objectives better (Ministerie van Infrastructuur en Waterstaat, 2025). Though it's not yet adopted, its feedstock classifications of this paper will need to be reviewed. Commission Implementing Regulation (EU) 2022/996 (European Commission, 2022) sets the audit that converts physical feedstock into real sustainability claims and the quarterly mass balance clearing cycle creates cash-flow constraints that should be anticipated. RED III Article 29(1) finds the sustainability criteria burden applicable to waste-derived SAF, with the waste exemption being a potential cost advantage over the crop pathways. And the anti-tankering obligation of ReFuelEU Article 5 helps anchor demand, strengthening the concept of the local waste-to-SAF pathway. The EU ETS's zero emission factor for the biomass fraction of SAF (European Commission, 2018, Art. 38(2)) and the Innovation Fund's Carbon Contracts for Difference mechanism (European Parliament &amp; Council of the European Union, 2023c, Art. 1(13)) are both converters of claims into actual cost advantages, and thus bankable. These are the regulatory preconditions that no business model can ignore. The general Dutch climate governance framework backs this. Together, the Dutch Climate Act (Ministerie van Klimaat en Groene Groei, n.d.-a), Climate Fund (Ministerie van Klimaat en Groene Groei, n.d.-b), Climate Plan 2025, 2035 (Ministerie van Klimaat en Groene Groei, 2025), and National Energy System Plan (Ministerie van Economische Zaken en Klimaat, 2023) outline and govern the opportunity in which the waste-to-SAF business models in the Netherlands must be developed.</w:t>
      </w:r>
    </w:p>
    <w:p w:rsidR="00000000" w:rsidDel="00000000" w:rsidP="00000000" w:rsidRDefault="00000000" w:rsidRPr="00000000" w14:paraId="000002A2">
      <w:pPr>
        <w:pStyle w:val="Heading2"/>
        <w:spacing w:after="240" w:before="240" w:line="360" w:lineRule="auto"/>
        <w:jc w:val="both"/>
        <w:rPr/>
      </w:pPr>
      <w:bookmarkStart w:colFirst="0" w:colLast="0" w:name="_heading=h.2y7ell3jgy47" w:id="39"/>
      <w:bookmarkEnd w:id="39"/>
      <w:r w:rsidDel="00000000" w:rsidR="00000000" w:rsidRPr="00000000">
        <w:rPr>
          <w:rtl w:val="0"/>
        </w:rPr>
        <w:t xml:space="preserve">8.5 The Analytical Framework</w:t>
      </w:r>
    </w:p>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has yielded an analysis model for the ENLENS case study, spanning four levels. At the firm level, Foss and Saebi’s (2017) modular-versus-architectural typology is drawn upon to identify the transformation type each actor must undertake, and Bidmon and Knab’s (2018) three-role typology (barrier, facilitator, niche innovation) is used to assess each actor’s current position relative to the SAF transition. At the inter-firm level, Hellstrom et al.'s (2015) collaboration mechanism concept and Velter et al.’s (2021) boundary work model can be used to examine how coalition formation unfolds and the governance instruments required to sustain this progress through the design-to-implementation transition. At the ecosystem level, Konietzko et al.’s (2020) circular ecosystem innovation principles are fundamental, joined by Di Vaio et al.’s (2026) IE-BMI framework to assess what integrity infrastructure, insetting integrity, and ecosystem orchestration mechanisms may be in place for the circular SAF value chain to create credible and claimable environmental value. At the institutional level, the framework draws on Wasserbaur et al.’s (2022) co-evolutionary perspective on governmental policy and business model interactions, and Kharbeet et al.’s (2026) multilevel trigger taxonomy, tracing the various policy and regulations instruments and frameworks translation into business model design constraints and opportunities for the involved parties.</w:t>
      </w:r>
    </w:p>
    <w:p w:rsidR="00000000" w:rsidDel="00000000" w:rsidP="00000000" w:rsidRDefault="00000000" w:rsidRPr="00000000" w14:paraId="000002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3049428" cy="3552006"/>
                <wp:effectExtent b="0" l="0" r="0" t="0"/>
                <wp:docPr id="2" name=""/>
                <a:graphic>
                  <a:graphicData uri="http://schemas.microsoft.com/office/word/2010/wordprocessingGroup">
                    <wpg:wgp>
                      <wpg:cNvGrpSpPr/>
                      <wpg:grpSpPr>
                        <a:xfrm>
                          <a:off x="3819925" y="1879250"/>
                          <a:ext cx="3049428" cy="3552006"/>
                          <a:chOff x="3819925" y="1879250"/>
                          <a:chExt cx="3052150" cy="3885775"/>
                        </a:xfrm>
                      </wpg:grpSpPr>
                      <wpg:grpSp>
                        <wpg:cNvGrpSpPr/>
                        <wpg:grpSpPr>
                          <a:xfrm>
                            <a:off x="3821286" y="2003997"/>
                            <a:ext cx="3049428" cy="3552006"/>
                            <a:chOff x="1678525" y="543375"/>
                            <a:chExt cx="4262950" cy="4968400"/>
                          </a:xfrm>
                        </wpg:grpSpPr>
                        <wps:wsp>
                          <wps:cNvSpPr/>
                          <wps:cNvPr id="3" name="Shape 3"/>
                          <wps:spPr>
                            <a:xfrm>
                              <a:off x="1678525" y="543375"/>
                              <a:ext cx="4262950" cy="496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683300" y="548150"/>
                              <a:ext cx="4253400" cy="98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Firm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-Foss &amp; Saebi (2017) modular vs architectural changeBidmon &amp; -Knab (2018) barrier / facilitator / niche roles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-Identifies transformation type and current actor position</w:t>
                                </w:r>
                              </w:p>
                            </w:txbxContent>
                          </wps:txbx>
                          <wps:bodyPr anchorCtr="0" anchor="ctr" bIns="91425" lIns="91425" spcFirstLastPara="1" rIns="91425" wrap="square" tIns="91425">
                            <a:noAutofit/>
                          </wps:bodyPr>
                        </wps:wsp>
                        <wps:wsp>
                          <wps:cNvSpPr/>
                          <wps:cNvPr id="5" name="Shape 5"/>
                          <wps:spPr>
                            <a:xfrm>
                              <a:off x="1683300" y="1872900"/>
                              <a:ext cx="4253400" cy="98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Inter-firm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-Hellstrom et al. (2015) collaboration mechanisms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-Velter et al. (2021) boundary work model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-Governs coalition formation and design-to-implementation</w:t>
                                </w:r>
                              </w:p>
                            </w:txbxContent>
                          </wps:txbx>
                          <wps:bodyPr anchorCtr="0" anchor="ctr" bIns="91425" lIns="91425" spcFirstLastPara="1" rIns="91425" wrap="square" tIns="91425">
                            <a:noAutofit/>
                          </wps:bodyPr>
                        </wps:wsp>
                        <wps:wsp>
                          <wps:cNvSpPr/>
                          <wps:cNvPr id="21" name="Shape 21"/>
                          <wps:spPr>
                            <a:xfrm>
                              <a:off x="1683300" y="3197650"/>
                              <a:ext cx="4253400" cy="98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Ecosystem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-Konietzko et al. (2020) circular ecosystem principles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-Di Vaio et al. (2026) IE-BMI framework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-Assesses claimability and orchestration infrastructure</w:t>
                                </w:r>
                              </w:p>
                            </w:txbxContent>
                          </wps:txbx>
                          <wps:bodyPr anchorCtr="0" anchor="ctr" bIns="91425" lIns="91425" spcFirstLastPara="1" rIns="91425" wrap="square" tIns="91425">
                            <a:noAutofit/>
                          </wps:bodyPr>
                        </wps:wsp>
                        <wps:wsp>
                          <wps:cNvSpPr/>
                          <wps:cNvPr id="22" name="Shape 22"/>
                          <wps:spPr>
                            <a:xfrm>
                              <a:off x="1683300" y="4522400"/>
                              <a:ext cx="4253400" cy="98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Institutional 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-Wasserbaur et al. (2022) policy-BMI co-evolution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-Kharbeet et al. (2026) multilevel trigger taxonomy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-Traces regulation into business model constraints</w:t>
                                </w:r>
                              </w:p>
                            </w:txbxContent>
                          </wps:txbx>
                          <wps:bodyPr anchorCtr="0" anchor="ctr" bIns="91425" lIns="91425" spcFirstLastPara="1" rIns="91425" wrap="square" tIns="91425">
                            <a:noAutofit/>
                          </wps:bodyPr>
                        </wps:wsp>
                        <wps:wsp>
                          <wps:cNvCnPr/>
                          <wps:spPr>
                            <a:xfrm>
                              <a:off x="3810000" y="1532750"/>
                              <a:ext cx="0" cy="340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3810000" y="2857500"/>
                              <a:ext cx="0" cy="340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3810000" y="4182250"/>
                              <a:ext cx="0" cy="340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049428" cy="3552006"/>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049428" cy="35520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levels aren't independent; Bidmon and Knab (2018) demonstrate that firm-level business model choices are both determined by and can reshape ecosystem and institutional dynamics. Furthermore, Carraresi and Broring (2021) show that the choice of focal company role affects all subsequent supply chain configuration decisions, and Faccin et al. (2025) show that the capability that organizes and sustains ecosystem-level value creation must itself be developed in the earlier sensing, seizing, and transforming phases. This study will follow these interdependencies through ENLENS, considering the following 3 questions that were repeatedly identified as important in circular fuel pathway viability: 1) who risks the finances of technology scaling, 2) how costs and revenues are distributed amongst suppliers, operators, certifiers, and offtakers, and 3) what institutional and contractual mechanisms stabilize the coalition through the pre-commercial stage in technological and policy uncertainty.</w:t>
      </w:r>
    </w:p>
    <w:p w:rsidR="00000000" w:rsidDel="00000000" w:rsidP="00000000" w:rsidRDefault="00000000" w:rsidRPr="00000000" w14:paraId="000002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synthesizes the financial viability, risk allocation, and design-implementation gap literature reviewed in this section, including the analytical framework derived for the ENLENS case.</w:t>
      </w:r>
    </w:p>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Financial viability, risk allocation, and the design-implementation gap, key concepts</w:t>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770"/>
        <w:gridCol w:w="2730"/>
        <w:gridCol w:w="1605"/>
        <w:gridCol w:w="1605"/>
        <w:tblGridChange w:id="0">
          <w:tblGrid>
            <w:gridCol w:w="1590"/>
            <w:gridCol w:w="1770"/>
            <w:gridCol w:w="2730"/>
            <w:gridCol w:w="160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 /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model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Relevance to waste-to-SAF / HTL case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A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viability and risk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risk and value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Boons and Ludeke-Freund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 circular business models require explicit mechanisms for distributing risk and value; absence drives the design-implementation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distribution is a design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Without pre-designed redistribution, weaker coalition members bear disproportionate HTL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Asymmetric SAF cost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Karanki and Yu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Mandate costs fall unevenly across airline business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allocation cannot be assumed equitable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pass-through limits at Schiphol will fall differently on network vs. low-cost carriers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Bankability as binding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Overholm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Bankability must be secured before other alliance problems can be addressed; offtaker alliances are harder than financial partnerships for novel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Offtake precedes finance for HTL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co-investment (Innovation Fund CfDs, SDL) can provide revenue certainty financial partners require</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C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Design-implementation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Systematic design-implementation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Geissdoerfer et al. (2018b)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Circular BMI designs routinely fail at implementation because institutional, supply-chain, and financial conditions are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Gap is structural, not managerial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HTL pilot success at lab scale does not resolve implementation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Organizational readiness for circular 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Bocken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Firms need dynamic capabilities to move from promising design to operational circular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Capacity building is part of the pathway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Schiphol and partners must build readiness across waste, conversion, and certification simultaneously</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D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Analytical framework (Section 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Four-level analysis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Foss and Saebi (2017); Hellstrom et al. (2015); Konietzko et al. (2020); Boons and Ludeke-Freund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Firm, inter-firm, ecosystem, and institutional levels interact; firm choices are constrained by higher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Integrates literature reviewed in Sections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scaffold against which Section 9 interview evidence and Section 10 discussion are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ENLENS-specific literature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Synthesis (Section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existing study addresses policy-driven circular innovation requiring multi-actor coalition formation under certification-intensive aviation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Gap is case-specific, not generic 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review and the ENLENS project are positioned to address that gap empirically</w:t>
            </w:r>
          </w:p>
        </w:tc>
      </w:tr>
    </w:tbl>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pStyle w:val="Heading1"/>
        <w:spacing w:after="240" w:before="240" w:line="360" w:lineRule="auto"/>
        <w:jc w:val="both"/>
        <w:rPr/>
      </w:pPr>
      <w:bookmarkStart w:colFirst="0" w:colLast="0" w:name="_heading=h.wn7t1anfq1od" w:id="40"/>
      <w:bookmarkEnd w:id="40"/>
      <w:r w:rsidDel="00000000" w:rsidR="00000000" w:rsidRPr="00000000">
        <w:rPr>
          <w:rtl w:val="0"/>
        </w:rPr>
        <w:t xml:space="preserve">​9. Interviews: Early Evidence from the Field</w:t>
      </w:r>
    </w:p>
    <w:p w:rsidR="00000000" w:rsidDel="00000000" w:rsidP="00000000" w:rsidRDefault="00000000" w:rsidRPr="00000000" w14:paraId="000002E1">
      <w:pPr>
        <w:pStyle w:val="Heading2"/>
        <w:spacing w:after="240" w:before="240" w:line="360" w:lineRule="auto"/>
        <w:jc w:val="both"/>
        <w:rPr/>
      </w:pPr>
      <w:bookmarkStart w:colFirst="0" w:colLast="0" w:name="_heading=h.vp4kqzrhpr5y" w:id="41"/>
      <w:bookmarkEnd w:id="41"/>
      <w:r w:rsidDel="00000000" w:rsidR="00000000" w:rsidRPr="00000000">
        <w:rPr>
          <w:rtl w:val="0"/>
        </w:rPr>
        <w:t xml:space="preserve">9.1 Overview</w:t>
      </w:r>
    </w:p>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on five interviews conducted for the ENLENS project, described in Section 2.5 and summarised in the interview participants table in Section 2. The interviews were chosen to sample distinct functional positions rather than a single actor type, on the reasoning that a business model transformation of this kind cannot be read off any one actor's account. Read together, the five interviews surface a consistent pattern that recurs across every part of the value chain: a mismatch between the short-term, low-commitment way the conventional fuel market has always worked and the long-term, high-commitment way a pre-commercial SAF pathway needs to be financed. Each sub-section below reports one interview; Section 9.7 draws out the cross-cutting findings before the discussion in Section 10 reads this material against the literature.</w:t>
      </w:r>
    </w:p>
    <w:p w:rsidR="00000000" w:rsidDel="00000000" w:rsidP="00000000" w:rsidRDefault="00000000" w:rsidRPr="00000000" w14:paraId="000002E3">
      <w:pPr>
        <w:pStyle w:val="Heading2"/>
        <w:spacing w:after="240" w:before="240" w:line="360" w:lineRule="auto"/>
        <w:jc w:val="both"/>
        <w:rPr/>
      </w:pPr>
      <w:bookmarkStart w:colFirst="0" w:colLast="0" w:name="_heading=h.dh10rc306qqo" w:id="42"/>
      <w:bookmarkEnd w:id="42"/>
      <w:r w:rsidDel="00000000" w:rsidR="00000000" w:rsidRPr="00000000">
        <w:rPr>
          <w:rtl w:val="0"/>
        </w:rPr>
        <w:t xml:space="preserve">9.2 Port infrastructure: enabler, not fuel actor</w:t>
      </w:r>
    </w:p>
    <w:p w:rsidR="00000000" w:rsidDel="00000000" w:rsidP="00000000" w:rsidRDefault="00000000" w:rsidRPr="00000000" w14:paraId="000002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 of Amsterdam interview offers the clearest illustration of how far regulatory pressure now travels beyond the actors it directly obligates. The interviewee was clear that the port authority sits outside the fuel transaction chain entirely: production, storage, and blending are handled by private terminal operators, with the port's role limited to the physical and logistical conditions, land, pipeline access, jetties, and berth capacity, under which those actors operate. Even so, the port's own investment planning is shaped by the same transition. The interviewee described an ongoing discussion with a fuel producer about an e-SAF production facility, an existing biodiesel operation run by private companies at the port, and a hub concept being developed with terminal operators for barge, rail, and pipeline import of bio- and e-fuels.</w:t>
      </w:r>
    </w:p>
    <w:p w:rsidR="00000000" w:rsidDel="00000000" w:rsidP="00000000" w:rsidRDefault="00000000" w:rsidRPr="00000000" w14:paraId="000002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Blending emerged as a specific chokepoint. Kerosene delivered to Schiphol arrives already blended to final specification, which means blending has to happen upstream at the terminals, not at the airport. This is complicated by the fact that bio- and e-kerosene do not arrive in the same steady, homogeneous volumes as conventional kerosene from a refinery: they come from multiple, comparatively small production plants whose batches can differ slightly in composition, so terminals have to keep incoming volumes segregated in smaller tanks until a batch can be blended to specification. The interviewee did not see this as an investment bottleneck in itself, since terminals holding a five-year offtake contract will typically invest in the additional tank capacity needed, but the absence of such contracts at the moment means investment decisions are effectively on hold.</w:t>
      </w:r>
    </w:p>
    <w:p w:rsidR="00000000" w:rsidDel="00000000" w:rsidP="00000000" w:rsidRDefault="00000000" w:rsidRPr="00000000" w14:paraId="000002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constraints were repeatedly identified as more binding than terminal capacity itself: production-side access to green electricity and where production should be sited given how sharply renewable electricity availability varies by geography; the length of the path to financial closure for new production plants, described as taking five to six years from initial concept to output, linked to producers' difficulty securing offtake commitments from airlines unwilling to pay a premium above the regulatory minimum; and the certification and paper trail associated with SAF, described as complicated under current EU and national rules, a burden reported to the port secondhand through KLM rather than experienced directly. Asked directly which actors are essential to make SAF viable, the interviewee named airlines, airports, production plants, and the public sector, but was consistent in declining to position the port authority as a coordinating or lobbying actor in its own right, repeatedly redirecting questions about certification, blending standards, and regulatory detail to KLM, Schiphol, or the terminal operators. It is a limitation of this interview that the informant's own regulatory knowledge was general rather than detailed, which is itself informative about where policy literacy sits across the ecosystem.</w:t>
      </w:r>
    </w:p>
    <w:p w:rsidR="00000000" w:rsidDel="00000000" w:rsidP="00000000" w:rsidRDefault="00000000" w:rsidRPr="00000000" w14:paraId="000002E7">
      <w:pPr>
        <w:pStyle w:val="Heading2"/>
        <w:spacing w:after="240" w:before="240" w:line="360" w:lineRule="auto"/>
        <w:jc w:val="both"/>
        <w:rPr/>
      </w:pPr>
      <w:bookmarkStart w:colFirst="0" w:colLast="0" w:name="_heading=h.a2y9n4xeiins" w:id="43"/>
      <w:bookmarkEnd w:id="43"/>
      <w:r w:rsidDel="00000000" w:rsidR="00000000" w:rsidRPr="00000000">
        <w:rPr>
          <w:rtl w:val="0"/>
        </w:rPr>
        <w:t xml:space="preserve">9.3 KLM: SAF as cost, not business model</w:t>
      </w:r>
    </w:p>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airline interview is the most direct evidence in the interview set that a mandate does not automatically produce a business model. The interviewee, responsible for M&amp;A and holdings at KLM and a board member of a SAF joint venture the airline co-founded, was explicit that KLM sees no real value creation from SAF adoption beyond the ordinary appreciation of its minority equity stakes in producer companies. In his words, it is "just a cost for us... just cost increasing," with no business model behind the shift itself.</w:t>
      </w:r>
    </w:p>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changes since the ReFuelEU mandate came into force were described as material. First, until 2025 KLM could sell the CO2 credits generated by SAF use into the road transport sector under the old HBE unit system, which offset a meaningful share of the cost; that route closed once aviation itself became mandated, so KLM now bears the full price differential. Second, voluntary sales of SAF to passengers and corporates remain very low even though stated willingness to pay in surveys is much higher, a gap the interviewee attributed partly to a legal constraint: court rulings mean KLM can no longer market SAF as "sustainable," which the interviewee linked directly to reduced ability to sell a green premium to end customers.</w:t>
      </w:r>
    </w:p>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detailed material concerns project finance. A typical SAF project moves through three phases: a pre-feed feasibility phase costing roughly three to ten million euros, a feed phase to reach construction-ready status costing thirty to one hundred million euros, and construction itself costing five hundred million to five billion euros. Financing the feed phase, the middle phase, is described as the binding constraint, because project debt (roughly 70 percent of financing) is only available once a fixed, long-term offtake contract removes revenue risk from the project. This forces airlines into ten to fifteen year offtake commitments before a plant is built, a wholly different undertaking from the one-year fuel contracts airlines are used to. KLM's response has been to help set up a joint SAF investment fund with other airlines, its fuel supplier, and financial partners, explicitly to outsource technical due diligence on producer projects that KLM lacks the internal capability to assess project by project; the interviewee estimated fewer than five people internally are genuinely knowledgeable about SAF finance. On policy, the interviewee argued for treating SAF siting as a European rather than national question given feedstock and renewable electricity availability, and suggested redirecting EU ETS carbon-price revenue toward closing the SAF price gap rather than letting it flow into general government revenue. Asked how costs are likely to be distributed, the interviewee put the split at roughly 50 to 90 percent passed to the passenger depending on how much of a level playing field exists internationally, with the remainder absorbed by the airline.</w:t>
      </w:r>
    </w:p>
    <w:p w:rsidR="00000000" w:rsidDel="00000000" w:rsidP="00000000" w:rsidRDefault="00000000" w:rsidRPr="00000000" w14:paraId="000002EB">
      <w:pPr>
        <w:pStyle w:val="Heading2"/>
        <w:spacing w:after="240" w:before="240" w:line="360" w:lineRule="auto"/>
        <w:jc w:val="both"/>
        <w:rPr/>
      </w:pPr>
      <w:bookmarkStart w:colFirst="0" w:colLast="0" w:name="_heading=h.oc6965mlrjev" w:id="44"/>
      <w:bookmarkEnd w:id="44"/>
      <w:r w:rsidDel="00000000" w:rsidR="00000000" w:rsidRPr="00000000">
        <w:rPr>
          <w:rtl w:val="0"/>
        </w:rPr>
        <w:t xml:space="preserve">9.4 The voluntary and certificate market: a second, disconnected market</w:t>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with a former Neste employee who worked specifically on the company's emission-reduction solutions business surfaces a distinction largely absent from the rest of the draft: a physical SAF market and a separate voluntary certificate market that operates alongside it under different rules. In this model, the physical fuel is sold to airlines at Schiphol and burned in the ordinary course of operations; separately, the emission-reduction value of that fuel is decoupled and sold as a certificate to corporate buyers, typically firms with high business-travel footprints and limited ability to buy physical fuel directly, such as consultancies and banks. Certificates are issued only after the underlying fuel has actually been burned by a named airline partner, and explicitly cannot be counted by the airline itself toward its own ReFuelEU mandate; the two markets are kept legally and administratively separate.</w:t>
      </w:r>
    </w:p>
    <w:p w:rsidR="00000000" w:rsidDel="00000000" w:rsidP="00000000" w:rsidRDefault="00000000" w:rsidRPr="00000000" w14:paraId="000002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interviewee described this voluntary market as immature relative to the underlying physical market. Terminology is unsettled (SAF certificate, carbon credit, and several company-specific names are used interchangeably), and corporate sustainability teams were, at the time, waiting for the Science Based Targets initiative's aviation scope 3 guidance to be finalised before committing budget, since it was unclear whether a given purchase would count cleanly toward a company's own emissions targets. The interviewee also pointed to a lack of public benchmarking: several corporate clients had made purchases but declined to publicise them, out of concern about greenwashing accusations, which in turn slowed the emergence of the peer pressure and case studies that might have accelerated broader uptake. Cargo and freight buyers were noted as an emerging, more willing segment relative to passenger-side corporate travel.</w:t>
      </w:r>
    </w:p>
    <w:p w:rsidR="00000000" w:rsidDel="00000000" w:rsidP="00000000" w:rsidRDefault="00000000" w:rsidRPr="00000000" w14:paraId="000002EE">
      <w:pPr>
        <w:pStyle w:val="Heading2"/>
        <w:spacing w:after="240" w:before="240" w:line="360" w:lineRule="auto"/>
        <w:jc w:val="both"/>
        <w:rPr/>
      </w:pPr>
      <w:bookmarkStart w:colFirst="0" w:colLast="0" w:name="_heading=h.4q0nzdi0mfbm" w:id="45"/>
      <w:bookmarkEnd w:id="45"/>
      <w:r w:rsidDel="00000000" w:rsidR="00000000" w:rsidRPr="00000000">
        <w:rPr>
          <w:rtl w:val="0"/>
        </w:rPr>
        <w:t xml:space="preserve">9.5 Technology supply: following the customer through the value chain</w:t>
      </w:r>
    </w:p>
    <w:p w:rsidR="00000000" w:rsidDel="00000000" w:rsidP="00000000" w:rsidRDefault="00000000" w:rsidRPr="00000000" w14:paraId="000002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with a catalyst manufacturer supplying SAF producers, including a long-standing collaboration with Neste on HEFA catalyst, illustrates how a transition of this kind propagates upstream to actors with no direct fuel market exposure. The interviewee described the change inside the company less as a new division and more as a reallocation of an existing research and development portfolio: increased attendance at SAF-specific conferences, renewed participation in EU consortium projects after a lapse, and two current EU-funded projects, one on lignocellulosic feedstock to SAF via pyrolysis and one on algae to SAF via hydrothermal liquefaction, the same conversion technology used in the ENLENS HTL pilot, though applied there to plastics rather than algae.</w:t>
      </w:r>
    </w:p>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interviewee's account of the company's role changing across technology readiness levels is a useful complement to the dynamic capabilities material already in the literature review: at low readiness levels the company acts in an advisory capacity, since it does not fund fundamental research itself, and its commercial role grows as a pathway approaches manufacturing scale, since catalyst supply at scale is where the company actually earns revenue. On feedstock, the interviewee flagged a cross-sectoral dynamic not otherwise present in the draft: the ethanol industry, facing declining gasoline-blending demand as road transport electrifies, is actively repositioning toward alcohol-to-jet SAF as an alternative outlet for the same production base, and a similar reconsideration is underway in parts of the paper and pulp industry regarding biomass streams. On investment horizon, the interviewee estimated ten to twenty years as the period the company needs before committing to a joint technology development effort, tied explicitly to how much clarity exists on the regulatory framework a given pathway will operate under. Geography of partnership was described as driven more by technology fit than by national policy specifically, since the company's customers operate internationally regardless of where a given plant is sited.</w:t>
      </w:r>
    </w:p>
    <w:p w:rsidR="00000000" w:rsidDel="00000000" w:rsidP="00000000" w:rsidRDefault="00000000" w:rsidRPr="00000000" w14:paraId="000002F1">
      <w:pPr>
        <w:pStyle w:val="Heading2"/>
        <w:spacing w:after="240" w:before="240" w:line="360" w:lineRule="auto"/>
        <w:jc w:val="both"/>
        <w:rPr/>
      </w:pPr>
      <w:bookmarkStart w:colFirst="0" w:colLast="0" w:name="_heading=h.5hts33z0r3a0" w:id="46"/>
      <w:bookmarkEnd w:id="46"/>
      <w:r w:rsidDel="00000000" w:rsidR="00000000" w:rsidRPr="00000000">
        <w:rPr>
          <w:rtl w:val="0"/>
        </w:rPr>
        <w:t xml:space="preserve">9.6 An integrated energy major: risk allocation as the core problem</w:t>
      </w:r>
    </w:p>
    <w:p w:rsidR="00000000" w:rsidDel="00000000" w:rsidP="00000000" w:rsidRDefault="00000000" w:rsidRPr="00000000" w14:paraId="000002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Shell interview is the most theoretically direct of the five, and largely in its own terms restates the central argument this paper is making from a practitioner's seat. The interviewee, responsible for partnerships and technology in Shell's low carbon fuels business, framed the entire transition as a problem of allocating a set of risks, market risk, technology risk, asset risk, feedstock supply risk, CO2 policy risk, project financeability risk, and insurance risk, among actors who each, in his account, tend to see only their own side of the exposure. He offered his own metaphor for the practical consequence: bringing the value chain's actors into a viable business model, in his words, requires something closer to a marriage counsellor than a commercial negotiator, because the disagreement is less about numbers than about each party failing to see the other's risk position as legitimate.</w:t>
      </w:r>
    </w:p>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mechanism he described lines up closely with the horizon mismatch KLM's interviewee also raised, from the opposite side of the negotiating table: producers need ten to twenty year offtake commitments to secure project debt, while airlines are structured, financially and organisationally, around six-month to one-year fuel purchasing. He pointed to the EU's proposed double-sided auction mechanism and the UK's Revenue Certainty Mechanism, both already referenced in this paper's policy section, as direct government responses to exactly this mismatch: a public or quasi-public intermediary signs the long-dated contract with the producer and offers airlines a shorter, more familiar commitment, absorbing the horizon risk itself. He also described extreme risk-spreading behaviour among the interviewee's own banking counterparties, citing a Dutch SAF project financed by a consortium of eleven banks as an example of lenders themselves refusing to hold concentrated exposure to a single pre-commercial pathway.</w:t>
      </w:r>
    </w:p>
    <w:p w:rsidR="00000000" w:rsidDel="00000000" w:rsidP="00000000" w:rsidRDefault="00000000" w:rsidRPr="00000000" w14:paraId="000002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Shell's own strategy, the interviewee described a deliberate pattern of entering a new fuel or feedstock market first as a trader, to build customer relationships and market knowledge, before committing to production investment, which he offered as the reason Shell stepped back from a planned HEFA production plant while continuing to expand its SAF trading book. He was candid that value capture shifts along the chain over time depending on the relative scarcity of feedstock versus processing capacity, a dynamic that echoes the catalyst supplier's account of HEFA feedstock and processing capacity converging. On new entrants, he distinguished established peers such as BP, Total, and Eni from a larger population of unproven project developers whose commercial pitches were not always matched by delivery capability, and gave a vivid account of the cultural gap between Shell's petrochemical safety culture and the far more informal operating norms of some agricultural-sector feedstock partners, a point that maps closely onto the boundary-work and culture-gap material already covered in Sections 6 and 7 of the literature review. Asked for his own view on policy design, he argued that the EU's feedstock- and pathway-specific rules (Annex IX sub-categories, differentiated treatment of HEFA versus e-SAF versus advanced pathways) are, in his words, more prescriptive than the outcome-based carbon-intensity approach used in California's Low Carbon Fuel Standard, and that this granularity raises cost and slows volume without a clear offsetting benefit, citing an industry estimate that e-SAF currently runs ten to fifteen times the cost of fossil jet fuel. He flagged this as a personal view rather than a company position, and noted a political affordability risk if the cost of the transition rises faster than public willingness to pay for it.</w:t>
      </w:r>
    </w:p>
    <w:p w:rsidR="00000000" w:rsidDel="00000000" w:rsidP="00000000" w:rsidRDefault="00000000" w:rsidRPr="00000000" w14:paraId="000002F5">
      <w:pPr>
        <w:pStyle w:val="Heading2"/>
        <w:spacing w:after="240" w:before="240" w:line="360" w:lineRule="auto"/>
        <w:jc w:val="both"/>
        <w:rPr/>
      </w:pPr>
      <w:bookmarkStart w:colFirst="0" w:colLast="0" w:name="_heading=h.nwqjlcfenqjm" w:id="47"/>
      <w:bookmarkEnd w:id="47"/>
      <w:r w:rsidDel="00000000" w:rsidR="00000000" w:rsidRPr="00000000">
        <w:rPr>
          <w:rtl w:val="0"/>
        </w:rPr>
        <w:t xml:space="preserve">9.7 Cross-cutting findings from the interviews</w:t>
      </w:r>
    </w:p>
    <w:p w:rsidR="00000000" w:rsidDel="00000000" w:rsidP="00000000" w:rsidRDefault="00000000" w:rsidRPr="00000000" w14:paraId="000002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patterns recur across all five interviews and are picked up again in the discussion below. First, every interviewee who was asked, independently, identified the mismatch between short-term fuel purchasing norms and the long-term offtake commitments a pre-commercial project needs as the central practical obstacle, described in KLM's terms as a project finance problem and in Shell's terms as a risk allocation problem, but pointing at the same mechanism from opposite ends of the negotiating table. Second, actors with no direct fuel transaction exposure, the Port of Amsterdam and the catalyst supplier, both described their own investment and R&amp;D planning as shaped by the same mandate and the same offtake uncertainty that constrain producers and airlines, while both also declined to see themselves as responsible for resolving that uncertainty. Third, the interviews surfaced a second, largely separate voluntary certificate market operating in parallel to the mandated compliance market, governed by different actors (corporate sustainability buyers, standard-setters such as the Science Based Targets initiative) and different rules, which does not appear anywhere in the literature reviewed in Sections 4 through 8 and represents a genuine gap between the academic framing of SAF adoption and how the market actually operates on the ground.</w:t>
      </w:r>
    </w:p>
    <w:p w:rsidR="00000000" w:rsidDel="00000000" w:rsidP="00000000" w:rsidRDefault="00000000" w:rsidRPr="00000000" w14:paraId="000002F7">
      <w:pPr>
        <w:pStyle w:val="Heading1"/>
        <w:spacing w:after="240" w:before="240" w:line="360" w:lineRule="auto"/>
        <w:jc w:val="both"/>
        <w:rPr/>
      </w:pPr>
      <w:bookmarkStart w:colFirst="0" w:colLast="0" w:name="_heading=h.w0bejwwoiraq" w:id="48"/>
      <w:bookmarkEnd w:id="48"/>
      <w:r w:rsidDel="00000000" w:rsidR="00000000" w:rsidRPr="00000000">
        <w:rPr>
          <w:rtl w:val="0"/>
        </w:rPr>
        <w:t xml:space="preserve">​10. Discussion</w:t>
      </w:r>
    </w:p>
    <w:p w:rsidR="00000000" w:rsidDel="00000000" w:rsidP="00000000" w:rsidRDefault="00000000" w:rsidRPr="00000000" w14:paraId="000002F8">
      <w:pPr>
        <w:pStyle w:val="Heading2"/>
        <w:spacing w:after="240" w:before="240" w:line="360" w:lineRule="auto"/>
        <w:jc w:val="both"/>
        <w:rPr/>
      </w:pPr>
      <w:bookmarkStart w:colFirst="0" w:colLast="0" w:name="_heading=h.xq63vunpj922" w:id="49"/>
      <w:bookmarkEnd w:id="49"/>
      <w:r w:rsidDel="00000000" w:rsidR="00000000" w:rsidRPr="00000000">
        <w:rPr>
          <w:rtl w:val="0"/>
        </w:rPr>
        <w:t xml:space="preserve">10.1 Reading the interviews against the co-evolution literature</w:t>
      </w:r>
    </w:p>
    <w:p w:rsidR="00000000" w:rsidDel="00000000" w:rsidP="00000000" w:rsidRDefault="00000000" w:rsidRPr="00000000" w14:paraId="000002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Wasserbaur et al. (2022) describe the relationship between government policy and business models as one of co-evolution rather than simple cause and effect: regulation shapes value propositions, cost structures, and revenue models, but firms and ecosystems also adapt to, exploit, and reshape the instruments available to them. Three of the five interviews illustrate this from different points in the chain. The Port of Amsterdam is not a regulated party under ReFuelEU in the way fuel suppliers and airlines are, yet its own investment planning is nonetheless being shaped by the same regulatory signal, mediated through its commercial relationships with terminal operators and producers who are directly obligated. KLM's interviewee described the withdrawal of the pre-2025 HBE credit-selling route as a direct, first-order example of an instrument change reshaping the airline's cost structure overnight, exactly the mechanism Wasserbaur et al. describe. Shell's interviewee went further, describing Shell's own trading-before-producing strategy as a deliberate exploitation of regulatory and market signals rather than a passive response to them, which is closer to the active, reshaping side of co-evolution than either of the other two accounts. Read together, the three interviews suggest co-evolution is not evenly distributed across the ecosystem: better-resourced, more integrated actors like Shell can actively reshape the instruments they operate under, while infrastructure and demand-side actors like the port and the airline are more often reacting to a fixed signal.</w:t>
      </w:r>
    </w:p>
    <w:p w:rsidR="00000000" w:rsidDel="00000000" w:rsidP="00000000" w:rsidRDefault="00000000" w:rsidRPr="00000000" w14:paraId="000002FA">
      <w:pPr>
        <w:pStyle w:val="Heading2"/>
        <w:spacing w:after="240" w:before="240" w:line="360" w:lineRule="auto"/>
        <w:jc w:val="both"/>
        <w:rPr/>
      </w:pPr>
      <w:bookmarkStart w:colFirst="0" w:colLast="0" w:name="_heading=h.3rymfv7cp901" w:id="50"/>
      <w:bookmarkEnd w:id="50"/>
      <w:r w:rsidDel="00000000" w:rsidR="00000000" w:rsidRPr="00000000">
        <w:rPr>
          <w:rtl w:val="0"/>
        </w:rPr>
        <w:t xml:space="preserve">10.2 Barrier, facilitator, or niche innovator</w:t>
      </w:r>
    </w:p>
    <w:p w:rsidR="00000000" w:rsidDel="00000000" w:rsidP="00000000" w:rsidRDefault="00000000" w:rsidRPr="00000000" w14:paraId="000002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Bidmon and Knab's (2018) three-role typology, in which business models in a sustainability transition act as barriers, facilitators, or independent niche innovations, helps locate where the interviewed actors currently sit. The Port of Amsterdam's account places it closest to the facilitator role: not resisting the transition, not itself the site of innovation, but its infrastructure decisions are what allow niche production such as the HTL pathway under study, or the e-SAF facility under discussion, to scale if demand materialises. KLM's account is harder to place cleanly. The interviewee's own framing, that SAF adoption is "just cost" with no change to KLM's underlying business model, reads as closer to the barrier role than KLM's public sustainability commitments would suggest, and is a useful corrective to any assumption that a mandated actor is automatically acting as a facilitator. Shell's dual role as both a large-scale trader and an active technology and project investor places it across two of Bidmon and Knab's categories simultaneously, facilitator through its trading infrastructure and financing activity, and a would-be niche innovator through its own production and licensing investments, which suggests the typology may need to be applied at the level of a specific activity within a firm rather than to the firm as a whole for a diversified actor like Shell.</w:t>
      </w:r>
    </w:p>
    <w:p w:rsidR="00000000" w:rsidDel="00000000" w:rsidP="00000000" w:rsidRDefault="00000000" w:rsidRPr="00000000" w14:paraId="000002FC">
      <w:pPr>
        <w:pStyle w:val="Heading2"/>
        <w:spacing w:after="240" w:before="240" w:line="360" w:lineRule="auto"/>
        <w:jc w:val="both"/>
        <w:rPr/>
      </w:pPr>
      <w:bookmarkStart w:colFirst="0" w:colLast="0" w:name="_heading=h.niwhhrku6pz" w:id="51"/>
      <w:bookmarkEnd w:id="51"/>
      <w:r w:rsidDel="00000000" w:rsidR="00000000" w:rsidRPr="00000000">
        <w:rPr>
          <w:rtl w:val="0"/>
        </w:rPr>
        <w:t xml:space="preserve">10.3 The bankability and offtake mismatch, seen from three sides</w:t>
      </w:r>
    </w:p>
    <w:p w:rsidR="00000000" w:rsidDel="00000000" w:rsidP="00000000" w:rsidRDefault="00000000" w:rsidRPr="00000000" w14:paraId="000002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interviews strongly corroborate two established findings from Sections 7 and 8 of the literature review, and add detail that the literature does not fully capture. Overholm's (2017) claim that bankability is the binding constraint before other alliance-formation problems can be addressed is echoed in near-identical terms by both KLM and Shell, from opposite sides of the same negotiation: KLM describes the ten to fifteen year offtake commitment project finance requires as a fundamentally different undertaking from ordinary fuel purchasing, and Shell describes the same mismatch as the central risk allocation problem the whole sector needs to solve. The chicken-and-egg coordination problem described by Hellstrom et al. (2015) and the European Commission's Sustainable Transport Investment Plan is visible here in more operational detail than the literature provides: KLM's account of the pre-feed, feed, and construction phases, and its identification of the feed phase specifically as the point where projects stall for lack of financeable offtake, gives the abstract coordination problem a concrete shape. What the interviews add beyond the literature is that the party with the physical infrastructure, the Port of Amsterdam, does not see coordinating this standoff as part of its remit even though its own storage and blending decisions depend on the standoff's resolution, and that government-backed intermediary mechanisms (the EU's proposed double-sided auction and the UK's Revenue Certainty Mechanism, both raised independently by Shell's interviewee) are now the concrete institutional response to exactly this gap, a development that postdates most of the literature reviewed in Section 8.</w:t>
      </w:r>
    </w:p>
    <w:p w:rsidR="00000000" w:rsidDel="00000000" w:rsidP="00000000" w:rsidRDefault="00000000" w:rsidRPr="00000000" w14:paraId="000002FE">
      <w:pPr>
        <w:pStyle w:val="Heading2"/>
        <w:spacing w:after="240" w:before="240" w:line="360" w:lineRule="auto"/>
        <w:jc w:val="both"/>
        <w:rPr/>
      </w:pPr>
      <w:bookmarkStart w:colFirst="0" w:colLast="0" w:name="_heading=h.osb24w3gj9sx" w:id="52"/>
      <w:bookmarkEnd w:id="52"/>
      <w:r w:rsidDel="00000000" w:rsidR="00000000" w:rsidRPr="00000000">
        <w:rPr>
          <w:rtl w:val="0"/>
        </w:rPr>
        <w:t xml:space="preserve">10.4 A second market the literature does not cover</w:t>
      </w:r>
    </w:p>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 demand-side literature reviewed in Section 5.3, including Gössling and Humpe (2023), Karanki and Yu (2026), and Muller and Wittmer (2026), addresses the voluntary certificate market described in the interview with the former Neste employee, in which SAF's emission-reduction value is decoupled from the physical fuel and sold separately to corporate buyers under standards such as the Science Based Targets initiative's aviation guidance. This is a genuine gap rather than a minor omission, since it means a second demand channel, governed by different actors and different rules than the ReFuelEU mandate, is currently operating alongside the mandated compliance market with no clear treatment in the academic literature on SAF adoption economics. Given that Muller and Wittmer (2026) already identify corporate willingness to pay as constrained by internal budget authority rather than preference, the existence of a parallel voluntary certificate market that struggled, at least at the time of interview, with unsettled terminology and unclear standards suggests the corporate demand-side story is more fragmented, and less well captured by a single willingness-to-pay figure, than the current literature implies.</w:t>
      </w:r>
    </w:p>
    <w:p w:rsidR="00000000" w:rsidDel="00000000" w:rsidP="00000000" w:rsidRDefault="00000000" w:rsidRPr="00000000" w14:paraId="00000300">
      <w:pPr>
        <w:pStyle w:val="Heading2"/>
        <w:spacing w:after="240" w:before="240" w:line="360" w:lineRule="auto"/>
        <w:jc w:val="both"/>
        <w:rPr/>
      </w:pPr>
      <w:bookmarkStart w:colFirst="0" w:colLast="0" w:name="_heading=h.gbnzevlx7ejm" w:id="53"/>
      <w:bookmarkEnd w:id="53"/>
      <w:r w:rsidDel="00000000" w:rsidR="00000000" w:rsidRPr="00000000">
        <w:rPr>
          <w:rtl w:val="0"/>
        </w:rPr>
        <w:t xml:space="preserve">10.5 Modular change at the edges, architectural change at the core, revisited</w:t>
      </w:r>
    </w:p>
    <w:p w:rsidR="00000000" w:rsidDel="00000000" w:rsidP="00000000" w:rsidRDefault="00000000" w:rsidRPr="00000000" w14:paraId="000003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Foss and Saebi's (2017) modular versus architectural distinction to the fuller interview set sharpens the pattern identified in the earlier draft using only the port interview. The port and the catalyst supplier both describe the changes required of them, additional storage and blending capacity in the port's case, a reallocated research and development portfolio in the catalyst supplier's case, as extensions of existing capabilities rather than a redesign of how they create or capture value. This reads as modular change in Foss and Saebi's terms. KLM's and Shell's accounts point to architectural change concentrated further upstream and in the financing structure itself: KLM's description of a joint investment fund built specifically to outsource project due diligence, and Shell's description of a fundamental reallocation of risk across the chain, both describe firms restructuring core relationships and capabilities rather than extending existing ones. This uneven distribution of change intensity, light at the infrastructure and upstream-supply layer, heavy at the financing and offtake layer, bears directly on the paper's fifth research question: operational continuity looks genuinely achievable at the port, terminal, and technology-supply level without major disruption, but the interviews suggest continuity is far less certain for producers and airlines working through the offtake and financing bottleneck, which is where Axelson et al. (2021) would predict the deepest business model change to concentrate.</w:t>
      </w:r>
    </w:p>
    <w:p w:rsidR="00000000" w:rsidDel="00000000" w:rsidP="00000000" w:rsidRDefault="00000000" w:rsidRPr="00000000" w14:paraId="00000302">
      <w:pPr>
        <w:pStyle w:val="Heading2"/>
        <w:spacing w:after="240" w:before="240" w:line="360" w:lineRule="auto"/>
        <w:jc w:val="both"/>
        <w:rPr/>
      </w:pPr>
      <w:bookmarkStart w:colFirst="0" w:colLast="0" w:name="_heading=h.s704f5js96jq" w:id="54"/>
      <w:bookmarkEnd w:id="54"/>
      <w:r w:rsidDel="00000000" w:rsidR="00000000" w:rsidRPr="00000000">
        <w:rPr>
          <w:rtl w:val="0"/>
        </w:rPr>
        <w:t xml:space="preserve">10.6 Limitations of the discussion at this stage</w:t>
      </w:r>
    </w:p>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discussion remains provisional. Five interviews across five distinct roles is a broader base than the single interview the earlier draft relied on, but it is still a small, purposively selected sample, and several participants' own regulatory knowledge was general rather than detailed in areas outside their direct remit. The reading offered here should be treated as a set of working hypotheses to be tested against further interviews with feedstock suppliers, certification bodies, and Dutch policymakers, which the ENLENS project anticipates conducting in a later phase, rather than as a settled account of how co-evolution, coalition formation, and architectural change are playing out across the Dutch SAF ecosystem as a whole.</w:t>
      </w:r>
    </w:p>
    <w:p w:rsidR="00000000" w:rsidDel="00000000" w:rsidP="00000000" w:rsidRDefault="00000000" w:rsidRPr="00000000" w14:paraId="00000304">
      <w:pPr>
        <w:pStyle w:val="Heading1"/>
        <w:spacing w:after="240" w:before="240" w:line="360" w:lineRule="auto"/>
        <w:jc w:val="both"/>
        <w:rPr/>
      </w:pPr>
      <w:bookmarkStart w:colFirst="0" w:colLast="0" w:name="_heading=h.b9lipekl8yo" w:id="55"/>
      <w:bookmarkEnd w:id="55"/>
      <w:r w:rsidDel="00000000" w:rsidR="00000000" w:rsidRPr="00000000">
        <w:rPr>
          <w:rtl w:val="0"/>
        </w:rPr>
        <w:t xml:space="preserve">​11. Conclusion</w:t>
      </w:r>
    </w:p>
    <w:p w:rsidR="00000000" w:rsidDel="00000000" w:rsidP="00000000" w:rsidRDefault="00000000" w:rsidRPr="00000000" w14:paraId="000003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set out to examine how a policy-driven circular innovation, waste-to-SAF via hydrothermal liquefaction, can be translated into a viable, sustainable business model within the aviation ecosystem. The literature reviewed in Sections 4 through 8 establishes that this translation is not a technical problem but a coordination problem operating simultaneously at the firm, inter-firm, ecosystem, and institutional level, and that circular business model transformation of this kind requires architectural rather than modular change precisely because no single actor controls the feedstock, the conversion technology, the certification infrastructure, and the offtake market at once. The interview evidence presented in Section 9, and discussed in Section 10, is consistent with this picture and adds concrete texture to it. Across five interviews spanning an infrastructure actor, an airline, a former SAF producer employee, a technology supplier, and an integrated energy major, the same underlying mismatch recurs: the long-term commitment a pre-commercial SAF project needs to become bankable does not fit the short-term way fuel has always been bought and sold, and no single actor in the chain, including actors with strong public sustainability commitments, currently sees resolving that mismatch as their own responsibility. This combination, a mismatch felt by nearly every actor paired with no actor clearly accountable for closing it, is arguably the central obstacle this paper has identified, echoing and sharpening the finding of the earlier draft that relied on a single interview.</w:t>
      </w:r>
    </w:p>
    <w:p w:rsidR="00000000" w:rsidDel="00000000" w:rsidP="00000000" w:rsidRDefault="00000000" w:rsidRPr="00000000" w14:paraId="000003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 of this work is to bring together a literature on sustainable and circular business model innovation that has developed mainly around manufacturing and energy-utility contexts, a literature on SAF adoption economics that treats business model largely as a sector-level construct, a detailed regulatory mapping of the EU and Dutch instruments that govern this specific pathway, and a first empirical pass across five distinct points in the Dutch aviation fuel value chain, and to apply the resulting framework to a case, HTL from airport waste, that does not yet appear in either literature. In doing so it also surfaces two points the literature has not yet addressed: a voluntary certificate market operating alongside the mandated compliance market with its own actors and standards, and a methodological point, that measuring readiness for this kind of transition requires asking not only whether the technology works and whether the policy mandate is binding, but whether any actor in the ecosystem sees itself as responsible for assembling the coalition the mandate presupposes will simply appear.</w:t>
      </w:r>
    </w:p>
    <w:p w:rsidR="00000000" w:rsidDel="00000000" w:rsidP="00000000" w:rsidRDefault="00000000" w:rsidRPr="00000000" w14:paraId="000003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remains a limitation as much as a finding. The empirical base at this stage is early, one case study and five interviews, and the analytical framework in Section 8.5 has not yet been tested against interviews with feedstock suppliers, certification bodies, or Dutch policymakers. The next phase of this research will extend interviews across these actor types, track how the coalition around the UvA-Schiphol HTL pilot develops as it approaches commercial scale, and follow closely the resolution of specific open questions identified in this review, including the outcome of the EU's book-and-claim feasibility study, the CMP's treatment of HTL as a processing route for sewage sludge, the design of the EU's proposed double-sided auction mechanism and its UK counterpart, and whether any Dutch e-SAF or advanced bio-SAF project reaches final investment decision in the period ahead. Aviation's decarbonisation depends on regulatory mandates converting into real production capacity, and that conversion, this paper argues, will be decided less by chemistry than by who is willing to build, and pay for, the coalition the mandate assumes.</w:t>
      </w:r>
    </w:p>
    <w:p w:rsidR="00000000" w:rsidDel="00000000" w:rsidP="00000000" w:rsidRDefault="00000000" w:rsidRPr="00000000" w14:paraId="000003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3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3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Adner, R., 2017. Ecosystem as structure: an actionable construct for strategy. J. Manag. 43 (1), 39–58.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https://doi.org/10.1177/0149206316678451</w:t>
        </w:r>
      </w:hyperlink>
      <w:r w:rsidDel="00000000" w:rsidR="00000000" w:rsidRPr="00000000">
        <w:rPr>
          <w:rtl w:val="0"/>
        </w:rPr>
      </w:r>
    </w:p>
    <w:p w:rsidR="00000000" w:rsidDel="00000000" w:rsidP="00000000" w:rsidRDefault="00000000" w:rsidRPr="00000000" w14:paraId="0000030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Al-Saleh, Y., &amp; Mahroum, S. (2015). A critical review of the interplay between policy instruments and business models: Greening the built environment a case in point. </w:t>
      </w:r>
      <w:r w:rsidDel="00000000" w:rsidR="00000000" w:rsidRPr="00000000">
        <w:rPr>
          <w:rFonts w:ascii="Times New Roman" w:cs="Times New Roman" w:eastAsia="Times New Roman" w:hAnsi="Times New Roman"/>
          <w:i w:val="1"/>
          <w:iCs w:val="1"/>
          <w:sz w:val="24"/>
          <w:szCs w:val="24"/>
          <w:rtl w:val="0"/>
        </w:rPr>
        <w:t xml:space="preserve">Journal of Cleaner Production, 109</w:t>
      </w:r>
      <w:r w:rsidDel="00000000" w:rsidR="00000000" w:rsidRPr="00000000">
        <w:rPr>
          <w:rFonts w:ascii="Times New Roman" w:cs="Times New Roman" w:eastAsia="Times New Roman" w:hAnsi="Times New Roman"/>
          <w:sz w:val="24"/>
          <w:szCs w:val="24"/>
          <w:rtl w:val="0"/>
        </w:rPr>
        <w:t xml:space="preserve">, 260-270.</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https://doi.org/10.1016/j.jclepro.2014.08.042</w:t>
        </w:r>
      </w:hyperlink>
      <w:r w:rsidDel="00000000" w:rsidR="00000000" w:rsidRPr="00000000">
        <w:rPr>
          <w:rtl w:val="0"/>
        </w:rPr>
      </w:r>
    </w:p>
    <w:p w:rsidR="00000000" w:rsidDel="00000000" w:rsidP="00000000" w:rsidRDefault="00000000" w:rsidRPr="00000000" w14:paraId="0000030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Axelson, M., Oberthur, S., &amp; Nilsson, L. J. (2021). Emission reduction strategies in the EU steel industry: Implications for business model innovation. </w:t>
      </w:r>
      <w:r w:rsidDel="00000000" w:rsidR="00000000" w:rsidRPr="00000000">
        <w:rPr>
          <w:rFonts w:ascii="Times New Roman" w:cs="Times New Roman" w:eastAsia="Times New Roman" w:hAnsi="Times New Roman"/>
          <w:i w:val="1"/>
          <w:iCs w:val="1"/>
          <w:sz w:val="24"/>
          <w:szCs w:val="24"/>
          <w:rtl w:val="0"/>
        </w:rPr>
        <w:t xml:space="preserve">Journal of Industrial Ecology, 25</w:t>
      </w:r>
      <w:r w:rsidDel="00000000" w:rsidR="00000000" w:rsidRPr="00000000">
        <w:rPr>
          <w:rFonts w:ascii="Times New Roman" w:cs="Times New Roman" w:eastAsia="Times New Roman" w:hAnsi="Times New Roman"/>
          <w:sz w:val="24"/>
          <w:szCs w:val="24"/>
          <w:rtl w:val="0"/>
        </w:rPr>
        <w:t xml:space="preserve">(2), 390-402.</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https://doi.org/10.1111/jiec.13124</w:t>
        </w:r>
      </w:hyperlink>
      <w:r w:rsidDel="00000000" w:rsidR="00000000" w:rsidRPr="00000000">
        <w:rPr>
          <w:rtl w:val="0"/>
        </w:rPr>
      </w:r>
    </w:p>
    <w:p w:rsidR="00000000" w:rsidDel="00000000" w:rsidP="00000000" w:rsidRDefault="00000000" w:rsidRPr="00000000" w14:paraId="0000030D">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Azcarate-Aguerre, J. F., Conci, M., Zils, M., Hopkinson, P., &amp; Klein, T. (2022). Building energy retrofit-as-a-service: A Total Value of Ownership assessment methodology to support whole life-cycle building circularity and decarbonisation. </w:t>
      </w:r>
      <w:r w:rsidDel="00000000" w:rsidR="00000000" w:rsidRPr="00000000">
        <w:rPr>
          <w:rFonts w:ascii="Times New Roman" w:cs="Times New Roman" w:eastAsia="Times New Roman" w:hAnsi="Times New Roman"/>
          <w:i w:val="1"/>
          <w:iCs w:val="1"/>
          <w:sz w:val="24"/>
          <w:szCs w:val="24"/>
          <w:rtl w:val="0"/>
        </w:rPr>
        <w:t xml:space="preserve">Construction Management and Economics, 40</w:t>
      </w:r>
      <w:r w:rsidDel="00000000" w:rsidR="00000000" w:rsidRPr="00000000">
        <w:rPr>
          <w:rFonts w:ascii="Times New Roman" w:cs="Times New Roman" w:eastAsia="Times New Roman" w:hAnsi="Times New Roman"/>
          <w:sz w:val="24"/>
          <w:szCs w:val="24"/>
          <w:rtl w:val="0"/>
        </w:rPr>
        <w:t xml:space="preserve">(9), 676-689.</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https://doi.org/10.1080/01446193.2022.2094434</w:t>
        </w:r>
      </w:hyperlink>
      <w:r w:rsidDel="00000000" w:rsidR="00000000" w:rsidRPr="00000000">
        <w:rPr>
          <w:rtl w:val="0"/>
        </w:rPr>
      </w:r>
    </w:p>
    <w:p w:rsidR="00000000" w:rsidDel="00000000" w:rsidP="00000000" w:rsidRDefault="00000000" w:rsidRPr="00000000" w14:paraId="000003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Bidmon, C. M., &amp; Knab, S. F. (2018). The three roles of business models in societal transitions: New linkages between business model and transition research. </w:t>
      </w:r>
      <w:r w:rsidDel="00000000" w:rsidR="00000000" w:rsidRPr="00000000">
        <w:rPr>
          <w:rFonts w:ascii="Times New Roman" w:cs="Times New Roman" w:eastAsia="Times New Roman" w:hAnsi="Times New Roman"/>
          <w:i w:val="1"/>
          <w:iCs w:val="1"/>
          <w:sz w:val="24"/>
          <w:szCs w:val="24"/>
          <w:rtl w:val="0"/>
        </w:rPr>
        <w:t xml:space="preserve">Journal of Cleaner Production, 178</w:t>
      </w:r>
      <w:r w:rsidDel="00000000" w:rsidR="00000000" w:rsidRPr="00000000">
        <w:rPr>
          <w:rFonts w:ascii="Times New Roman" w:cs="Times New Roman" w:eastAsia="Times New Roman" w:hAnsi="Times New Roman"/>
          <w:sz w:val="24"/>
          <w:szCs w:val="24"/>
          <w:rtl w:val="0"/>
        </w:rPr>
        <w:t xml:space="preserve">, 903-916.</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https://doi.org/10.1016/j.jclepro.2017.12.198</w:t>
        </w:r>
      </w:hyperlink>
      <w:r w:rsidDel="00000000" w:rsidR="00000000" w:rsidRPr="00000000">
        <w:rPr>
          <w:rtl w:val="0"/>
        </w:rPr>
      </w:r>
    </w:p>
    <w:p w:rsidR="00000000" w:rsidDel="00000000" w:rsidP="00000000" w:rsidRDefault="00000000" w:rsidRPr="00000000" w14:paraId="0000030F">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Boons, F., &amp; Ludeke-Freund, F. (2013). Business models for sustainable innovation: State-of-the-art and steps towards a research agenda. </w:t>
      </w:r>
      <w:r w:rsidDel="00000000" w:rsidR="00000000" w:rsidRPr="00000000">
        <w:rPr>
          <w:rFonts w:ascii="Times New Roman" w:cs="Times New Roman" w:eastAsia="Times New Roman" w:hAnsi="Times New Roman"/>
          <w:i w:val="1"/>
          <w:iCs w:val="1"/>
          <w:sz w:val="24"/>
          <w:szCs w:val="24"/>
          <w:rtl w:val="0"/>
        </w:rPr>
        <w:t xml:space="preserve">Journal of Cleaner Production, 45</w:t>
      </w:r>
      <w:r w:rsidDel="00000000" w:rsidR="00000000" w:rsidRPr="00000000">
        <w:rPr>
          <w:rFonts w:ascii="Times New Roman" w:cs="Times New Roman" w:eastAsia="Times New Roman" w:hAnsi="Times New Roman"/>
          <w:sz w:val="24"/>
          <w:szCs w:val="24"/>
          <w:rtl w:val="0"/>
        </w:rPr>
        <w:t xml:space="preserve">, 9-19.</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https://doi.org/10.1016/j.jclepro.2012.07.007</w:t>
        </w:r>
      </w:hyperlink>
      <w:r w:rsidDel="00000000" w:rsidR="00000000" w:rsidRPr="00000000">
        <w:rPr>
          <w:rtl w:val="0"/>
        </w:rPr>
      </w:r>
    </w:p>
    <w:p w:rsidR="00000000" w:rsidDel="00000000" w:rsidP="00000000" w:rsidRDefault="00000000" w:rsidRPr="00000000" w14:paraId="0000031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Brink, T. (2022). Organising direction of innovation ecosystems for extended clean energy production. </w:t>
      </w:r>
      <w:r w:rsidDel="00000000" w:rsidR="00000000" w:rsidRPr="00000000">
        <w:rPr>
          <w:rFonts w:ascii="Times New Roman" w:cs="Times New Roman" w:eastAsia="Times New Roman" w:hAnsi="Times New Roman"/>
          <w:i w:val="1"/>
          <w:iCs w:val="1"/>
          <w:sz w:val="24"/>
          <w:szCs w:val="24"/>
          <w:rtl w:val="0"/>
        </w:rPr>
        <w:t xml:space="preserve">Journal of Cleaner Production, 376</w:t>
      </w:r>
      <w:r w:rsidDel="00000000" w:rsidR="00000000" w:rsidRPr="00000000">
        <w:rPr>
          <w:rFonts w:ascii="Times New Roman" w:cs="Times New Roman" w:eastAsia="Times New Roman" w:hAnsi="Times New Roman"/>
          <w:sz w:val="24"/>
          <w:szCs w:val="24"/>
          <w:rtl w:val="0"/>
        </w:rPr>
        <w:t xml:space="preserve">, 134150.</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https://doi.org/10.1016/j.jclepro.2022.134150</w:t>
        </w:r>
      </w:hyperlink>
      <w:r w:rsidDel="00000000" w:rsidR="00000000" w:rsidRPr="00000000">
        <w:rPr>
          <w:rtl w:val="0"/>
        </w:rPr>
      </w:r>
    </w:p>
    <w:p w:rsidR="00000000" w:rsidDel="00000000" w:rsidP="00000000" w:rsidRDefault="00000000" w:rsidRPr="00000000" w14:paraId="0000031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Bryant, S. T., Straker, K., &amp; Wrigley, C. (2019). The discourses of power: Governmental approaches to business models in the renewable energy transition. </w:t>
      </w:r>
      <w:r w:rsidDel="00000000" w:rsidR="00000000" w:rsidRPr="00000000">
        <w:rPr>
          <w:rFonts w:ascii="Times New Roman" w:cs="Times New Roman" w:eastAsia="Times New Roman" w:hAnsi="Times New Roman"/>
          <w:i w:val="1"/>
          <w:iCs w:val="1"/>
          <w:sz w:val="24"/>
          <w:szCs w:val="24"/>
          <w:rtl w:val="0"/>
        </w:rPr>
        <w:t xml:space="preserve">Energy Policy, 130</w:t>
      </w:r>
      <w:r w:rsidDel="00000000" w:rsidR="00000000" w:rsidRPr="00000000">
        <w:rPr>
          <w:rFonts w:ascii="Times New Roman" w:cs="Times New Roman" w:eastAsia="Times New Roman" w:hAnsi="Times New Roman"/>
          <w:sz w:val="24"/>
          <w:szCs w:val="24"/>
          <w:rtl w:val="0"/>
        </w:rPr>
        <w:t xml:space="preserve">, 41-59.</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https://doi.org/10.1016/j.enpol.2019.03.050</w:t>
        </w:r>
      </w:hyperlink>
      <w:r w:rsidDel="00000000" w:rsidR="00000000" w:rsidRPr="00000000">
        <w:rPr>
          <w:rtl w:val="0"/>
        </w:rPr>
      </w:r>
    </w:p>
    <w:p w:rsidR="00000000" w:rsidDel="00000000" w:rsidP="00000000" w:rsidRDefault="00000000" w:rsidRPr="00000000" w14:paraId="0000031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Carraresi, L., &amp; Broring, S. (2021). How does business model redesign foster resilience in emerging circular value chains? </w:t>
      </w:r>
      <w:r w:rsidDel="00000000" w:rsidR="00000000" w:rsidRPr="00000000">
        <w:rPr>
          <w:rFonts w:ascii="Times New Roman" w:cs="Times New Roman" w:eastAsia="Times New Roman" w:hAnsi="Times New Roman"/>
          <w:i w:val="1"/>
          <w:iCs w:val="1"/>
          <w:sz w:val="24"/>
          <w:szCs w:val="24"/>
          <w:rtl w:val="0"/>
        </w:rPr>
        <w:t xml:space="preserve">Journal of Cleaner Production, 289</w:t>
      </w:r>
      <w:r w:rsidDel="00000000" w:rsidR="00000000" w:rsidRPr="00000000">
        <w:rPr>
          <w:rFonts w:ascii="Times New Roman" w:cs="Times New Roman" w:eastAsia="Times New Roman" w:hAnsi="Times New Roman"/>
          <w:sz w:val="24"/>
          <w:szCs w:val="24"/>
          <w:rtl w:val="0"/>
        </w:rPr>
        <w:t xml:space="preserve">, 125823.</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https://doi.org/10.1016/j.jclepro.2021.125823</w:t>
        </w:r>
      </w:hyperlink>
      <w:r w:rsidDel="00000000" w:rsidR="00000000" w:rsidRPr="00000000">
        <w:rPr>
          <w:rtl w:val="0"/>
        </w:rPr>
      </w:r>
    </w:p>
    <w:p w:rsidR="00000000" w:rsidDel="00000000" w:rsidP="00000000" w:rsidRDefault="00000000" w:rsidRPr="00000000" w14:paraId="0000031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Chirumalla, K., Balestrucci, F., Sannö, A., &amp; Oghazi, P. (2024). The transition from a linear to a circular economy through a multi-level readiness framework: An explorative study in the heavy-duty vehicle manufacturing industry. </w:t>
      </w:r>
      <w:r w:rsidDel="00000000" w:rsidR="00000000" w:rsidRPr="00000000">
        <w:rPr>
          <w:rFonts w:ascii="Times New Roman" w:cs="Times New Roman" w:eastAsia="Times New Roman" w:hAnsi="Times New Roman"/>
          <w:i w:val="1"/>
          <w:iCs w:val="1"/>
          <w:sz w:val="24"/>
          <w:szCs w:val="24"/>
          <w:rtl w:val="0"/>
        </w:rPr>
        <w:t xml:space="preserve">Journal of Innovation &amp; Knowledge, 9</w:t>
      </w:r>
      <w:r w:rsidDel="00000000" w:rsidR="00000000" w:rsidRPr="00000000">
        <w:rPr>
          <w:rFonts w:ascii="Times New Roman" w:cs="Times New Roman" w:eastAsia="Times New Roman" w:hAnsi="Times New Roman"/>
          <w:sz w:val="24"/>
          <w:szCs w:val="24"/>
          <w:rtl w:val="0"/>
        </w:rPr>
        <w:t xml:space="preserve">, 100539.</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https://doi.org/10.1016/j.jik.2024.100539</w:t>
        </w:r>
      </w:hyperlink>
      <w:r w:rsidDel="00000000" w:rsidR="00000000" w:rsidRPr="00000000">
        <w:rPr>
          <w:rtl w:val="0"/>
        </w:rPr>
      </w:r>
    </w:p>
    <w:p w:rsidR="00000000" w:rsidDel="00000000" w:rsidP="00000000" w:rsidRDefault="00000000" w:rsidRPr="00000000" w14:paraId="0000031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Coffay, M., &amp; Bocken, N. (2023). Sustainable by design: An organizational design tool for sustainable business model innovation. </w:t>
      </w:r>
      <w:r w:rsidDel="00000000" w:rsidR="00000000" w:rsidRPr="00000000">
        <w:rPr>
          <w:rFonts w:ascii="Times New Roman" w:cs="Times New Roman" w:eastAsia="Times New Roman" w:hAnsi="Times New Roman"/>
          <w:i w:val="1"/>
          <w:iCs w:val="1"/>
          <w:sz w:val="24"/>
          <w:szCs w:val="24"/>
          <w:rtl w:val="0"/>
        </w:rPr>
        <w:t xml:space="preserve">Journal of Cleaner Production, 427</w:t>
      </w:r>
      <w:r w:rsidDel="00000000" w:rsidR="00000000" w:rsidRPr="00000000">
        <w:rPr>
          <w:rFonts w:ascii="Times New Roman" w:cs="Times New Roman" w:eastAsia="Times New Roman" w:hAnsi="Times New Roman"/>
          <w:sz w:val="24"/>
          <w:szCs w:val="24"/>
          <w:rtl w:val="0"/>
        </w:rPr>
        <w:t xml:space="preserve">, 139294.</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https://doi.org/10.1016/j.jclepro.2023.139294</w:t>
        </w:r>
      </w:hyperlink>
      <w:r w:rsidDel="00000000" w:rsidR="00000000" w:rsidRPr="00000000">
        <w:rPr>
          <w:rtl w:val="0"/>
        </w:rPr>
      </w:r>
    </w:p>
    <w:p w:rsidR="00000000" w:rsidDel="00000000" w:rsidP="00000000" w:rsidRDefault="00000000" w:rsidRPr="00000000" w14:paraId="0000031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Di Vaio, A., Van Engelenhoven, E., Zaffar, A., Raimo, N., &amp; Vitolla, F. (2026). Innovating business models for circular and regenerative outcomes: Carbon insetting practices in European port ecosystems. </w:t>
      </w:r>
      <w:r w:rsidDel="00000000" w:rsidR="00000000" w:rsidRPr="00000000">
        <w:rPr>
          <w:rFonts w:ascii="Times New Roman" w:cs="Times New Roman" w:eastAsia="Times New Roman" w:hAnsi="Times New Roman"/>
          <w:i w:val="1"/>
          <w:iCs w:val="1"/>
          <w:sz w:val="24"/>
          <w:szCs w:val="24"/>
          <w:rtl w:val="0"/>
        </w:rPr>
        <w:t xml:space="preserve">Journal of Innovation &amp; Knowledge, 16</w:t>
      </w:r>
      <w:r w:rsidDel="00000000" w:rsidR="00000000" w:rsidRPr="00000000">
        <w:rPr>
          <w:rFonts w:ascii="Times New Roman" w:cs="Times New Roman" w:eastAsia="Times New Roman" w:hAnsi="Times New Roman"/>
          <w:sz w:val="24"/>
          <w:szCs w:val="24"/>
          <w:rtl w:val="0"/>
        </w:rPr>
        <w:t xml:space="preserve">, 101033.</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https://doi.org/10.1016/j.jik.2026.101033</w:t>
        </w:r>
      </w:hyperlink>
      <w:r w:rsidDel="00000000" w:rsidR="00000000" w:rsidRPr="00000000">
        <w:rPr>
          <w:rtl w:val="0"/>
        </w:rPr>
      </w:r>
    </w:p>
    <w:p w:rsidR="00000000" w:rsidDel="00000000" w:rsidP="00000000" w:rsidRDefault="00000000" w:rsidRPr="00000000" w14:paraId="000003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(2018). Commission Implementing Regulation (EU) 2018/2066 of 19 December 2018 on the monitoring and reporting of greenhouse gas emissions pursuant to Directive 2003/87/EC of the European Parliament and of the Council and amending Commission Regulation (EU) No 601/2012. </w:t>
      </w:r>
      <w:r w:rsidDel="00000000" w:rsidR="00000000" w:rsidRPr="00000000">
        <w:rPr>
          <w:rFonts w:ascii="Times New Roman" w:cs="Times New Roman" w:eastAsia="Times New Roman" w:hAnsi="Times New Roman"/>
          <w:i w:val="1"/>
          <w:iCs w:val="1"/>
          <w:sz w:val="24"/>
          <w:szCs w:val="24"/>
          <w:rtl w:val="0"/>
        </w:rPr>
        <w:t xml:space="preserve">Official Journal of the European Union</w:t>
      </w:r>
      <w:r w:rsidDel="00000000" w:rsidR="00000000" w:rsidRPr="00000000">
        <w:rPr>
          <w:rFonts w:ascii="Times New Roman" w:cs="Times New Roman" w:eastAsia="Times New Roman" w:hAnsi="Times New Roman"/>
          <w:sz w:val="24"/>
          <w:szCs w:val="24"/>
          <w:rtl w:val="0"/>
        </w:rPr>
        <w:t xml:space="preserve">, L 334, 1-93.</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https://eur-lex.europa.eu/eli/reg_impl/2018/2066/oj/eng</w:t>
        </w:r>
      </w:hyperlink>
      <w:r w:rsidDel="00000000" w:rsidR="00000000" w:rsidRPr="00000000">
        <w:rPr>
          <w:rtl w:val="0"/>
        </w:rPr>
      </w:r>
    </w:p>
    <w:p w:rsidR="00000000" w:rsidDel="00000000" w:rsidP="00000000" w:rsidRDefault="00000000" w:rsidRPr="00000000" w14:paraId="000003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(2022). Commission Implementing Regulation (EU) 2022/996 of 14 June 2022 on rules to verify sustainability and greenhouse gas emissions saving criteria and low indirect land-use change-risk criteria. Official Journal of the European Union, L 168, 1-62. </w:t>
      </w:r>
      <w:hyperlink r:id="rId33">
        <w:r w:rsidDel="00000000" w:rsidR="00000000" w:rsidRPr="00000000">
          <w:rPr>
            <w:rFonts w:ascii="Times New Roman" w:cs="Times New Roman" w:eastAsia="Times New Roman" w:hAnsi="Times New Roman"/>
            <w:color w:val="1155cc"/>
            <w:sz w:val="24"/>
            <w:szCs w:val="24"/>
            <w:u w:val="single"/>
            <w:rtl w:val="0"/>
          </w:rPr>
          <w:t xml:space="preserve">https://eur-lex.europa.eu/eli/reg_impl/2022/996/oj/eng</w:t>
        </w:r>
      </w:hyperlink>
      <w:r w:rsidDel="00000000" w:rsidR="00000000" w:rsidRPr="00000000">
        <w:rPr>
          <w:rtl w:val="0"/>
        </w:rPr>
      </w:r>
    </w:p>
    <w:p w:rsidR="00000000" w:rsidDel="00000000" w:rsidP="00000000" w:rsidRDefault="00000000" w:rsidRPr="00000000" w14:paraId="000003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(2020). Communication from the Commission to the European Parliament, the Council, the European Economic and Social Committee and the Committee of the Regions: A new Circular Economy Action Plan for a cleaner and more competitive Europe (COM/2020/98 final). </w:t>
      </w:r>
      <w:hyperlink r:id="rId34">
        <w:r w:rsidDel="00000000" w:rsidR="00000000" w:rsidRPr="00000000">
          <w:rPr>
            <w:rFonts w:ascii="Times New Roman" w:cs="Times New Roman" w:eastAsia="Times New Roman" w:hAnsi="Times New Roman"/>
            <w:color w:val="1155cc"/>
            <w:sz w:val="24"/>
            <w:szCs w:val="24"/>
            <w:u w:val="single"/>
            <w:rtl w:val="0"/>
          </w:rPr>
          <w:t xml:space="preserve">https://eur-lex.europa.eu/legal-content/EN/TXT/?qid=1583933814386&amp;uri=COM:2020:98:FIN</w:t>
        </w:r>
      </w:hyperlink>
      <w:r w:rsidDel="00000000" w:rsidR="00000000" w:rsidRPr="00000000">
        <w:rPr>
          <w:rtl w:val="0"/>
        </w:rPr>
      </w:r>
    </w:p>
    <w:p w:rsidR="00000000" w:rsidDel="00000000" w:rsidP="00000000" w:rsidRDefault="00000000" w:rsidRPr="00000000" w14:paraId="000003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(2025). Communication from the Commission to the European Parliament, the Council, the European Economic and Social Committee and the Committee of the Regions: Sustainable Transport Investment Plan (COM(2025) 664 final). </w:t>
      </w:r>
      <w:hyperlink r:id="rId35">
        <w:r w:rsidDel="00000000" w:rsidR="00000000" w:rsidRPr="00000000">
          <w:rPr>
            <w:rFonts w:ascii="Times New Roman" w:cs="Times New Roman" w:eastAsia="Times New Roman" w:hAnsi="Times New Roman"/>
            <w:color w:val="1155cc"/>
            <w:sz w:val="24"/>
            <w:szCs w:val="24"/>
            <w:u w:val="single"/>
            <w:rtl w:val="0"/>
          </w:rPr>
          <w:t xml:space="preserve">https://eur-lex.europa.eu/legal-content/EN/TXT/?uri=celex:52025DC0664</w:t>
        </w:r>
      </w:hyperlink>
      <w:r w:rsidDel="00000000" w:rsidR="00000000" w:rsidRPr="00000000">
        <w:rPr>
          <w:rtl w:val="0"/>
        </w:rPr>
      </w:r>
    </w:p>
    <w:p w:rsidR="00000000" w:rsidDel="00000000" w:rsidP="00000000" w:rsidRDefault="00000000" w:rsidRPr="00000000" w14:paraId="000003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(2003). Directive 2003/87/EC of the European Parliament and of the Council of 13 October 2003 establishing a scheme for greenhouse gas emission allowance trading within the Community and amending Council Directive 96/61/EC. </w:t>
      </w:r>
      <w:r w:rsidDel="00000000" w:rsidR="00000000" w:rsidRPr="00000000">
        <w:rPr>
          <w:rFonts w:ascii="Times New Roman" w:cs="Times New Roman" w:eastAsia="Times New Roman" w:hAnsi="Times New Roman"/>
          <w:i w:val="1"/>
          <w:iCs w:val="1"/>
          <w:sz w:val="24"/>
          <w:szCs w:val="24"/>
          <w:rtl w:val="0"/>
        </w:rPr>
        <w:t xml:space="preserve">Official Journal of the European Union</w:t>
      </w:r>
      <w:r w:rsidDel="00000000" w:rsidR="00000000" w:rsidRPr="00000000">
        <w:rPr>
          <w:rFonts w:ascii="Times New Roman" w:cs="Times New Roman" w:eastAsia="Times New Roman" w:hAnsi="Times New Roman"/>
          <w:sz w:val="24"/>
          <w:szCs w:val="24"/>
          <w:rtl w:val="0"/>
        </w:rPr>
        <w:t xml:space="preserve">, L 275, 32-46.</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https://eur-lex.europa.eu/eli/dir/2003/87/oj/eng</w:t>
        </w:r>
      </w:hyperlink>
      <w:r w:rsidDel="00000000" w:rsidR="00000000" w:rsidRPr="00000000">
        <w:rPr>
          <w:rtl w:val="0"/>
        </w:rPr>
      </w:r>
    </w:p>
    <w:p w:rsidR="00000000" w:rsidDel="00000000" w:rsidP="00000000" w:rsidRDefault="00000000" w:rsidRPr="00000000" w14:paraId="000003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(2008). Directive 2008/98/EC of the European Parliament and of the Council of 19 November 2008 on waste and repealing certain Directives. Official Journal of the European Union, L 312, 3-30. </w:t>
      </w:r>
      <w:hyperlink r:id="rId38">
        <w:r w:rsidDel="00000000" w:rsidR="00000000" w:rsidRPr="00000000">
          <w:rPr>
            <w:rFonts w:ascii="Times New Roman" w:cs="Times New Roman" w:eastAsia="Times New Roman" w:hAnsi="Times New Roman"/>
            <w:color w:val="1155cc"/>
            <w:sz w:val="24"/>
            <w:szCs w:val="24"/>
            <w:u w:val="single"/>
            <w:rtl w:val="0"/>
          </w:rPr>
          <w:t xml:space="preserve">https://eur-lex.europa.eu/eli/dir/2008/98/oj/eng</w:t>
        </w:r>
      </w:hyperlink>
      <w:r w:rsidDel="00000000" w:rsidR="00000000" w:rsidRPr="00000000">
        <w:rPr>
          <w:rtl w:val="0"/>
        </w:rPr>
      </w:r>
    </w:p>
    <w:p w:rsidR="00000000" w:rsidDel="00000000" w:rsidP="00000000" w:rsidRDefault="00000000" w:rsidRPr="00000000" w14:paraId="000003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and Council of the European Union. (2009). Regulation (EC) No 1069/2009 of the European Parliament and of the Council of 21 October 2009 laying down health rules as regards animal by-products and derived products not intended for human consumption and repealing Regulation (EC) No 1774/2002 (Animal by-products Regulation). EUR-Lex. </w:t>
      </w:r>
      <w:hyperlink r:id="rId39">
        <w:r w:rsidDel="00000000" w:rsidR="00000000" w:rsidRPr="00000000">
          <w:rPr>
            <w:rFonts w:ascii="Times New Roman" w:cs="Times New Roman" w:eastAsia="Times New Roman" w:hAnsi="Times New Roman"/>
            <w:color w:val="1155cc"/>
            <w:sz w:val="24"/>
            <w:szCs w:val="24"/>
            <w:u w:val="single"/>
            <w:rtl w:val="0"/>
          </w:rPr>
          <w:t xml:space="preserve">https://eur-lex.europa.eu/eli/reg/2009/1069/oj/eng</w:t>
        </w:r>
      </w:hyperlink>
      <w:r w:rsidDel="00000000" w:rsidR="00000000" w:rsidRPr="00000000">
        <w:rPr>
          <w:rtl w:val="0"/>
        </w:rPr>
      </w:r>
    </w:p>
    <w:p w:rsidR="00000000" w:rsidDel="00000000" w:rsidP="00000000" w:rsidRDefault="00000000" w:rsidRPr="00000000" w14:paraId="000003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(2018). Directive (EU) 2018/410 of the European Parliament and of the Council of 14 March 2018 amending Directive 2003/87/EC to enhance cost-effective emission reductions and low-carbon investments, and Decision (EU) 2015/1814. </w:t>
      </w:r>
      <w:r w:rsidDel="00000000" w:rsidR="00000000" w:rsidRPr="00000000">
        <w:rPr>
          <w:rFonts w:ascii="Times New Roman" w:cs="Times New Roman" w:eastAsia="Times New Roman" w:hAnsi="Times New Roman"/>
          <w:i w:val="1"/>
          <w:iCs w:val="1"/>
          <w:sz w:val="24"/>
          <w:szCs w:val="24"/>
          <w:rtl w:val="0"/>
        </w:rPr>
        <w:t xml:space="preserve">Official Journal of the European Union</w:t>
      </w:r>
      <w:r w:rsidDel="00000000" w:rsidR="00000000" w:rsidRPr="00000000">
        <w:rPr>
          <w:rFonts w:ascii="Times New Roman" w:cs="Times New Roman" w:eastAsia="Times New Roman" w:hAnsi="Times New Roman"/>
          <w:sz w:val="24"/>
          <w:szCs w:val="24"/>
          <w:rtl w:val="0"/>
        </w:rPr>
        <w:t xml:space="preserve">, L 76, 3-27.</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https://eur-lex.europa.eu/eli/dir/2018/410/oj/eng</w:t>
        </w:r>
      </w:hyperlink>
      <w:r w:rsidDel="00000000" w:rsidR="00000000" w:rsidRPr="00000000">
        <w:rPr>
          <w:rtl w:val="0"/>
        </w:rPr>
      </w:r>
    </w:p>
    <w:p w:rsidR="00000000" w:rsidDel="00000000" w:rsidP="00000000" w:rsidRDefault="00000000" w:rsidRPr="00000000" w14:paraId="000003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(2020). Regulation (EU) 2020/852 of the European Parliament and of the Council of 18 June 2020 on the establishment of a framework to facilitate sustainable investment, and amending Regulation (EU) 2019/2088. Official Journal of the European Union, L 198, 13-43. </w:t>
      </w:r>
      <w:hyperlink r:id="rId42">
        <w:r w:rsidDel="00000000" w:rsidR="00000000" w:rsidRPr="00000000">
          <w:rPr>
            <w:rFonts w:ascii="Times New Roman" w:cs="Times New Roman" w:eastAsia="Times New Roman" w:hAnsi="Times New Roman"/>
            <w:color w:val="1155cc"/>
            <w:sz w:val="24"/>
            <w:szCs w:val="24"/>
            <w:u w:val="single"/>
            <w:rtl w:val="0"/>
          </w:rPr>
          <w:t xml:space="preserve">https://eur-lex.europa.eu/eli/reg/2020/852/oj/eng</w:t>
        </w:r>
      </w:hyperlink>
      <w:r w:rsidDel="00000000" w:rsidR="00000000" w:rsidRPr="00000000">
        <w:rPr>
          <w:rtl w:val="0"/>
        </w:rPr>
      </w:r>
    </w:p>
    <w:p w:rsidR="00000000" w:rsidDel="00000000" w:rsidP="00000000" w:rsidRDefault="00000000" w:rsidRPr="00000000" w14:paraId="000003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(2023a). Regulation (EU) 2023/2405 of the European Parliament and of the Council of 18 October 2023 on ensuring a level playing field for sustainable air transport (ReFuelEU Aviation). Official Journal of the European Union, L, 2023/2405. </w:t>
      </w:r>
      <w:hyperlink r:id="rId43">
        <w:r w:rsidDel="00000000" w:rsidR="00000000" w:rsidRPr="00000000">
          <w:rPr>
            <w:rFonts w:ascii="Times New Roman" w:cs="Times New Roman" w:eastAsia="Times New Roman" w:hAnsi="Times New Roman"/>
            <w:color w:val="1155cc"/>
            <w:sz w:val="24"/>
            <w:szCs w:val="24"/>
            <w:u w:val="single"/>
            <w:rtl w:val="0"/>
          </w:rPr>
          <w:t xml:space="preserve">https://eur-lex.europa.eu/legal-content/EN/TXT/?uri=CELEX%3A32023R2405</w:t>
        </w:r>
      </w:hyperlink>
      <w:r w:rsidDel="00000000" w:rsidR="00000000" w:rsidRPr="00000000">
        <w:rPr>
          <w:rtl w:val="0"/>
        </w:rPr>
      </w:r>
    </w:p>
    <w:p w:rsidR="00000000" w:rsidDel="00000000" w:rsidP="00000000" w:rsidRDefault="00000000" w:rsidRPr="00000000" w14:paraId="000003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(2023b). Directive (EU) 2023/2413 of the European Parliament and of the Council of 18 October 2023 amending Directive (EU) 2018/2001, Regulation (EU) 2018/1999 and Directive 98/70/EC as regards the promotion of energy from renewable sources, and repealing Council Directive (EU) 2015/652. Official Journal of the European Union, L, 2023/2413. </w:t>
      </w:r>
      <w:hyperlink r:id="rId44">
        <w:r w:rsidDel="00000000" w:rsidR="00000000" w:rsidRPr="00000000">
          <w:rPr>
            <w:rFonts w:ascii="Times New Roman" w:cs="Times New Roman" w:eastAsia="Times New Roman" w:hAnsi="Times New Roman"/>
            <w:color w:val="1155cc"/>
            <w:sz w:val="24"/>
            <w:szCs w:val="24"/>
            <w:u w:val="single"/>
            <w:rtl w:val="0"/>
          </w:rPr>
          <w:t xml:space="preserve">https://eur-lex.europa.eu/eli/dir/2023/2413/oj/eng</w:t>
        </w:r>
      </w:hyperlink>
      <w:r w:rsidDel="00000000" w:rsidR="00000000" w:rsidRPr="00000000">
        <w:rPr>
          <w:rtl w:val="0"/>
        </w:rPr>
      </w:r>
    </w:p>
    <w:p w:rsidR="00000000" w:rsidDel="00000000" w:rsidP="00000000" w:rsidRDefault="00000000" w:rsidRPr="00000000" w14:paraId="000003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&amp; Council of the European Union. (2023c). Directive (EU) 2023/959 of the European Parliament and of the Council of 10 May 2023 amending Directive 2003/87/EC establishing a system for greenhouse gas emission allowance trading within the Union and Decision (EU) 2015/1814 concerning the establishment and operation of a market stability reserve for the Union greenhouse gas emission trading system. </w:t>
      </w:r>
      <w:r w:rsidDel="00000000" w:rsidR="00000000" w:rsidRPr="00000000">
        <w:rPr>
          <w:rFonts w:ascii="Times New Roman" w:cs="Times New Roman" w:eastAsia="Times New Roman" w:hAnsi="Times New Roman"/>
          <w:i w:val="1"/>
          <w:iCs w:val="1"/>
          <w:sz w:val="24"/>
          <w:szCs w:val="24"/>
          <w:rtl w:val="0"/>
        </w:rPr>
        <w:t xml:space="preserve">Official Journal of the European Union</w:t>
      </w:r>
      <w:r w:rsidDel="00000000" w:rsidR="00000000" w:rsidRPr="00000000">
        <w:rPr>
          <w:rFonts w:ascii="Times New Roman" w:cs="Times New Roman" w:eastAsia="Times New Roman" w:hAnsi="Times New Roman"/>
          <w:sz w:val="24"/>
          <w:szCs w:val="24"/>
          <w:rtl w:val="0"/>
        </w:rPr>
        <w:t xml:space="preserve">, L 130, 134-202.</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https://eur-lex.europa.eu/eli/dir/2023/959/oj</w:t>
        </w:r>
      </w:hyperlink>
      <w:r w:rsidDel="00000000" w:rsidR="00000000" w:rsidRPr="00000000">
        <w:rPr>
          <w:rtl w:val="0"/>
        </w:rPr>
      </w:r>
    </w:p>
    <w:p w:rsidR="00000000" w:rsidDel="00000000" w:rsidP="00000000" w:rsidRDefault="00000000" w:rsidRPr="00000000" w14:paraId="000003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and Council of the European Union. (2026). Directive (EU) 2026/470 of the European Parliament and of the Council of 24 February 2026 amending Directives 2006/43/EC, 2013/34/EU, (EU) 2022/2464 and (EU) 2024/1760 as regards certain corporate sustainability reporting requirements and certain corporate sustainability due diligence requirements. EUR-Lex. </w:t>
      </w:r>
      <w:hyperlink r:id="rId47">
        <w:r w:rsidDel="00000000" w:rsidR="00000000" w:rsidRPr="00000000">
          <w:rPr>
            <w:rFonts w:ascii="Times New Roman" w:cs="Times New Roman" w:eastAsia="Times New Roman" w:hAnsi="Times New Roman"/>
            <w:color w:val="1155cc"/>
            <w:sz w:val="24"/>
            <w:szCs w:val="24"/>
            <w:u w:val="single"/>
            <w:rtl w:val="0"/>
          </w:rPr>
          <w:t xml:space="preserve">https://eur-lex.europa.eu/eli/dir/2026/470/oj/eng</w:t>
        </w:r>
      </w:hyperlink>
      <w:r w:rsidDel="00000000" w:rsidR="00000000" w:rsidRPr="00000000">
        <w:rPr>
          <w:rtl w:val="0"/>
        </w:rPr>
      </w:r>
    </w:p>
    <w:p w:rsidR="00000000" w:rsidDel="00000000" w:rsidP="00000000" w:rsidRDefault="00000000" w:rsidRPr="00000000" w14:paraId="0000032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Faccin, K., Beuter, N., Martins, B., &amp; Vasconcellos, S. L. (2025). Promoting sustainable business model innovation: A dynamic capabilities approach. </w:t>
      </w:r>
      <w:r w:rsidDel="00000000" w:rsidR="00000000" w:rsidRPr="00000000">
        <w:rPr>
          <w:rFonts w:ascii="Times New Roman" w:cs="Times New Roman" w:eastAsia="Times New Roman" w:hAnsi="Times New Roman"/>
          <w:i w:val="1"/>
          <w:iCs w:val="1"/>
          <w:sz w:val="24"/>
          <w:szCs w:val="24"/>
          <w:rtl w:val="0"/>
        </w:rPr>
        <w:t xml:space="preserve">Management Decision</w:t>
      </w:r>
      <w:r w:rsidDel="00000000" w:rsidR="00000000" w:rsidRPr="00000000">
        <w:rPr>
          <w:rFonts w:ascii="Times New Roman" w:cs="Times New Roman" w:eastAsia="Times New Roman" w:hAnsi="Times New Roman"/>
          <w:sz w:val="24"/>
          <w:szCs w:val="24"/>
          <w:rtl w:val="0"/>
        </w:rPr>
        <w:t xml:space="preserve">. Advance online publication.</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https://doi.org/10.1108/MD-07-2024-1548</w:t>
        </w:r>
      </w:hyperlink>
      <w:r w:rsidDel="00000000" w:rsidR="00000000" w:rsidRPr="00000000">
        <w:rPr>
          <w:rtl w:val="0"/>
        </w:rPr>
      </w:r>
    </w:p>
    <w:p w:rsidR="00000000" w:rsidDel="00000000" w:rsidP="00000000" w:rsidRDefault="00000000" w:rsidRPr="00000000" w14:paraId="0000032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Fedele, M., &amp; Formisano, V. (2023). Waste from criticality to resource through an innovative circular business model: A case study in the manufacturing industry. </w:t>
      </w:r>
      <w:r w:rsidDel="00000000" w:rsidR="00000000" w:rsidRPr="00000000">
        <w:rPr>
          <w:rFonts w:ascii="Times New Roman" w:cs="Times New Roman" w:eastAsia="Times New Roman" w:hAnsi="Times New Roman"/>
          <w:i w:val="1"/>
          <w:iCs w:val="1"/>
          <w:sz w:val="24"/>
          <w:szCs w:val="24"/>
          <w:rtl w:val="0"/>
        </w:rPr>
        <w:t xml:space="preserve">Journal of Cleaner Production, 407</w:t>
      </w:r>
      <w:r w:rsidDel="00000000" w:rsidR="00000000" w:rsidRPr="00000000">
        <w:rPr>
          <w:rFonts w:ascii="Times New Roman" w:cs="Times New Roman" w:eastAsia="Times New Roman" w:hAnsi="Times New Roman"/>
          <w:sz w:val="24"/>
          <w:szCs w:val="24"/>
          <w:rtl w:val="0"/>
        </w:rPr>
        <w:t xml:space="preserve">, 137143.</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https://doi.org/10.1016/j.jclepro.2023.137143</w:t>
        </w:r>
      </w:hyperlink>
      <w:r w:rsidDel="00000000" w:rsidR="00000000" w:rsidRPr="00000000">
        <w:rPr>
          <w:rtl w:val="0"/>
        </w:rPr>
      </w:r>
    </w:p>
    <w:p w:rsidR="00000000" w:rsidDel="00000000" w:rsidP="00000000" w:rsidRDefault="00000000" w:rsidRPr="00000000" w14:paraId="0000032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Foss, N. J., &amp; Saebi, T. (2017). Fifteen years of research on business model innovation: How far have we come, and where should we go? </w:t>
      </w:r>
      <w:r w:rsidDel="00000000" w:rsidR="00000000" w:rsidRPr="00000000">
        <w:rPr>
          <w:rFonts w:ascii="Times New Roman" w:cs="Times New Roman" w:eastAsia="Times New Roman" w:hAnsi="Times New Roman"/>
          <w:i w:val="1"/>
          <w:iCs w:val="1"/>
          <w:sz w:val="24"/>
          <w:szCs w:val="24"/>
          <w:rtl w:val="0"/>
        </w:rPr>
        <w:t xml:space="preserve">Journal of Management, 43</w:t>
      </w:r>
      <w:r w:rsidDel="00000000" w:rsidR="00000000" w:rsidRPr="00000000">
        <w:rPr>
          <w:rFonts w:ascii="Times New Roman" w:cs="Times New Roman" w:eastAsia="Times New Roman" w:hAnsi="Times New Roman"/>
          <w:sz w:val="24"/>
          <w:szCs w:val="24"/>
          <w:rtl w:val="0"/>
        </w:rPr>
        <w:t xml:space="preserve">(1), 200-227.</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https://doi.org/10.1177/0149206316675927</w:t>
        </w:r>
      </w:hyperlink>
      <w:r w:rsidDel="00000000" w:rsidR="00000000" w:rsidRPr="00000000">
        <w:rPr>
          <w:rtl w:val="0"/>
        </w:rPr>
      </w:r>
    </w:p>
    <w:p w:rsidR="00000000" w:rsidDel="00000000" w:rsidP="00000000" w:rsidRDefault="00000000" w:rsidRPr="00000000" w14:paraId="00000326">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Geissdoerfer, M., Morioka, S. N., de Carvalho, M. M., &amp; Evans, S. (2018a). Business models and supply chains for the circular economy. </w:t>
      </w:r>
      <w:r w:rsidDel="00000000" w:rsidR="00000000" w:rsidRPr="00000000">
        <w:rPr>
          <w:rFonts w:ascii="Times New Roman" w:cs="Times New Roman" w:eastAsia="Times New Roman" w:hAnsi="Times New Roman"/>
          <w:i w:val="1"/>
          <w:iCs w:val="1"/>
          <w:sz w:val="24"/>
          <w:szCs w:val="24"/>
          <w:rtl w:val="0"/>
        </w:rPr>
        <w:t xml:space="preserve">Journal of Cleaner Production, 190</w:t>
      </w:r>
      <w:r w:rsidDel="00000000" w:rsidR="00000000" w:rsidRPr="00000000">
        <w:rPr>
          <w:rFonts w:ascii="Times New Roman" w:cs="Times New Roman" w:eastAsia="Times New Roman" w:hAnsi="Times New Roman"/>
          <w:sz w:val="24"/>
          <w:szCs w:val="24"/>
          <w:rtl w:val="0"/>
        </w:rPr>
        <w:t xml:space="preserve">, 712-721.</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https://doi.org/10.1016/j.jclepro.2018.04.159</w:t>
        </w:r>
      </w:hyperlink>
      <w:r w:rsidDel="00000000" w:rsidR="00000000" w:rsidRPr="00000000">
        <w:rPr>
          <w:rtl w:val="0"/>
        </w:rPr>
      </w:r>
    </w:p>
    <w:p w:rsidR="00000000" w:rsidDel="00000000" w:rsidP="00000000" w:rsidRDefault="00000000" w:rsidRPr="00000000" w14:paraId="0000032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Geissdoerfer, M., Pieroni, M. P. P., Pigosso, D. C. A., &amp; Soufani, K. (2020). Circular business models: A review. </w:t>
      </w:r>
      <w:r w:rsidDel="00000000" w:rsidR="00000000" w:rsidRPr="00000000">
        <w:rPr>
          <w:rFonts w:ascii="Times New Roman" w:cs="Times New Roman" w:eastAsia="Times New Roman" w:hAnsi="Times New Roman"/>
          <w:i w:val="1"/>
          <w:iCs w:val="1"/>
          <w:sz w:val="24"/>
          <w:szCs w:val="24"/>
          <w:rtl w:val="0"/>
        </w:rPr>
        <w:t xml:space="preserve">Journal of Cleaner Production, 277</w:t>
      </w:r>
      <w:r w:rsidDel="00000000" w:rsidR="00000000" w:rsidRPr="00000000">
        <w:rPr>
          <w:rFonts w:ascii="Times New Roman" w:cs="Times New Roman" w:eastAsia="Times New Roman" w:hAnsi="Times New Roman"/>
          <w:sz w:val="24"/>
          <w:szCs w:val="24"/>
          <w:rtl w:val="0"/>
        </w:rPr>
        <w:t xml:space="preserve">, 123741.</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https://doi.org/10.1016/j.jclepro.2020.123741</w:t>
        </w:r>
      </w:hyperlink>
      <w:r w:rsidDel="00000000" w:rsidR="00000000" w:rsidRPr="00000000">
        <w:rPr>
          <w:rtl w:val="0"/>
        </w:rPr>
      </w:r>
    </w:p>
    <w:p w:rsidR="00000000" w:rsidDel="00000000" w:rsidP="00000000" w:rsidRDefault="00000000" w:rsidRPr="00000000" w14:paraId="0000032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Geissdoerfer, M., Vladimirova, D., &amp; Evans, S. (2018b). Sustainable business model innovation: A review. </w:t>
      </w:r>
      <w:r w:rsidDel="00000000" w:rsidR="00000000" w:rsidRPr="00000000">
        <w:rPr>
          <w:rFonts w:ascii="Times New Roman" w:cs="Times New Roman" w:eastAsia="Times New Roman" w:hAnsi="Times New Roman"/>
          <w:i w:val="1"/>
          <w:iCs w:val="1"/>
          <w:sz w:val="24"/>
          <w:szCs w:val="24"/>
          <w:rtl w:val="0"/>
        </w:rPr>
        <w:t xml:space="preserve">Journal of Cleaner Production, 198</w:t>
      </w:r>
      <w:r w:rsidDel="00000000" w:rsidR="00000000" w:rsidRPr="00000000">
        <w:rPr>
          <w:rFonts w:ascii="Times New Roman" w:cs="Times New Roman" w:eastAsia="Times New Roman" w:hAnsi="Times New Roman"/>
          <w:sz w:val="24"/>
          <w:szCs w:val="24"/>
          <w:rtl w:val="0"/>
        </w:rPr>
        <w:t xml:space="preserve">, 401-416.</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https://doi.org/10.1016/j.jclepro.2018.06.240</w:t>
        </w:r>
      </w:hyperlink>
      <w:r w:rsidDel="00000000" w:rsidR="00000000" w:rsidRPr="00000000">
        <w:rPr>
          <w:rtl w:val="0"/>
        </w:rPr>
      </w:r>
    </w:p>
    <w:p w:rsidR="00000000" w:rsidDel="00000000" w:rsidP="00000000" w:rsidRDefault="00000000" w:rsidRPr="00000000" w14:paraId="0000032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Gössling, S., &amp; Humpe, A. (2023). Net-zero aviation: Time for a new business model? </w:t>
      </w:r>
      <w:r w:rsidDel="00000000" w:rsidR="00000000" w:rsidRPr="00000000">
        <w:rPr>
          <w:rFonts w:ascii="Times New Roman" w:cs="Times New Roman" w:eastAsia="Times New Roman" w:hAnsi="Times New Roman"/>
          <w:i w:val="1"/>
          <w:iCs w:val="1"/>
          <w:sz w:val="24"/>
          <w:szCs w:val="24"/>
          <w:rtl w:val="0"/>
        </w:rPr>
        <w:t xml:space="preserve">Journal of Air Transport Management, 107</w:t>
      </w:r>
      <w:r w:rsidDel="00000000" w:rsidR="00000000" w:rsidRPr="00000000">
        <w:rPr>
          <w:rFonts w:ascii="Times New Roman" w:cs="Times New Roman" w:eastAsia="Times New Roman" w:hAnsi="Times New Roman"/>
          <w:sz w:val="24"/>
          <w:szCs w:val="24"/>
          <w:rtl w:val="0"/>
        </w:rPr>
        <w:t xml:space="preserve">, 102353.</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https://doi.org/10.1016/j.jairtraman.2022.102353</w:t>
        </w:r>
      </w:hyperlink>
      <w:r w:rsidDel="00000000" w:rsidR="00000000" w:rsidRPr="00000000">
        <w:rPr>
          <w:rtl w:val="0"/>
        </w:rPr>
      </w:r>
    </w:p>
    <w:p w:rsidR="00000000" w:rsidDel="00000000" w:rsidP="00000000" w:rsidRDefault="00000000" w:rsidRPr="00000000" w14:paraId="0000032A">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Hansen, E. G., &amp; Revellio, F. (2020). Circular value creation architectures: Make, ally, buy, or laissez-faire. </w:t>
      </w:r>
      <w:r w:rsidDel="00000000" w:rsidR="00000000" w:rsidRPr="00000000">
        <w:rPr>
          <w:rFonts w:ascii="Times New Roman" w:cs="Times New Roman" w:eastAsia="Times New Roman" w:hAnsi="Times New Roman"/>
          <w:i w:val="1"/>
          <w:iCs w:val="1"/>
          <w:sz w:val="24"/>
          <w:szCs w:val="24"/>
          <w:rtl w:val="0"/>
        </w:rPr>
        <w:t xml:space="preserve">Journal of Industrial Ecology, 24</w:t>
      </w:r>
      <w:r w:rsidDel="00000000" w:rsidR="00000000" w:rsidRPr="00000000">
        <w:rPr>
          <w:rFonts w:ascii="Times New Roman" w:cs="Times New Roman" w:eastAsia="Times New Roman" w:hAnsi="Times New Roman"/>
          <w:sz w:val="24"/>
          <w:szCs w:val="24"/>
          <w:rtl w:val="0"/>
        </w:rPr>
        <w:t xml:space="preserve">(6), 1250-1273.</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https://doi.org/10.1111/jiec.13016</w:t>
        </w:r>
      </w:hyperlink>
      <w:r w:rsidDel="00000000" w:rsidR="00000000" w:rsidRPr="00000000">
        <w:rPr>
          <w:rtl w:val="0"/>
        </w:rPr>
      </w:r>
    </w:p>
    <w:p w:rsidR="00000000" w:rsidDel="00000000" w:rsidP="00000000" w:rsidRDefault="00000000" w:rsidRPr="00000000" w14:paraId="0000032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Hellstrom, M., Tsvetkova, A., Gustafsson, M., &amp; Wikstrom, K. (2015). Collaboration mechanisms for business models in distributed energy ecosystems. </w:t>
      </w:r>
      <w:r w:rsidDel="00000000" w:rsidR="00000000" w:rsidRPr="00000000">
        <w:rPr>
          <w:rFonts w:ascii="Times New Roman" w:cs="Times New Roman" w:eastAsia="Times New Roman" w:hAnsi="Times New Roman"/>
          <w:i w:val="1"/>
          <w:iCs w:val="1"/>
          <w:sz w:val="24"/>
          <w:szCs w:val="24"/>
          <w:rtl w:val="0"/>
        </w:rPr>
        <w:t xml:space="preserve">Journal of Cleaner Production, 102</w:t>
      </w:r>
      <w:r w:rsidDel="00000000" w:rsidR="00000000" w:rsidRPr="00000000">
        <w:rPr>
          <w:rFonts w:ascii="Times New Roman" w:cs="Times New Roman" w:eastAsia="Times New Roman" w:hAnsi="Times New Roman"/>
          <w:sz w:val="24"/>
          <w:szCs w:val="24"/>
          <w:rtl w:val="0"/>
        </w:rPr>
        <w:t xml:space="preserve">, 226-236.</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https://doi.org/10.1016/j.jclepro.2015.04.128</w:t>
        </w:r>
      </w:hyperlink>
      <w:r w:rsidDel="00000000" w:rsidR="00000000" w:rsidRPr="00000000">
        <w:rPr>
          <w:rtl w:val="0"/>
        </w:rPr>
      </w:r>
    </w:p>
    <w:p w:rsidR="00000000" w:rsidDel="00000000" w:rsidP="00000000" w:rsidRDefault="00000000" w:rsidRPr="00000000" w14:paraId="0000032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Hofmann, F. (2019). Circular business models: Business approach as driver or obstructer of sustainability transitions? </w:t>
      </w:r>
      <w:r w:rsidDel="00000000" w:rsidR="00000000" w:rsidRPr="00000000">
        <w:rPr>
          <w:rFonts w:ascii="Times New Roman" w:cs="Times New Roman" w:eastAsia="Times New Roman" w:hAnsi="Times New Roman"/>
          <w:i w:val="1"/>
          <w:iCs w:val="1"/>
          <w:sz w:val="24"/>
          <w:szCs w:val="24"/>
          <w:rtl w:val="0"/>
        </w:rPr>
        <w:t xml:space="preserve">Journal of Cleaner Production, 224</w:t>
      </w:r>
      <w:r w:rsidDel="00000000" w:rsidR="00000000" w:rsidRPr="00000000">
        <w:rPr>
          <w:rFonts w:ascii="Times New Roman" w:cs="Times New Roman" w:eastAsia="Times New Roman" w:hAnsi="Times New Roman"/>
          <w:sz w:val="24"/>
          <w:szCs w:val="24"/>
          <w:rtl w:val="0"/>
        </w:rPr>
        <w:t xml:space="preserve">, 361-374.</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https://doi.org/10.1016/j.jclepro.2019.03.115</w:t>
        </w:r>
      </w:hyperlink>
      <w:r w:rsidDel="00000000" w:rsidR="00000000" w:rsidRPr="00000000">
        <w:rPr>
          <w:rtl w:val="0"/>
        </w:rPr>
      </w:r>
    </w:p>
    <w:p w:rsidR="00000000" w:rsidDel="00000000" w:rsidP="00000000" w:rsidRDefault="00000000" w:rsidRPr="00000000" w14:paraId="000003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Civil Aviation Organization. (2022). Resolution A41-21: Consolidated statement of continuing ICAO policies and practices related to environmental protection - Climate change. ICAO Assembly, 41st Session. </w:t>
      </w:r>
      <w:hyperlink r:id="rId68">
        <w:r w:rsidDel="00000000" w:rsidR="00000000" w:rsidRPr="00000000">
          <w:rPr>
            <w:rFonts w:ascii="Times New Roman" w:cs="Times New Roman" w:eastAsia="Times New Roman" w:hAnsi="Times New Roman"/>
            <w:color w:val="1155cc"/>
            <w:sz w:val="24"/>
            <w:szCs w:val="24"/>
            <w:u w:val="single"/>
            <w:rtl w:val="0"/>
          </w:rPr>
          <w:t xml:space="preserve">https://www.icao.int/sites/default/files/sp-files/environmental-protection/Documents/Assembly/Resolution_A41-21_Climate_change.pdf</w:t>
        </w:r>
      </w:hyperlink>
      <w:r w:rsidDel="00000000" w:rsidR="00000000" w:rsidRPr="00000000">
        <w:rPr>
          <w:rtl w:val="0"/>
        </w:rPr>
      </w:r>
    </w:p>
    <w:p w:rsidR="00000000" w:rsidDel="00000000" w:rsidP="00000000" w:rsidRDefault="00000000" w:rsidRPr="00000000" w14:paraId="000003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Civil Aviation Organization. (2025). Resolution A42-22: Consolidated statement of continuing ICAO policies and practices related to environmental protection - Carbon Offsetting and Reduction Scheme for International Aviation (CORSIA). ICAO Assembly, 42nd Session. </w:t>
      </w:r>
      <w:hyperlink r:id="rId69">
        <w:r w:rsidDel="00000000" w:rsidR="00000000" w:rsidRPr="00000000">
          <w:rPr>
            <w:rFonts w:ascii="Times New Roman" w:cs="Times New Roman" w:eastAsia="Times New Roman" w:hAnsi="Times New Roman"/>
            <w:color w:val="1155cc"/>
            <w:sz w:val="24"/>
            <w:szCs w:val="24"/>
            <w:u w:val="single"/>
            <w:rtl w:val="0"/>
          </w:rPr>
          <w:t xml:space="preserve">https://www.icao.int/sites/default/files/environmental-protection/Assembly42/Resolution-A42-22_CORSIA.pdf</w:t>
        </w:r>
      </w:hyperlink>
      <w:r w:rsidDel="00000000" w:rsidR="00000000" w:rsidRPr="00000000">
        <w:rPr>
          <w:rtl w:val="0"/>
        </w:rPr>
      </w:r>
    </w:p>
    <w:p w:rsidR="00000000" w:rsidDel="00000000" w:rsidP="00000000" w:rsidRDefault="00000000" w:rsidRPr="00000000" w14:paraId="000003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Kaipainen, J., Urbinati, A., Chiaroni, D., &amp; Aarikka-Stenroos, L. (in press). How companies innovate business models and supply chains for a circular economy: A multiple-case study and framework. </w:t>
      </w:r>
      <w:r w:rsidDel="00000000" w:rsidR="00000000" w:rsidRPr="00000000">
        <w:rPr>
          <w:rFonts w:ascii="Times New Roman" w:cs="Times New Roman" w:eastAsia="Times New Roman" w:hAnsi="Times New Roman"/>
          <w:i w:val="1"/>
          <w:iCs w:val="1"/>
          <w:sz w:val="24"/>
          <w:szCs w:val="24"/>
          <w:rtl w:val="0"/>
        </w:rPr>
        <w:t xml:space="preserve">Tampere University / Politecnico di Milano</w:t>
      </w:r>
      <w:r w:rsidDel="00000000" w:rsidR="00000000" w:rsidRPr="00000000">
        <w:rPr>
          <w:rFonts w:ascii="Times New Roman" w:cs="Times New Roman" w:eastAsia="Times New Roman" w:hAnsi="Times New Roman"/>
          <w:sz w:val="24"/>
          <w:szCs w:val="24"/>
          <w:rtl w:val="0"/>
        </w:rPr>
        <w:t xml:space="preserve">. </w:t>
      </w:r>
      <w:hyperlink r:id="rId70">
        <w:r w:rsidDel="00000000" w:rsidR="00000000" w:rsidRPr="00000000">
          <w:rPr>
            <w:rFonts w:ascii="Times New Roman" w:cs="Times New Roman" w:eastAsia="Times New Roman" w:hAnsi="Times New Roman"/>
            <w:color w:val="1155cc"/>
            <w:sz w:val="24"/>
            <w:szCs w:val="24"/>
            <w:u w:val="single"/>
            <w:rtl w:val="0"/>
          </w:rPr>
          <w:t xml:space="preserve">https://cris.tuni.fi/ws/portalfiles/portal/74975162/How_companies_innovate_BMs_and_SCs_for_a_CE_003_.pdf</w:t>
        </w:r>
      </w:hyperlink>
      <w:r w:rsidDel="00000000" w:rsidR="00000000" w:rsidRPr="00000000">
        <w:rPr>
          <w:rtl w:val="0"/>
        </w:rPr>
      </w:r>
    </w:p>
    <w:p w:rsidR="00000000" w:rsidDel="00000000" w:rsidP="00000000" w:rsidRDefault="00000000" w:rsidRPr="00000000" w14:paraId="0000033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Kanda, W., Klofsten, M., Bienkowska, D., Henry, M., &amp; Hjelm, O. (2024). Challenges of circular new ventures: An empirical analysis of 70 cases. </w:t>
      </w:r>
      <w:r w:rsidDel="00000000" w:rsidR="00000000" w:rsidRPr="00000000">
        <w:rPr>
          <w:rFonts w:ascii="Times New Roman" w:cs="Times New Roman" w:eastAsia="Times New Roman" w:hAnsi="Times New Roman"/>
          <w:i w:val="1"/>
          <w:iCs w:val="1"/>
          <w:sz w:val="24"/>
          <w:szCs w:val="24"/>
          <w:rtl w:val="0"/>
        </w:rPr>
        <w:t xml:space="preserve">Journal of Cleaner Production, 442</w:t>
      </w:r>
      <w:r w:rsidDel="00000000" w:rsidR="00000000" w:rsidRPr="00000000">
        <w:rPr>
          <w:rFonts w:ascii="Times New Roman" w:cs="Times New Roman" w:eastAsia="Times New Roman" w:hAnsi="Times New Roman"/>
          <w:sz w:val="24"/>
          <w:szCs w:val="24"/>
          <w:rtl w:val="0"/>
        </w:rPr>
        <w:t xml:space="preserve">, 141103.</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https://doi.org/10.1016/j.jclepro.2024.141103</w:t>
        </w:r>
      </w:hyperlink>
      <w:r w:rsidDel="00000000" w:rsidR="00000000" w:rsidRPr="00000000">
        <w:rPr>
          <w:rtl w:val="0"/>
        </w:rPr>
      </w:r>
    </w:p>
    <w:p w:rsidR="00000000" w:rsidDel="00000000" w:rsidP="00000000" w:rsidRDefault="00000000" w:rsidRPr="00000000" w14:paraId="0000033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Kanzari, A., Rasmussen, J., Nehler, H., &amp; Ingelsson, F. (2022). How financial performance is addressed in light of the transition to circular business models: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Cleaner Production, 376</w:t>
      </w:r>
      <w:r w:rsidDel="00000000" w:rsidR="00000000" w:rsidRPr="00000000">
        <w:rPr>
          <w:rFonts w:ascii="Times New Roman" w:cs="Times New Roman" w:eastAsia="Times New Roman" w:hAnsi="Times New Roman"/>
          <w:sz w:val="24"/>
          <w:szCs w:val="24"/>
          <w:rtl w:val="0"/>
        </w:rPr>
        <w:t xml:space="preserve">, 134134.</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https://doi.org/10.1016/j.jclepro.2022.134134</w:t>
        </w:r>
      </w:hyperlink>
      <w:r w:rsidDel="00000000" w:rsidR="00000000" w:rsidRPr="00000000">
        <w:rPr>
          <w:rtl w:val="0"/>
        </w:rPr>
      </w:r>
    </w:p>
    <w:p w:rsidR="00000000" w:rsidDel="00000000" w:rsidP="00000000" w:rsidRDefault="00000000" w:rsidRPr="00000000" w14:paraId="0000033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Karanki, F., &amp; Yu, C. (2026). The asymmetric impact of sustainable aviation fuel adoption on airline industry. </w:t>
      </w:r>
      <w:r w:rsidDel="00000000" w:rsidR="00000000" w:rsidRPr="00000000">
        <w:rPr>
          <w:rFonts w:ascii="Times New Roman" w:cs="Times New Roman" w:eastAsia="Times New Roman" w:hAnsi="Times New Roman"/>
          <w:i w:val="1"/>
          <w:iCs w:val="1"/>
          <w:sz w:val="24"/>
          <w:szCs w:val="24"/>
          <w:rtl w:val="0"/>
        </w:rPr>
        <w:t xml:space="preserve">Transport Policy, 180</w:t>
      </w:r>
      <w:r w:rsidDel="00000000" w:rsidR="00000000" w:rsidRPr="00000000">
        <w:rPr>
          <w:rFonts w:ascii="Times New Roman" w:cs="Times New Roman" w:eastAsia="Times New Roman" w:hAnsi="Times New Roman"/>
          <w:sz w:val="24"/>
          <w:szCs w:val="24"/>
          <w:rtl w:val="0"/>
        </w:rPr>
        <w:t xml:space="preserve">, 104059.</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https://doi.org/10.1016/j.tranpol.2026.104059</w:t>
        </w:r>
      </w:hyperlink>
      <w:r w:rsidDel="00000000" w:rsidR="00000000" w:rsidRPr="00000000">
        <w:rPr>
          <w:rtl w:val="0"/>
        </w:rPr>
      </w:r>
    </w:p>
    <w:p w:rsidR="00000000" w:rsidDel="00000000" w:rsidP="00000000" w:rsidRDefault="00000000" w:rsidRPr="00000000" w14:paraId="0000033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Kharbeet, G., Khodaei, H., Ortt, R., &amp; Scholten, V. (2026). Triggers of sustainable business model innovation in technology-based startups: An empirical investigation. </w:t>
      </w:r>
      <w:r w:rsidDel="00000000" w:rsidR="00000000" w:rsidRPr="00000000">
        <w:rPr>
          <w:rFonts w:ascii="Times New Roman" w:cs="Times New Roman" w:eastAsia="Times New Roman" w:hAnsi="Times New Roman"/>
          <w:i w:val="1"/>
          <w:iCs w:val="1"/>
          <w:sz w:val="24"/>
          <w:szCs w:val="24"/>
          <w:rtl w:val="0"/>
        </w:rPr>
        <w:t xml:space="preserve">Journal of Innovation &amp; Knowledge, 16</w:t>
      </w:r>
      <w:r w:rsidDel="00000000" w:rsidR="00000000" w:rsidRPr="00000000">
        <w:rPr>
          <w:rFonts w:ascii="Times New Roman" w:cs="Times New Roman" w:eastAsia="Times New Roman" w:hAnsi="Times New Roman"/>
          <w:sz w:val="24"/>
          <w:szCs w:val="24"/>
          <w:rtl w:val="0"/>
        </w:rPr>
        <w:t xml:space="preserve">, 101021.</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https://doi.org/10.1016/j.jik.2026.101021</w:t>
        </w:r>
      </w:hyperlink>
      <w:r w:rsidDel="00000000" w:rsidR="00000000" w:rsidRPr="00000000">
        <w:rPr>
          <w:rtl w:val="0"/>
        </w:rPr>
      </w:r>
    </w:p>
    <w:p w:rsidR="00000000" w:rsidDel="00000000" w:rsidP="00000000" w:rsidRDefault="00000000" w:rsidRPr="00000000" w14:paraId="0000033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Konietzko, J., Bocken, N., &amp; Hultink, E. J. (2020). Circular ecosystem innovation: An initial set of principles. </w:t>
      </w:r>
      <w:r w:rsidDel="00000000" w:rsidR="00000000" w:rsidRPr="00000000">
        <w:rPr>
          <w:rFonts w:ascii="Times New Roman" w:cs="Times New Roman" w:eastAsia="Times New Roman" w:hAnsi="Times New Roman"/>
          <w:i w:val="1"/>
          <w:iCs w:val="1"/>
          <w:sz w:val="24"/>
          <w:szCs w:val="24"/>
          <w:rtl w:val="0"/>
        </w:rPr>
        <w:t xml:space="preserve">Journal of Cleaner Production, 253</w:t>
      </w:r>
      <w:r w:rsidDel="00000000" w:rsidR="00000000" w:rsidRPr="00000000">
        <w:rPr>
          <w:rFonts w:ascii="Times New Roman" w:cs="Times New Roman" w:eastAsia="Times New Roman" w:hAnsi="Times New Roman"/>
          <w:sz w:val="24"/>
          <w:szCs w:val="24"/>
          <w:rtl w:val="0"/>
        </w:rPr>
        <w:t xml:space="preserve">, 119942.</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https://doi.org/10.1016/j.jclepro.2019.119942</w:t>
        </w:r>
      </w:hyperlink>
      <w:r w:rsidDel="00000000" w:rsidR="00000000" w:rsidRPr="00000000">
        <w:rPr>
          <w:rtl w:val="0"/>
        </w:rPr>
      </w:r>
    </w:p>
    <w:p w:rsidR="00000000" w:rsidDel="00000000" w:rsidP="00000000" w:rsidRDefault="00000000" w:rsidRPr="00000000" w14:paraId="000003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Leisen, R., Steffen, B., &amp; Weber, C. (2019). Regulatory risk and the resilience of new sustainable business models in the energy sector. </w:t>
      </w:r>
      <w:r w:rsidDel="00000000" w:rsidR="00000000" w:rsidRPr="00000000">
        <w:rPr>
          <w:rFonts w:ascii="Times New Roman" w:cs="Times New Roman" w:eastAsia="Times New Roman" w:hAnsi="Times New Roman"/>
          <w:i w:val="1"/>
          <w:iCs w:val="1"/>
          <w:sz w:val="24"/>
          <w:szCs w:val="24"/>
          <w:rtl w:val="0"/>
        </w:rPr>
        <w:t xml:space="preserve">Journal of Cleaner Production, 219</w:t>
      </w:r>
      <w:r w:rsidDel="00000000" w:rsidR="00000000" w:rsidRPr="00000000">
        <w:rPr>
          <w:rFonts w:ascii="Times New Roman" w:cs="Times New Roman" w:eastAsia="Times New Roman" w:hAnsi="Times New Roman"/>
          <w:sz w:val="24"/>
          <w:szCs w:val="24"/>
          <w:rtl w:val="0"/>
        </w:rPr>
        <w:t xml:space="preserve">, 865-878.</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https://doi.org/10.1016/j.jclepro.2019.01.330</w:t>
        </w:r>
      </w:hyperlink>
      <w:r w:rsidDel="00000000" w:rsidR="00000000" w:rsidRPr="00000000">
        <w:rPr>
          <w:rtl w:val="0"/>
        </w:rPr>
      </w:r>
    </w:p>
    <w:p w:rsidR="00000000" w:rsidDel="00000000" w:rsidP="00000000" w:rsidRDefault="00000000" w:rsidRPr="00000000" w14:paraId="00000336">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Liang, L., Chen, P., &amp; Ma, M. (2026). Dynamic analysis and simulation of the economic viability of sustainable aviation fuel blending in airlines: Emphasizing China’s pilot policy and future development potential. </w:t>
      </w:r>
      <w:r w:rsidDel="00000000" w:rsidR="00000000" w:rsidRPr="00000000">
        <w:rPr>
          <w:rFonts w:ascii="Times New Roman" w:cs="Times New Roman" w:eastAsia="Times New Roman" w:hAnsi="Times New Roman"/>
          <w:i w:val="1"/>
          <w:iCs w:val="1"/>
          <w:sz w:val="24"/>
          <w:szCs w:val="24"/>
          <w:rtl w:val="0"/>
        </w:rPr>
        <w:t xml:space="preserve">Transport Policy, 177</w:t>
      </w:r>
      <w:r w:rsidDel="00000000" w:rsidR="00000000" w:rsidRPr="00000000">
        <w:rPr>
          <w:rFonts w:ascii="Times New Roman" w:cs="Times New Roman" w:eastAsia="Times New Roman" w:hAnsi="Times New Roman"/>
          <w:sz w:val="24"/>
          <w:szCs w:val="24"/>
          <w:rtl w:val="0"/>
        </w:rPr>
        <w:t xml:space="preserve">, 103944.</w:t>
      </w:r>
      <w:hyperlink r:id="rId83">
        <w:r w:rsidDel="00000000" w:rsidR="00000000" w:rsidRPr="00000000">
          <w:rPr>
            <w:rFonts w:ascii="Times New Roman" w:cs="Times New Roman" w:eastAsia="Times New Roman" w:hAnsi="Times New Roman"/>
            <w:sz w:val="24"/>
            <w:szCs w:val="24"/>
            <w:rtl w:val="0"/>
          </w:rPr>
          <w:t xml:space="preserve"> </w:t>
        </w:r>
      </w:hyperlink>
      <w:hyperlink r:id="rId84">
        <w:r w:rsidDel="00000000" w:rsidR="00000000" w:rsidRPr="00000000">
          <w:rPr>
            <w:rFonts w:ascii="Times New Roman" w:cs="Times New Roman" w:eastAsia="Times New Roman" w:hAnsi="Times New Roman"/>
            <w:color w:val="1155cc"/>
            <w:sz w:val="24"/>
            <w:szCs w:val="24"/>
            <w:u w:val="single"/>
            <w:rtl w:val="0"/>
          </w:rPr>
          <w:t xml:space="preserve">https://doi.org/10.1016/j.tranpol.2025.103944</w:t>
        </w:r>
      </w:hyperlink>
      <w:r w:rsidDel="00000000" w:rsidR="00000000" w:rsidRPr="00000000">
        <w:rPr>
          <w:rtl w:val="0"/>
        </w:rPr>
      </w:r>
    </w:p>
    <w:p w:rsidR="00000000" w:rsidDel="00000000" w:rsidP="00000000" w:rsidRDefault="00000000" w:rsidRPr="00000000" w14:paraId="000003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Economische Zaken en Klimaat. (2023). Nationaal plan energiesysteem: Hoofddocument. Rijksoverheid. </w:t>
      </w:r>
      <w:hyperlink r:id="rId85">
        <w:r w:rsidDel="00000000" w:rsidR="00000000" w:rsidRPr="00000000">
          <w:rPr>
            <w:rFonts w:ascii="Times New Roman" w:cs="Times New Roman" w:eastAsia="Times New Roman" w:hAnsi="Times New Roman"/>
            <w:color w:val="1155cc"/>
            <w:sz w:val="24"/>
            <w:szCs w:val="24"/>
            <w:u w:val="single"/>
            <w:rtl w:val="0"/>
          </w:rPr>
          <w:t xml:space="preserve">https://open.overheid.nl/documenten/2f5cbb52-0631-4aad-b3dd-5088fab859c5/file</w:t>
        </w:r>
      </w:hyperlink>
      <w:r w:rsidDel="00000000" w:rsidR="00000000" w:rsidRPr="00000000">
        <w:rPr>
          <w:rtl w:val="0"/>
        </w:rPr>
      </w:r>
    </w:p>
    <w:p w:rsidR="00000000" w:rsidDel="00000000" w:rsidP="00000000" w:rsidRDefault="00000000" w:rsidRPr="00000000" w14:paraId="000003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Milieu &amp; Ministerie van Economische Zaken. (2016). Nederland circulair in 2050: Rijksbreed programma circulaire economie. Rijksoverheid. </w:t>
      </w:r>
      <w:hyperlink r:id="rId86">
        <w:r w:rsidDel="00000000" w:rsidR="00000000" w:rsidRPr="00000000">
          <w:rPr>
            <w:rFonts w:ascii="Times New Roman" w:cs="Times New Roman" w:eastAsia="Times New Roman" w:hAnsi="Times New Roman"/>
            <w:color w:val="1155cc"/>
            <w:sz w:val="24"/>
            <w:szCs w:val="24"/>
            <w:u w:val="single"/>
            <w:rtl w:val="0"/>
          </w:rPr>
          <w:t xml:space="preserve">https://open.overheid.nl/documenten/ronl-a6ce8220-07e8-4b64-9f3d-e69bb4ed2f9c/pdf</w:t>
        </w:r>
      </w:hyperlink>
      <w:r w:rsidDel="00000000" w:rsidR="00000000" w:rsidRPr="00000000">
        <w:rPr>
          <w:rtl w:val="0"/>
        </w:rPr>
      </w:r>
    </w:p>
    <w:p w:rsidR="00000000" w:rsidDel="00000000" w:rsidP="00000000" w:rsidRDefault="00000000" w:rsidRPr="00000000" w14:paraId="000003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(2019). Landelijk afvalbeheerplan 2017-2029, eerste herziening. </w:t>
      </w:r>
      <w:hyperlink r:id="rId87">
        <w:r w:rsidDel="00000000" w:rsidR="00000000" w:rsidRPr="00000000">
          <w:rPr>
            <w:rFonts w:ascii="Times New Roman" w:cs="Times New Roman" w:eastAsia="Times New Roman" w:hAnsi="Times New Roman"/>
            <w:color w:val="1155cc"/>
            <w:sz w:val="24"/>
            <w:szCs w:val="24"/>
            <w:u w:val="single"/>
            <w:rtl w:val="0"/>
          </w:rPr>
          <w:t xml:space="preserve">https://lap3.nl</w:t>
        </w:r>
      </w:hyperlink>
      <w:r w:rsidDel="00000000" w:rsidR="00000000" w:rsidRPr="00000000">
        <w:rPr>
          <w:rtl w:val="0"/>
        </w:rPr>
      </w:r>
    </w:p>
    <w:p w:rsidR="00000000" w:rsidDel="00000000" w:rsidP="00000000" w:rsidRDefault="00000000" w:rsidRPr="00000000" w14:paraId="000003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(2025). Circulair Materialenplan. </w:t>
      </w:r>
      <w:hyperlink r:id="rId88">
        <w:r w:rsidDel="00000000" w:rsidR="00000000" w:rsidRPr="00000000">
          <w:rPr>
            <w:rFonts w:ascii="Times New Roman" w:cs="Times New Roman" w:eastAsia="Times New Roman" w:hAnsi="Times New Roman"/>
            <w:color w:val="1155cc"/>
            <w:sz w:val="24"/>
            <w:szCs w:val="24"/>
            <w:u w:val="single"/>
            <w:rtl w:val="0"/>
          </w:rPr>
          <w:t xml:space="preserve">https://circulairmaterialenplan.nl</w:t>
        </w:r>
      </w:hyperlink>
      <w:r w:rsidDel="00000000" w:rsidR="00000000" w:rsidRPr="00000000">
        <w:rPr>
          <w:rtl w:val="0"/>
        </w:rPr>
      </w:r>
    </w:p>
    <w:p w:rsidR="00000000" w:rsidDel="00000000" w:rsidP="00000000" w:rsidRDefault="00000000" w:rsidRPr="00000000" w14:paraId="000003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(n.d.). Wet milieubeheer. Wetten.overheid.nl. </w:t>
      </w:r>
      <w:hyperlink r:id="rId89">
        <w:r w:rsidDel="00000000" w:rsidR="00000000" w:rsidRPr="00000000">
          <w:rPr>
            <w:rFonts w:ascii="Times New Roman" w:cs="Times New Roman" w:eastAsia="Times New Roman" w:hAnsi="Times New Roman"/>
            <w:color w:val="1155cc"/>
            <w:sz w:val="24"/>
            <w:szCs w:val="24"/>
            <w:u w:val="single"/>
            <w:rtl w:val="0"/>
          </w:rPr>
          <w:t xml:space="preserve">https://wetten.overheid.nl/BWBR0003245</w:t>
        </w:r>
      </w:hyperlink>
      <w:r w:rsidDel="00000000" w:rsidR="00000000" w:rsidRPr="00000000">
        <w:rPr>
          <w:rtl w:val="0"/>
        </w:rPr>
      </w:r>
    </w:p>
    <w:p w:rsidR="00000000" w:rsidDel="00000000" w:rsidP="00000000" w:rsidRDefault="00000000" w:rsidRPr="00000000" w14:paraId="000003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(2020). Luchtvaartnota 2020-2050: Verantwoord vliegen naar 2050. Ministerie van Infrastructuur en Waterstaat. </w:t>
      </w:r>
      <w:hyperlink r:id="rId90">
        <w:r w:rsidDel="00000000" w:rsidR="00000000" w:rsidRPr="00000000">
          <w:rPr>
            <w:rFonts w:ascii="Times New Roman" w:cs="Times New Roman" w:eastAsia="Times New Roman" w:hAnsi="Times New Roman"/>
            <w:color w:val="1155cc"/>
            <w:sz w:val="24"/>
            <w:szCs w:val="24"/>
            <w:u w:val="single"/>
            <w:rtl w:val="0"/>
          </w:rPr>
          <w:t xml:space="preserve">https://open.overheid.nl/documenten/ronl-c2ae4e29-a960-4c91-99af-7bca52b8c9f9/pdf</w:t>
        </w:r>
      </w:hyperlink>
      <w:r w:rsidDel="00000000" w:rsidR="00000000" w:rsidRPr="00000000">
        <w:rPr>
          <w:rtl w:val="0"/>
        </w:rPr>
      </w:r>
    </w:p>
    <w:p w:rsidR="00000000" w:rsidDel="00000000" w:rsidP="00000000" w:rsidRDefault="00000000" w:rsidRPr="00000000" w14:paraId="000003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Klimaat en Groene Groei. (n.d.-a). Klimaatwet. Wetten.overheid.nl. </w:t>
      </w:r>
      <w:hyperlink r:id="rId91">
        <w:r w:rsidDel="00000000" w:rsidR="00000000" w:rsidRPr="00000000">
          <w:rPr>
            <w:rFonts w:ascii="Times New Roman" w:cs="Times New Roman" w:eastAsia="Times New Roman" w:hAnsi="Times New Roman"/>
            <w:color w:val="1155cc"/>
            <w:sz w:val="24"/>
            <w:szCs w:val="24"/>
            <w:u w:val="single"/>
            <w:rtl w:val="0"/>
          </w:rPr>
          <w:t xml:space="preserve">https://wetten.overheid.nl/BWBR0042394</w:t>
        </w:r>
      </w:hyperlink>
      <w:r w:rsidDel="00000000" w:rsidR="00000000" w:rsidRPr="00000000">
        <w:rPr>
          <w:rtl w:val="0"/>
        </w:rPr>
      </w:r>
    </w:p>
    <w:p w:rsidR="00000000" w:rsidDel="00000000" w:rsidP="00000000" w:rsidRDefault="00000000" w:rsidRPr="00000000" w14:paraId="000003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Klimaat en Groene Groei. (n.d.-b). Tijdelijke wet Klimaat- en energiefonds. </w:t>
      </w:r>
      <w:hyperlink r:id="rId92">
        <w:r w:rsidDel="00000000" w:rsidR="00000000" w:rsidRPr="00000000">
          <w:rPr>
            <w:rFonts w:ascii="Times New Roman" w:cs="Times New Roman" w:eastAsia="Times New Roman" w:hAnsi="Times New Roman"/>
            <w:color w:val="1155cc"/>
            <w:sz w:val="24"/>
            <w:szCs w:val="24"/>
            <w:u w:val="single"/>
            <w:rtl w:val="0"/>
          </w:rPr>
          <w:t xml:space="preserve">https://wetten.overheid.nl/BWBR0049322/2024-07-01/0</w:t>
        </w:r>
      </w:hyperlink>
      <w:r w:rsidDel="00000000" w:rsidR="00000000" w:rsidRPr="00000000">
        <w:rPr>
          <w:rtl w:val="0"/>
        </w:rPr>
      </w:r>
    </w:p>
    <w:p w:rsidR="00000000" w:rsidDel="00000000" w:rsidP="00000000" w:rsidRDefault="00000000" w:rsidRPr="00000000" w14:paraId="000003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Klimaat en Groene Groei. (2025). Klimaatplan 2025-2035: Op weg naar een klimaatneutraal Nederland (Publicatienr. 25400800). Rijksoverheid. </w:t>
      </w:r>
      <w:hyperlink r:id="rId93">
        <w:r w:rsidDel="00000000" w:rsidR="00000000" w:rsidRPr="00000000">
          <w:rPr>
            <w:rFonts w:ascii="Times New Roman" w:cs="Times New Roman" w:eastAsia="Times New Roman" w:hAnsi="Times New Roman"/>
            <w:color w:val="1155cc"/>
            <w:sz w:val="24"/>
            <w:szCs w:val="24"/>
            <w:u w:val="single"/>
            <w:rtl w:val="0"/>
          </w:rPr>
          <w:t xml:space="preserve">https://open.overheid.nl/documenten/1cc2dff1-ea3e-499e-b1e3-04bf487b649d/file</w:t>
        </w:r>
      </w:hyperlink>
      <w:r w:rsidDel="00000000" w:rsidR="00000000" w:rsidRPr="00000000">
        <w:rPr>
          <w:rtl w:val="0"/>
        </w:rPr>
      </w:r>
    </w:p>
    <w:p w:rsidR="00000000" w:rsidDel="00000000" w:rsidP="00000000" w:rsidRDefault="00000000" w:rsidRPr="00000000" w14:paraId="000003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Ministerie van Infrastructuur en Waterstaat. (n.d.). Omgevingswet. Wetten.overheid.nl. </w:t>
      </w:r>
      <w:hyperlink r:id="rId94">
        <w:r w:rsidDel="00000000" w:rsidR="00000000" w:rsidRPr="00000000">
          <w:rPr>
            <w:rFonts w:ascii="Times New Roman" w:cs="Times New Roman" w:eastAsia="Times New Roman" w:hAnsi="Times New Roman"/>
            <w:color w:val="1155cc"/>
            <w:sz w:val="24"/>
            <w:szCs w:val="24"/>
            <w:u w:val="single"/>
            <w:rtl w:val="0"/>
          </w:rPr>
          <w:t xml:space="preserve">https://wetten.overheid.nl/BWBR0037885</w:t>
        </w:r>
      </w:hyperlink>
      <w:r w:rsidDel="00000000" w:rsidR="00000000" w:rsidRPr="00000000">
        <w:rPr>
          <w:rtl w:val="0"/>
        </w:rPr>
      </w:r>
    </w:p>
    <w:p w:rsidR="00000000" w:rsidDel="00000000" w:rsidP="00000000" w:rsidRDefault="00000000" w:rsidRPr="00000000" w14:paraId="0000034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Minoja, M., &amp; Romano, G. (2024). Effective stakeholder governance in circular economy: Insights from Italian companies. </w:t>
      </w:r>
      <w:r w:rsidDel="00000000" w:rsidR="00000000" w:rsidRPr="00000000">
        <w:rPr>
          <w:rFonts w:ascii="Times New Roman" w:cs="Times New Roman" w:eastAsia="Times New Roman" w:hAnsi="Times New Roman"/>
          <w:i w:val="1"/>
          <w:iCs w:val="1"/>
          <w:sz w:val="24"/>
          <w:szCs w:val="24"/>
          <w:rtl w:val="0"/>
        </w:rPr>
        <w:t xml:space="preserve">Journal of Cleaner Production, 474</w:t>
      </w:r>
      <w:r w:rsidDel="00000000" w:rsidR="00000000" w:rsidRPr="00000000">
        <w:rPr>
          <w:rFonts w:ascii="Times New Roman" w:cs="Times New Roman" w:eastAsia="Times New Roman" w:hAnsi="Times New Roman"/>
          <w:sz w:val="24"/>
          <w:szCs w:val="24"/>
          <w:rtl w:val="0"/>
        </w:rPr>
        <w:t xml:space="preserve">, 143584.</w:t>
      </w:r>
      <w:hyperlink r:id="rId95">
        <w:r w:rsidDel="00000000" w:rsidR="00000000" w:rsidRPr="00000000">
          <w:rPr>
            <w:rFonts w:ascii="Times New Roman" w:cs="Times New Roman" w:eastAsia="Times New Roman" w:hAnsi="Times New Roman"/>
            <w:sz w:val="24"/>
            <w:szCs w:val="24"/>
            <w:rtl w:val="0"/>
          </w:rPr>
          <w:t xml:space="preserve"> </w:t>
        </w:r>
      </w:hyperlink>
      <w:hyperlink r:id="rId96">
        <w:r w:rsidDel="00000000" w:rsidR="00000000" w:rsidRPr="00000000">
          <w:rPr>
            <w:rFonts w:ascii="Times New Roman" w:cs="Times New Roman" w:eastAsia="Times New Roman" w:hAnsi="Times New Roman"/>
            <w:color w:val="1155cc"/>
            <w:sz w:val="24"/>
            <w:szCs w:val="24"/>
            <w:u w:val="single"/>
            <w:rtl w:val="0"/>
          </w:rPr>
          <w:t xml:space="preserve">https://doi.org/10.1016/j.jclepro.2024.143584</w:t>
        </w:r>
      </w:hyperlink>
      <w:r w:rsidDel="00000000" w:rsidR="00000000" w:rsidRPr="00000000">
        <w:rPr>
          <w:rtl w:val="0"/>
        </w:rPr>
      </w:r>
    </w:p>
    <w:p w:rsidR="00000000" w:rsidDel="00000000" w:rsidP="00000000" w:rsidRDefault="00000000" w:rsidRPr="00000000" w14:paraId="0000034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Mousavi, S., &amp; Bossink, B. A. G. (2017). Firms’ capabilities for sustainable innovation: The case of biofuel for aviation. </w:t>
      </w:r>
      <w:r w:rsidDel="00000000" w:rsidR="00000000" w:rsidRPr="00000000">
        <w:rPr>
          <w:rFonts w:ascii="Times New Roman" w:cs="Times New Roman" w:eastAsia="Times New Roman" w:hAnsi="Times New Roman"/>
          <w:i w:val="1"/>
          <w:iCs w:val="1"/>
          <w:sz w:val="24"/>
          <w:szCs w:val="24"/>
          <w:rtl w:val="0"/>
        </w:rPr>
        <w:t xml:space="preserve">Journal of Cleaner Production, 167</w:t>
      </w:r>
      <w:r w:rsidDel="00000000" w:rsidR="00000000" w:rsidRPr="00000000">
        <w:rPr>
          <w:rFonts w:ascii="Times New Roman" w:cs="Times New Roman" w:eastAsia="Times New Roman" w:hAnsi="Times New Roman"/>
          <w:sz w:val="24"/>
          <w:szCs w:val="24"/>
          <w:rtl w:val="0"/>
        </w:rPr>
        <w:t xml:space="preserve">, 1263-1275.</w:t>
      </w:r>
      <w:hyperlink r:id="rId97">
        <w:r w:rsidDel="00000000" w:rsidR="00000000" w:rsidRPr="00000000">
          <w:rPr>
            <w:rFonts w:ascii="Times New Roman" w:cs="Times New Roman" w:eastAsia="Times New Roman" w:hAnsi="Times New Roman"/>
            <w:sz w:val="24"/>
            <w:szCs w:val="24"/>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https://doi.org/10.1016/j.jclepro.2017.07.146</w:t>
        </w:r>
      </w:hyperlink>
      <w:r w:rsidDel="00000000" w:rsidR="00000000" w:rsidRPr="00000000">
        <w:rPr>
          <w:rtl w:val="0"/>
        </w:rPr>
      </w:r>
    </w:p>
    <w:p w:rsidR="00000000" w:rsidDel="00000000" w:rsidP="00000000" w:rsidRDefault="00000000" w:rsidRPr="00000000" w14:paraId="000003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Muller, A., &amp; Wittmer, A. (2026). Corporate decisions on sustainable aviation fuel: the cost-sustainability dilemma in business travel. </w:t>
      </w:r>
      <w:r w:rsidDel="00000000" w:rsidR="00000000" w:rsidRPr="00000000">
        <w:rPr>
          <w:rFonts w:ascii="Times New Roman" w:cs="Times New Roman" w:eastAsia="Times New Roman" w:hAnsi="Times New Roman"/>
          <w:i w:val="1"/>
          <w:iCs w:val="1"/>
          <w:sz w:val="24"/>
          <w:szCs w:val="24"/>
          <w:rtl w:val="0"/>
        </w:rPr>
        <w:t xml:space="preserve">Transportation Research Part A: Policy and Practice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206</w:t>
      </w:r>
      <w:r w:rsidDel="00000000" w:rsidR="00000000" w:rsidRPr="00000000">
        <w:rPr>
          <w:rFonts w:ascii="Times New Roman" w:cs="Times New Roman" w:eastAsia="Times New Roman" w:hAnsi="Times New Roman"/>
          <w:sz w:val="24"/>
          <w:szCs w:val="24"/>
          <w:rtl w:val="0"/>
        </w:rPr>
        <w:t xml:space="preserve">, 104898.</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https://doi.org/10.1016/j.tra.2026.104898</w:t>
        </w:r>
      </w:hyperlink>
      <w:r w:rsidDel="00000000" w:rsidR="00000000" w:rsidRPr="00000000">
        <w:rPr>
          <w:rtl w:val="0"/>
        </w:rPr>
      </w:r>
    </w:p>
    <w:p w:rsidR="00000000" w:rsidDel="00000000" w:rsidP="00000000" w:rsidRDefault="00000000" w:rsidRPr="00000000" w14:paraId="0000034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Nguyen, L. T., &amp; Mori, A. (2026). Business model innovations and sectoral transformation: A bibliometric-systematic literature review of the oil and gas sector. </w:t>
      </w:r>
      <w:r w:rsidDel="00000000" w:rsidR="00000000" w:rsidRPr="00000000">
        <w:rPr>
          <w:rFonts w:ascii="Times New Roman" w:cs="Times New Roman" w:eastAsia="Times New Roman" w:hAnsi="Times New Roman"/>
          <w:i w:val="1"/>
          <w:iCs w:val="1"/>
          <w:sz w:val="24"/>
          <w:szCs w:val="24"/>
          <w:rtl w:val="0"/>
        </w:rPr>
        <w:t xml:space="preserve">Resources Policy, 116</w:t>
      </w:r>
      <w:r w:rsidDel="00000000" w:rsidR="00000000" w:rsidRPr="00000000">
        <w:rPr>
          <w:rFonts w:ascii="Times New Roman" w:cs="Times New Roman" w:eastAsia="Times New Roman" w:hAnsi="Times New Roman"/>
          <w:sz w:val="24"/>
          <w:szCs w:val="24"/>
          <w:rtl w:val="0"/>
        </w:rPr>
        <w:t xml:space="preserve">, 105917.</w:t>
      </w:r>
      <w:hyperlink r:id="rId101">
        <w:r w:rsidDel="00000000" w:rsidR="00000000" w:rsidRPr="00000000">
          <w:rPr>
            <w:rFonts w:ascii="Times New Roman" w:cs="Times New Roman" w:eastAsia="Times New Roman" w:hAnsi="Times New Roman"/>
            <w:sz w:val="24"/>
            <w:szCs w:val="24"/>
            <w:rtl w:val="0"/>
          </w:rPr>
          <w:t xml:space="preserve"> </w:t>
        </w:r>
      </w:hyperlink>
      <w:hyperlink r:id="rId102">
        <w:r w:rsidDel="00000000" w:rsidR="00000000" w:rsidRPr="00000000">
          <w:rPr>
            <w:rFonts w:ascii="Times New Roman" w:cs="Times New Roman" w:eastAsia="Times New Roman" w:hAnsi="Times New Roman"/>
            <w:color w:val="1155cc"/>
            <w:sz w:val="24"/>
            <w:szCs w:val="24"/>
            <w:u w:val="single"/>
            <w:rtl w:val="0"/>
          </w:rPr>
          <w:t xml:space="preserve">https://doi.org/10.1016/j.resourpol.2026.105917</w:t>
        </w:r>
      </w:hyperlink>
      <w:r w:rsidDel="00000000" w:rsidR="00000000" w:rsidRPr="00000000">
        <w:rPr>
          <w:rtl w:val="0"/>
        </w:rPr>
      </w:r>
    </w:p>
    <w:p w:rsidR="00000000" w:rsidDel="00000000" w:rsidP="00000000" w:rsidRDefault="00000000" w:rsidRPr="00000000" w14:paraId="0000034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Overholm, H. (2017). Alliance formation by intermediary ventures in the solar service industry: Implications for product-service systems research. </w:t>
      </w:r>
      <w:r w:rsidDel="00000000" w:rsidR="00000000" w:rsidRPr="00000000">
        <w:rPr>
          <w:rFonts w:ascii="Times New Roman" w:cs="Times New Roman" w:eastAsia="Times New Roman" w:hAnsi="Times New Roman"/>
          <w:i w:val="1"/>
          <w:iCs w:val="1"/>
          <w:sz w:val="24"/>
          <w:szCs w:val="24"/>
          <w:rtl w:val="0"/>
        </w:rPr>
        <w:t xml:space="preserve">Journal of Cleaner Production, 140</w:t>
      </w:r>
      <w:r w:rsidDel="00000000" w:rsidR="00000000" w:rsidRPr="00000000">
        <w:rPr>
          <w:rFonts w:ascii="Times New Roman" w:cs="Times New Roman" w:eastAsia="Times New Roman" w:hAnsi="Times New Roman"/>
          <w:sz w:val="24"/>
          <w:szCs w:val="24"/>
          <w:rtl w:val="0"/>
        </w:rPr>
        <w:t xml:space="preserve">, 288-298.</w:t>
      </w:r>
      <w:hyperlink r:id="rId103">
        <w:r w:rsidDel="00000000" w:rsidR="00000000" w:rsidRPr="00000000">
          <w:rPr>
            <w:rFonts w:ascii="Times New Roman" w:cs="Times New Roman" w:eastAsia="Times New Roman" w:hAnsi="Times New Roman"/>
            <w:sz w:val="24"/>
            <w:szCs w:val="24"/>
            <w:rtl w:val="0"/>
          </w:rPr>
          <w:t xml:space="preserve"> </w:t>
        </w:r>
      </w:hyperlink>
      <w:hyperlink r:id="rId104">
        <w:r w:rsidDel="00000000" w:rsidR="00000000" w:rsidRPr="00000000">
          <w:rPr>
            <w:rFonts w:ascii="Times New Roman" w:cs="Times New Roman" w:eastAsia="Times New Roman" w:hAnsi="Times New Roman"/>
            <w:color w:val="1155cc"/>
            <w:sz w:val="24"/>
            <w:szCs w:val="24"/>
            <w:u w:val="single"/>
            <w:rtl w:val="0"/>
          </w:rPr>
          <w:t xml:space="preserve">https://doi.org/10.1016/j.jclepro.2015.07.061</w:t>
        </w:r>
      </w:hyperlink>
      <w:r w:rsidDel="00000000" w:rsidR="00000000" w:rsidRPr="00000000">
        <w:rPr>
          <w:rtl w:val="0"/>
        </w:rPr>
      </w:r>
    </w:p>
    <w:p w:rsidR="00000000" w:rsidDel="00000000" w:rsidP="00000000" w:rsidRDefault="00000000" w:rsidRPr="00000000" w14:paraId="00000346">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Pieroni, M. P. P., McAloone, T. C., &amp; Pigosso, D. C. A. (2019). Business model innovation for circular economy and sustainability: A review of approaches. </w:t>
      </w:r>
      <w:r w:rsidDel="00000000" w:rsidR="00000000" w:rsidRPr="00000000">
        <w:rPr>
          <w:rFonts w:ascii="Times New Roman" w:cs="Times New Roman" w:eastAsia="Times New Roman" w:hAnsi="Times New Roman"/>
          <w:i w:val="1"/>
          <w:iCs w:val="1"/>
          <w:sz w:val="24"/>
          <w:szCs w:val="24"/>
          <w:rtl w:val="0"/>
        </w:rPr>
        <w:t xml:space="preserve">Journal of Cleaner Production, 215</w:t>
      </w:r>
      <w:r w:rsidDel="00000000" w:rsidR="00000000" w:rsidRPr="00000000">
        <w:rPr>
          <w:rFonts w:ascii="Times New Roman" w:cs="Times New Roman" w:eastAsia="Times New Roman" w:hAnsi="Times New Roman"/>
          <w:sz w:val="24"/>
          <w:szCs w:val="24"/>
          <w:rtl w:val="0"/>
        </w:rPr>
        <w:t xml:space="preserve">, 198-216.</w:t>
      </w:r>
      <w:hyperlink r:id="rId105">
        <w:r w:rsidDel="00000000" w:rsidR="00000000" w:rsidRPr="00000000">
          <w:rPr>
            <w:rFonts w:ascii="Times New Roman" w:cs="Times New Roman" w:eastAsia="Times New Roman" w:hAnsi="Times New Roman"/>
            <w:sz w:val="24"/>
            <w:szCs w:val="24"/>
            <w:rtl w:val="0"/>
          </w:rPr>
          <w:t xml:space="preserve"> </w:t>
        </w:r>
      </w:hyperlink>
      <w:hyperlink r:id="rId106">
        <w:r w:rsidDel="00000000" w:rsidR="00000000" w:rsidRPr="00000000">
          <w:rPr>
            <w:rFonts w:ascii="Times New Roman" w:cs="Times New Roman" w:eastAsia="Times New Roman" w:hAnsi="Times New Roman"/>
            <w:color w:val="1155cc"/>
            <w:sz w:val="24"/>
            <w:szCs w:val="24"/>
            <w:u w:val="single"/>
            <w:rtl w:val="0"/>
          </w:rPr>
          <w:t xml:space="preserve">https://doi.org/10.1016/j.jclepro.2019.01.036</w:t>
        </w:r>
      </w:hyperlink>
      <w:r w:rsidDel="00000000" w:rsidR="00000000" w:rsidRPr="00000000">
        <w:rPr>
          <w:rtl w:val="0"/>
        </w:rPr>
      </w:r>
    </w:p>
    <w:p w:rsidR="00000000" w:rsidDel="00000000" w:rsidP="00000000" w:rsidRDefault="00000000" w:rsidRPr="00000000" w14:paraId="000003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Planko, J., Cramer, J., Hekkert, M. P., &amp; Chappin, M. M. H. (2017). Combining the technological innovation systems framework with the entrepreneurs’ perspective on innovation. </w:t>
      </w:r>
      <w:r w:rsidDel="00000000" w:rsidR="00000000" w:rsidRPr="00000000">
        <w:rPr>
          <w:rFonts w:ascii="Times New Roman" w:cs="Times New Roman" w:eastAsia="Times New Roman" w:hAnsi="Times New Roman"/>
          <w:i w:val="1"/>
          <w:iCs w:val="1"/>
          <w:sz w:val="24"/>
          <w:szCs w:val="24"/>
          <w:rtl w:val="0"/>
        </w:rPr>
        <w:t xml:space="preserve">Technology Analysis &amp; Strategic Management, 29</w:t>
      </w:r>
      <w:r w:rsidDel="00000000" w:rsidR="00000000" w:rsidRPr="00000000">
        <w:rPr>
          <w:rFonts w:ascii="Times New Roman" w:cs="Times New Roman" w:eastAsia="Times New Roman" w:hAnsi="Times New Roman"/>
          <w:sz w:val="24"/>
          <w:szCs w:val="24"/>
          <w:rtl w:val="0"/>
        </w:rPr>
        <w:t xml:space="preserve">(6), 614-625.</w:t>
      </w:r>
      <w:hyperlink r:id="rId107">
        <w:r w:rsidDel="00000000" w:rsidR="00000000" w:rsidRPr="00000000">
          <w:rPr>
            <w:rFonts w:ascii="Times New Roman" w:cs="Times New Roman" w:eastAsia="Times New Roman" w:hAnsi="Times New Roman"/>
            <w:sz w:val="24"/>
            <w:szCs w:val="24"/>
            <w:rtl w:val="0"/>
          </w:rPr>
          <w:t xml:space="preserve"> </w:t>
        </w:r>
      </w:hyperlink>
      <w:hyperlink r:id="rId108">
        <w:r w:rsidDel="00000000" w:rsidR="00000000" w:rsidRPr="00000000">
          <w:rPr>
            <w:rFonts w:ascii="Times New Roman" w:cs="Times New Roman" w:eastAsia="Times New Roman" w:hAnsi="Times New Roman"/>
            <w:color w:val="1155cc"/>
            <w:sz w:val="24"/>
            <w:szCs w:val="24"/>
            <w:u w:val="single"/>
            <w:rtl w:val="0"/>
          </w:rPr>
          <w:t xml:space="preserve">https://doi.org/10.1080/09537325.2016.1220515</w:t>
        </w:r>
      </w:hyperlink>
      <w:r w:rsidDel="00000000" w:rsidR="00000000" w:rsidRPr="00000000">
        <w:rPr>
          <w:rtl w:val="0"/>
        </w:rPr>
      </w:r>
    </w:p>
    <w:p w:rsidR="00000000" w:rsidDel="00000000" w:rsidP="00000000" w:rsidRDefault="00000000" w:rsidRPr="00000000" w14:paraId="0000034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Richter, M. (2013). Business model innovation for sustainable energy: German utilities and renewable energy. </w:t>
      </w:r>
      <w:r w:rsidDel="00000000" w:rsidR="00000000" w:rsidRPr="00000000">
        <w:rPr>
          <w:rFonts w:ascii="Times New Roman" w:cs="Times New Roman" w:eastAsia="Times New Roman" w:hAnsi="Times New Roman"/>
          <w:i w:val="1"/>
          <w:iCs w:val="1"/>
          <w:sz w:val="24"/>
          <w:szCs w:val="24"/>
          <w:rtl w:val="0"/>
        </w:rPr>
        <w:t xml:space="preserve">Energy Policy, 62</w:t>
      </w:r>
      <w:r w:rsidDel="00000000" w:rsidR="00000000" w:rsidRPr="00000000">
        <w:rPr>
          <w:rFonts w:ascii="Times New Roman" w:cs="Times New Roman" w:eastAsia="Times New Roman" w:hAnsi="Times New Roman"/>
          <w:sz w:val="24"/>
          <w:szCs w:val="24"/>
          <w:rtl w:val="0"/>
        </w:rPr>
        <w:t xml:space="preserve">, 1226-1237.</w:t>
      </w:r>
      <w:hyperlink r:id="rId109">
        <w:r w:rsidDel="00000000" w:rsidR="00000000" w:rsidRPr="00000000">
          <w:rPr>
            <w:rFonts w:ascii="Times New Roman" w:cs="Times New Roman" w:eastAsia="Times New Roman" w:hAnsi="Times New Roman"/>
            <w:sz w:val="24"/>
            <w:szCs w:val="24"/>
            <w:rtl w:val="0"/>
          </w:rPr>
          <w:t xml:space="preserve"> </w:t>
        </w:r>
      </w:hyperlink>
      <w:hyperlink r:id="rId110">
        <w:r w:rsidDel="00000000" w:rsidR="00000000" w:rsidRPr="00000000">
          <w:rPr>
            <w:rFonts w:ascii="Times New Roman" w:cs="Times New Roman" w:eastAsia="Times New Roman" w:hAnsi="Times New Roman"/>
            <w:color w:val="1155cc"/>
            <w:sz w:val="24"/>
            <w:szCs w:val="24"/>
            <w:u w:val="single"/>
            <w:rtl w:val="0"/>
          </w:rPr>
          <w:t xml:space="preserve">https://doi.org/10.1016/j.enpol.2013.05.038</w:t>
        </w:r>
      </w:hyperlink>
      <w:r w:rsidDel="00000000" w:rsidR="00000000" w:rsidRPr="00000000">
        <w:rPr>
          <w:rtl w:val="0"/>
        </w:rPr>
      </w:r>
    </w:p>
    <w:p w:rsidR="00000000" w:rsidDel="00000000" w:rsidP="00000000" w:rsidRDefault="00000000" w:rsidRPr="00000000" w14:paraId="0000034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Ritala, P., Albareda, L., &amp; Bocken, N. (2021). Value creation and appropriation in economic, social, and environmental domains: Recognizing and resolving the institutionalized asymmetries. </w:t>
      </w:r>
      <w:r w:rsidDel="00000000" w:rsidR="00000000" w:rsidRPr="00000000">
        <w:rPr>
          <w:rFonts w:ascii="Times New Roman" w:cs="Times New Roman" w:eastAsia="Times New Roman" w:hAnsi="Times New Roman"/>
          <w:i w:val="1"/>
          <w:iCs w:val="1"/>
          <w:sz w:val="24"/>
          <w:szCs w:val="24"/>
          <w:rtl w:val="0"/>
        </w:rPr>
        <w:t xml:space="preserve">Journal of Cleaner Production, 290</w:t>
      </w:r>
      <w:r w:rsidDel="00000000" w:rsidR="00000000" w:rsidRPr="00000000">
        <w:rPr>
          <w:rFonts w:ascii="Times New Roman" w:cs="Times New Roman" w:eastAsia="Times New Roman" w:hAnsi="Times New Roman"/>
          <w:sz w:val="24"/>
          <w:szCs w:val="24"/>
          <w:rtl w:val="0"/>
        </w:rPr>
        <w:t xml:space="preserve">, 125796.</w:t>
      </w:r>
      <w:hyperlink r:id="rId111">
        <w:r w:rsidDel="00000000" w:rsidR="00000000" w:rsidRPr="00000000">
          <w:rPr>
            <w:rFonts w:ascii="Times New Roman" w:cs="Times New Roman" w:eastAsia="Times New Roman" w:hAnsi="Times New Roman"/>
            <w:sz w:val="24"/>
            <w:szCs w:val="24"/>
            <w:rtl w:val="0"/>
          </w:rPr>
          <w:t xml:space="preserve"> </w:t>
        </w:r>
      </w:hyperlink>
      <w:hyperlink r:id="rId112">
        <w:r w:rsidDel="00000000" w:rsidR="00000000" w:rsidRPr="00000000">
          <w:rPr>
            <w:rFonts w:ascii="Times New Roman" w:cs="Times New Roman" w:eastAsia="Times New Roman" w:hAnsi="Times New Roman"/>
            <w:color w:val="1155cc"/>
            <w:sz w:val="24"/>
            <w:szCs w:val="24"/>
            <w:u w:val="single"/>
            <w:rtl w:val="0"/>
          </w:rPr>
          <w:t xml:space="preserve">https://doi.org/10.1016/j.jclepro.2021.125796</w:t>
        </w:r>
      </w:hyperlink>
      <w:r w:rsidDel="00000000" w:rsidR="00000000" w:rsidRPr="00000000">
        <w:rPr>
          <w:rtl w:val="0"/>
        </w:rPr>
      </w:r>
    </w:p>
    <w:p w:rsidR="00000000" w:rsidDel="00000000" w:rsidP="00000000" w:rsidRDefault="00000000" w:rsidRPr="00000000" w14:paraId="0000034A">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Shakeel, J., Mardani, A., Chofreh, A. G., Goni, F. A., &amp; Klemes, J. J. (2020). Anatomy of sustainable business model innovation. </w:t>
      </w:r>
      <w:r w:rsidDel="00000000" w:rsidR="00000000" w:rsidRPr="00000000">
        <w:rPr>
          <w:rFonts w:ascii="Times New Roman" w:cs="Times New Roman" w:eastAsia="Times New Roman" w:hAnsi="Times New Roman"/>
          <w:i w:val="1"/>
          <w:iCs w:val="1"/>
          <w:sz w:val="24"/>
          <w:szCs w:val="24"/>
          <w:rtl w:val="0"/>
        </w:rPr>
        <w:t xml:space="preserve">Journal of Cleaner Production, 261</w:t>
      </w:r>
      <w:r w:rsidDel="00000000" w:rsidR="00000000" w:rsidRPr="00000000">
        <w:rPr>
          <w:rFonts w:ascii="Times New Roman" w:cs="Times New Roman" w:eastAsia="Times New Roman" w:hAnsi="Times New Roman"/>
          <w:sz w:val="24"/>
          <w:szCs w:val="24"/>
          <w:rtl w:val="0"/>
        </w:rPr>
        <w:t xml:space="preserve">, 121201.</w:t>
      </w:r>
      <w:hyperlink r:id="rId113">
        <w:r w:rsidDel="00000000" w:rsidR="00000000" w:rsidRPr="00000000">
          <w:rPr>
            <w:rFonts w:ascii="Times New Roman" w:cs="Times New Roman" w:eastAsia="Times New Roman" w:hAnsi="Times New Roman"/>
            <w:sz w:val="24"/>
            <w:szCs w:val="24"/>
            <w:rtl w:val="0"/>
          </w:rPr>
          <w:t xml:space="preserve"> </w:t>
        </w:r>
      </w:hyperlink>
      <w:hyperlink r:id="rId114">
        <w:r w:rsidDel="00000000" w:rsidR="00000000" w:rsidRPr="00000000">
          <w:rPr>
            <w:rFonts w:ascii="Times New Roman" w:cs="Times New Roman" w:eastAsia="Times New Roman" w:hAnsi="Times New Roman"/>
            <w:color w:val="1155cc"/>
            <w:sz w:val="24"/>
            <w:szCs w:val="24"/>
            <w:u w:val="single"/>
            <w:rtl w:val="0"/>
          </w:rPr>
          <w:t xml:space="preserve">https://doi.org/10.1016/j.jclepro.2020.121201</w:t>
        </w:r>
      </w:hyperlink>
      <w:r w:rsidDel="00000000" w:rsidR="00000000" w:rsidRPr="00000000">
        <w:rPr>
          <w:rtl w:val="0"/>
        </w:rPr>
      </w:r>
    </w:p>
    <w:p w:rsidR="00000000" w:rsidDel="00000000" w:rsidP="00000000" w:rsidRDefault="00000000" w:rsidRPr="00000000" w14:paraId="0000034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Short, S. W., Bocken, N. M. P., Barlow, C. Y., &amp; Chertow, M. R. (2014). From refining sugar to growing tomatoes: Industrial ecology and business model evolution. </w:t>
      </w:r>
      <w:r w:rsidDel="00000000" w:rsidR="00000000" w:rsidRPr="00000000">
        <w:rPr>
          <w:rFonts w:ascii="Times New Roman" w:cs="Times New Roman" w:eastAsia="Times New Roman" w:hAnsi="Times New Roman"/>
          <w:i w:val="1"/>
          <w:iCs w:val="1"/>
          <w:sz w:val="24"/>
          <w:szCs w:val="24"/>
          <w:rtl w:val="0"/>
        </w:rPr>
        <w:t xml:space="preserve">Journal of Industrial Ecology, 18</w:t>
      </w:r>
      <w:r w:rsidDel="00000000" w:rsidR="00000000" w:rsidRPr="00000000">
        <w:rPr>
          <w:rFonts w:ascii="Times New Roman" w:cs="Times New Roman" w:eastAsia="Times New Roman" w:hAnsi="Times New Roman"/>
          <w:sz w:val="24"/>
          <w:szCs w:val="24"/>
          <w:rtl w:val="0"/>
        </w:rPr>
        <w:t xml:space="preserve">(5), 603-618.</w:t>
      </w:r>
      <w:hyperlink r:id="rId115">
        <w:r w:rsidDel="00000000" w:rsidR="00000000" w:rsidRPr="00000000">
          <w:rPr>
            <w:rFonts w:ascii="Times New Roman" w:cs="Times New Roman" w:eastAsia="Times New Roman" w:hAnsi="Times New Roman"/>
            <w:sz w:val="24"/>
            <w:szCs w:val="24"/>
            <w:rtl w:val="0"/>
          </w:rPr>
          <w:t xml:space="preserve"> </w:t>
        </w:r>
      </w:hyperlink>
      <w:hyperlink r:id="rId116">
        <w:r w:rsidDel="00000000" w:rsidR="00000000" w:rsidRPr="00000000">
          <w:rPr>
            <w:rFonts w:ascii="Times New Roman" w:cs="Times New Roman" w:eastAsia="Times New Roman" w:hAnsi="Times New Roman"/>
            <w:color w:val="1155cc"/>
            <w:sz w:val="24"/>
            <w:szCs w:val="24"/>
            <w:u w:val="single"/>
            <w:rtl w:val="0"/>
          </w:rPr>
          <w:t xml:space="preserve">https://doi.org/10.1111/jiec.12171</w:t>
        </w:r>
      </w:hyperlink>
      <w:r w:rsidDel="00000000" w:rsidR="00000000" w:rsidRPr="00000000">
        <w:rPr>
          <w:rtl w:val="0"/>
        </w:rPr>
      </w:r>
    </w:p>
    <w:p w:rsidR="00000000" w:rsidDel="00000000" w:rsidP="00000000" w:rsidRDefault="00000000" w:rsidRPr="00000000" w14:paraId="0000034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Smith, P. M., Gaffney, M. J., Shi, W., Hoard, S., Ibarrola Armendariz, I., &amp; Mueller, D. W. (2017). Drivers and barriers to the adoption and diffusion of Sustainable Jet Fuel (SJF) in the U.S. Pacific Northwest. </w:t>
      </w:r>
      <w:r w:rsidDel="00000000" w:rsidR="00000000" w:rsidRPr="00000000">
        <w:rPr>
          <w:rFonts w:ascii="Times New Roman" w:cs="Times New Roman" w:eastAsia="Times New Roman" w:hAnsi="Times New Roman"/>
          <w:i w:val="1"/>
          <w:iCs w:val="1"/>
          <w:sz w:val="24"/>
          <w:szCs w:val="24"/>
          <w:rtl w:val="0"/>
        </w:rPr>
        <w:t xml:space="preserve">Journal of Air Transport Management, 58</w:t>
      </w:r>
      <w:r w:rsidDel="00000000" w:rsidR="00000000" w:rsidRPr="00000000">
        <w:rPr>
          <w:rFonts w:ascii="Times New Roman" w:cs="Times New Roman" w:eastAsia="Times New Roman" w:hAnsi="Times New Roman"/>
          <w:sz w:val="24"/>
          <w:szCs w:val="24"/>
          <w:rtl w:val="0"/>
        </w:rPr>
        <w:t xml:space="preserve">, 113-124.</w:t>
      </w:r>
      <w:hyperlink r:id="rId11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https://doi.org/10.1016/j.jairtraman.2016.10.004</w:t>
      </w:r>
    </w:p>
    <w:p w:rsidR="00000000" w:rsidDel="00000000" w:rsidP="00000000" w:rsidRDefault="00000000" w:rsidRPr="00000000" w14:paraId="0000034D">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Speich, M., &amp; Ulli-Beer, S. (2023). Applying an ecosystem lens to low-carbon energy transitions: A conceptual framework. </w:t>
      </w:r>
      <w:r w:rsidDel="00000000" w:rsidR="00000000" w:rsidRPr="00000000">
        <w:rPr>
          <w:rFonts w:ascii="Times New Roman" w:cs="Times New Roman" w:eastAsia="Times New Roman" w:hAnsi="Times New Roman"/>
          <w:i w:val="1"/>
          <w:iCs w:val="1"/>
          <w:sz w:val="24"/>
          <w:szCs w:val="24"/>
          <w:rtl w:val="0"/>
        </w:rPr>
        <w:t xml:space="preserve">Journal of Cleaner Production, 398</w:t>
      </w:r>
      <w:r w:rsidDel="00000000" w:rsidR="00000000" w:rsidRPr="00000000">
        <w:rPr>
          <w:rFonts w:ascii="Times New Roman" w:cs="Times New Roman" w:eastAsia="Times New Roman" w:hAnsi="Times New Roman"/>
          <w:sz w:val="24"/>
          <w:szCs w:val="24"/>
          <w:rtl w:val="0"/>
        </w:rPr>
        <w:t xml:space="preserve">, 136429.</w:t>
      </w:r>
      <w:hyperlink r:id="rId118">
        <w:r w:rsidDel="00000000" w:rsidR="00000000" w:rsidRPr="00000000">
          <w:rPr>
            <w:rFonts w:ascii="Times New Roman" w:cs="Times New Roman" w:eastAsia="Times New Roman" w:hAnsi="Times New Roman"/>
            <w:sz w:val="24"/>
            <w:szCs w:val="24"/>
            <w:rtl w:val="0"/>
          </w:rPr>
          <w:t xml:space="preserve"> </w:t>
        </w:r>
      </w:hyperlink>
      <w:hyperlink r:id="rId119">
        <w:r w:rsidDel="00000000" w:rsidR="00000000" w:rsidRPr="00000000">
          <w:rPr>
            <w:rFonts w:ascii="Times New Roman" w:cs="Times New Roman" w:eastAsia="Times New Roman" w:hAnsi="Times New Roman"/>
            <w:color w:val="1155cc"/>
            <w:sz w:val="24"/>
            <w:szCs w:val="24"/>
            <w:u w:val="single"/>
            <w:rtl w:val="0"/>
          </w:rPr>
          <w:t xml:space="preserve">https://doi.org/10.1016/j.jclepro.2023.136429</w:t>
        </w:r>
      </w:hyperlink>
      <w:r w:rsidDel="00000000" w:rsidR="00000000" w:rsidRPr="00000000">
        <w:rPr>
          <w:rtl w:val="0"/>
        </w:rPr>
      </w:r>
    </w:p>
    <w:p w:rsidR="00000000" w:rsidDel="00000000" w:rsidP="00000000" w:rsidRDefault="00000000" w:rsidRPr="00000000" w14:paraId="0000034E">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Teece, D. J. (2010). Business models, business strategy and innovation. </w:t>
      </w:r>
      <w:r w:rsidDel="00000000" w:rsidR="00000000" w:rsidRPr="00000000">
        <w:rPr>
          <w:rFonts w:ascii="Times New Roman" w:cs="Times New Roman" w:eastAsia="Times New Roman" w:hAnsi="Times New Roman"/>
          <w:i w:val="1"/>
          <w:iCs w:val="1"/>
          <w:sz w:val="24"/>
          <w:szCs w:val="24"/>
          <w:rtl w:val="0"/>
        </w:rPr>
        <w:t xml:space="preserve">Long Range Planning, 43</w:t>
      </w:r>
      <w:r w:rsidDel="00000000" w:rsidR="00000000" w:rsidRPr="00000000">
        <w:rPr>
          <w:rFonts w:ascii="Times New Roman" w:cs="Times New Roman" w:eastAsia="Times New Roman" w:hAnsi="Times New Roman"/>
          <w:sz w:val="24"/>
          <w:szCs w:val="24"/>
          <w:rtl w:val="0"/>
        </w:rPr>
        <w:t xml:space="preserve">(2-3), 172-194.</w:t>
      </w:r>
      <w:hyperlink r:id="rId120">
        <w:r w:rsidDel="00000000" w:rsidR="00000000" w:rsidRPr="00000000">
          <w:rPr>
            <w:rFonts w:ascii="Times New Roman" w:cs="Times New Roman" w:eastAsia="Times New Roman" w:hAnsi="Times New Roman"/>
            <w:sz w:val="24"/>
            <w:szCs w:val="24"/>
            <w:rtl w:val="0"/>
          </w:rPr>
          <w:t xml:space="preserve"> </w:t>
        </w:r>
      </w:hyperlink>
      <w:hyperlink r:id="rId121">
        <w:r w:rsidDel="00000000" w:rsidR="00000000" w:rsidRPr="00000000">
          <w:rPr>
            <w:rFonts w:ascii="Times New Roman" w:cs="Times New Roman" w:eastAsia="Times New Roman" w:hAnsi="Times New Roman"/>
            <w:color w:val="1155cc"/>
            <w:sz w:val="24"/>
            <w:szCs w:val="24"/>
            <w:u w:val="single"/>
            <w:rtl w:val="0"/>
          </w:rPr>
          <w:t xml:space="preserve">https://doi.org/10.1016/j.lrp.2009.07.003</w:t>
        </w:r>
      </w:hyperlink>
      <w:r w:rsidDel="00000000" w:rsidR="00000000" w:rsidRPr="00000000">
        <w:rPr>
          <w:rtl w:val="0"/>
        </w:rPr>
      </w:r>
    </w:p>
    <w:p w:rsidR="00000000" w:rsidDel="00000000" w:rsidP="00000000" w:rsidRDefault="00000000" w:rsidRPr="00000000" w14:paraId="0000034F">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Velter, M. G. E., Bitzer, V., Bocken, N. M. P., &amp; Kemp, R. (2021). Boundary work for collaborative sustainable business model innovation: The journey of a Dutch SME. </w:t>
      </w:r>
      <w:r w:rsidDel="00000000" w:rsidR="00000000" w:rsidRPr="00000000">
        <w:rPr>
          <w:rFonts w:ascii="Times New Roman" w:cs="Times New Roman" w:eastAsia="Times New Roman" w:hAnsi="Times New Roman"/>
          <w:i w:val="1"/>
          <w:iCs w:val="1"/>
          <w:sz w:val="24"/>
          <w:szCs w:val="24"/>
          <w:rtl w:val="0"/>
        </w:rPr>
        <w:t xml:space="preserve">Journal of Business Models, 9</w:t>
      </w:r>
      <w:r w:rsidDel="00000000" w:rsidR="00000000" w:rsidRPr="00000000">
        <w:rPr>
          <w:rFonts w:ascii="Times New Roman" w:cs="Times New Roman" w:eastAsia="Times New Roman" w:hAnsi="Times New Roman"/>
          <w:sz w:val="24"/>
          <w:szCs w:val="24"/>
          <w:rtl w:val="0"/>
        </w:rPr>
        <w:t xml:space="preserve">(4), 36-66.</w:t>
      </w:r>
      <w:hyperlink r:id="rId122">
        <w:r w:rsidDel="00000000" w:rsidR="00000000" w:rsidRPr="00000000">
          <w:rPr>
            <w:rFonts w:ascii="Times New Roman" w:cs="Times New Roman" w:eastAsia="Times New Roman" w:hAnsi="Times New Roman"/>
            <w:sz w:val="24"/>
            <w:szCs w:val="24"/>
            <w:rtl w:val="0"/>
          </w:rPr>
          <w:t xml:space="preserve"> </w:t>
        </w:r>
      </w:hyperlink>
      <w:hyperlink r:id="rId123">
        <w:r w:rsidDel="00000000" w:rsidR="00000000" w:rsidRPr="00000000">
          <w:rPr>
            <w:rFonts w:ascii="Times New Roman" w:cs="Times New Roman" w:eastAsia="Times New Roman" w:hAnsi="Times New Roman"/>
            <w:color w:val="1155cc"/>
            <w:sz w:val="24"/>
            <w:szCs w:val="24"/>
            <w:u w:val="single"/>
            <w:rtl w:val="0"/>
          </w:rPr>
          <w:t xml:space="preserve">https://doi.org/10.5278/jbm.v9i4.6267</w:t>
        </w:r>
      </w:hyperlink>
      <w:r w:rsidDel="00000000" w:rsidR="00000000" w:rsidRPr="00000000">
        <w:rPr>
          <w:rtl w:val="0"/>
        </w:rPr>
      </w:r>
    </w:p>
    <w:p w:rsidR="00000000" w:rsidDel="00000000" w:rsidP="00000000" w:rsidRDefault="00000000" w:rsidRPr="00000000" w14:paraId="0000035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Wadin, J. L., Ahlgren, K., &amp; Bengtsson, L. (2017). Joint business model innovation for sustainable transformation of industries: A large multinational utility in alliance with a small solar energy company. </w:t>
      </w:r>
      <w:r w:rsidDel="00000000" w:rsidR="00000000" w:rsidRPr="00000000">
        <w:rPr>
          <w:rFonts w:ascii="Times New Roman" w:cs="Times New Roman" w:eastAsia="Times New Roman" w:hAnsi="Times New Roman"/>
          <w:i w:val="1"/>
          <w:iCs w:val="1"/>
          <w:sz w:val="24"/>
          <w:szCs w:val="24"/>
          <w:rtl w:val="0"/>
        </w:rPr>
        <w:t xml:space="preserve">Journal of Cleaner Production, 160</w:t>
      </w:r>
      <w:r w:rsidDel="00000000" w:rsidR="00000000" w:rsidRPr="00000000">
        <w:rPr>
          <w:rFonts w:ascii="Times New Roman" w:cs="Times New Roman" w:eastAsia="Times New Roman" w:hAnsi="Times New Roman"/>
          <w:sz w:val="24"/>
          <w:szCs w:val="24"/>
          <w:rtl w:val="0"/>
        </w:rPr>
        <w:t xml:space="preserve">, 139-150.</w:t>
      </w:r>
      <w:hyperlink r:id="rId124">
        <w:r w:rsidDel="00000000" w:rsidR="00000000" w:rsidRPr="00000000">
          <w:rPr>
            <w:rFonts w:ascii="Times New Roman" w:cs="Times New Roman" w:eastAsia="Times New Roman" w:hAnsi="Times New Roman"/>
            <w:sz w:val="24"/>
            <w:szCs w:val="24"/>
            <w:rtl w:val="0"/>
          </w:rPr>
          <w:t xml:space="preserve"> </w:t>
        </w:r>
      </w:hyperlink>
      <w:hyperlink r:id="rId125">
        <w:r w:rsidDel="00000000" w:rsidR="00000000" w:rsidRPr="00000000">
          <w:rPr>
            <w:rFonts w:ascii="Times New Roman" w:cs="Times New Roman" w:eastAsia="Times New Roman" w:hAnsi="Times New Roman"/>
            <w:color w:val="1155cc"/>
            <w:sz w:val="24"/>
            <w:szCs w:val="24"/>
            <w:u w:val="single"/>
            <w:rtl w:val="0"/>
          </w:rPr>
          <w:t xml:space="preserve">https://doi.org/10.1016/j.jclepro.2017.03.151</w:t>
        </w:r>
      </w:hyperlink>
      <w:r w:rsidDel="00000000" w:rsidR="00000000" w:rsidRPr="00000000">
        <w:rPr>
          <w:rtl w:val="0"/>
        </w:rPr>
      </w:r>
    </w:p>
    <w:p w:rsidR="00000000" w:rsidDel="00000000" w:rsidP="00000000" w:rsidRDefault="00000000" w:rsidRPr="00000000" w14:paraId="0000035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Wainstein, M. E., &amp; Bumpus, A. G. (2016). Business models as drivers of the low carbon power system transition: A multi-level perspective. </w:t>
      </w:r>
      <w:r w:rsidDel="00000000" w:rsidR="00000000" w:rsidRPr="00000000">
        <w:rPr>
          <w:rFonts w:ascii="Times New Roman" w:cs="Times New Roman" w:eastAsia="Times New Roman" w:hAnsi="Times New Roman"/>
          <w:i w:val="1"/>
          <w:iCs w:val="1"/>
          <w:sz w:val="24"/>
          <w:szCs w:val="24"/>
          <w:rtl w:val="0"/>
        </w:rPr>
        <w:t xml:space="preserve">Journal of Cleaner Production, 126</w:t>
      </w:r>
      <w:r w:rsidDel="00000000" w:rsidR="00000000" w:rsidRPr="00000000">
        <w:rPr>
          <w:rFonts w:ascii="Times New Roman" w:cs="Times New Roman" w:eastAsia="Times New Roman" w:hAnsi="Times New Roman"/>
          <w:sz w:val="24"/>
          <w:szCs w:val="24"/>
          <w:rtl w:val="0"/>
        </w:rPr>
        <w:t xml:space="preserve">, 572-585.</w:t>
      </w:r>
      <w:hyperlink r:id="rId126">
        <w:r w:rsidDel="00000000" w:rsidR="00000000" w:rsidRPr="00000000">
          <w:rPr>
            <w:rFonts w:ascii="Times New Roman" w:cs="Times New Roman" w:eastAsia="Times New Roman" w:hAnsi="Times New Roman"/>
            <w:sz w:val="24"/>
            <w:szCs w:val="24"/>
            <w:rtl w:val="0"/>
          </w:rPr>
          <w:t xml:space="preserve"> </w:t>
        </w:r>
      </w:hyperlink>
      <w:hyperlink r:id="rId127">
        <w:r w:rsidDel="00000000" w:rsidR="00000000" w:rsidRPr="00000000">
          <w:rPr>
            <w:rFonts w:ascii="Times New Roman" w:cs="Times New Roman" w:eastAsia="Times New Roman" w:hAnsi="Times New Roman"/>
            <w:color w:val="1155cc"/>
            <w:sz w:val="24"/>
            <w:szCs w:val="24"/>
            <w:u w:val="single"/>
            <w:rtl w:val="0"/>
          </w:rPr>
          <w:t xml:space="preserve">https://doi.org/10.1016/j.jclepro.2016.02.095</w:t>
        </w:r>
      </w:hyperlink>
      <w:r w:rsidDel="00000000" w:rsidR="00000000" w:rsidRPr="00000000">
        <w:rPr>
          <w:rtl w:val="0"/>
        </w:rPr>
      </w:r>
    </w:p>
    <w:p w:rsidR="00000000" w:rsidDel="00000000" w:rsidP="00000000" w:rsidRDefault="00000000" w:rsidRPr="00000000" w14:paraId="0000035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Wasserbaur, R., Sakao, T., &amp; Milios, L. (2022). Interactions of governmental policies and business models for a circular economy: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Cleaner Production, 337</w:t>
      </w:r>
      <w:r w:rsidDel="00000000" w:rsidR="00000000" w:rsidRPr="00000000">
        <w:rPr>
          <w:rFonts w:ascii="Times New Roman" w:cs="Times New Roman" w:eastAsia="Times New Roman" w:hAnsi="Times New Roman"/>
          <w:sz w:val="24"/>
          <w:szCs w:val="24"/>
          <w:rtl w:val="0"/>
        </w:rPr>
        <w:t xml:space="preserve">, 130329.</w:t>
      </w:r>
      <w:hyperlink r:id="rId12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color w:val="1155cc"/>
          <w:sz w:val="24"/>
          <w:szCs w:val="24"/>
          <w:u w:val="single"/>
          <w:rtl w:val="0"/>
        </w:rPr>
        <w:t xml:space="preserve">https://doi.org/10.1016/j.jclepro.2021.130329</w:t>
      </w:r>
    </w:p>
    <w:p w:rsidR="00000000" w:rsidDel="00000000" w:rsidP="00000000" w:rsidRDefault="00000000" w:rsidRPr="00000000" w14:paraId="0000035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Yang, M., Vladimirova, D., &amp; Evans, S. (2017). Creating and capturing value through sustainability. </w:t>
      </w:r>
      <w:r w:rsidDel="00000000" w:rsidR="00000000" w:rsidRPr="00000000">
        <w:rPr>
          <w:rFonts w:ascii="Times New Roman" w:cs="Times New Roman" w:eastAsia="Times New Roman" w:hAnsi="Times New Roman"/>
          <w:i w:val="1"/>
          <w:iCs w:val="1"/>
          <w:sz w:val="24"/>
          <w:szCs w:val="24"/>
          <w:rtl w:val="0"/>
        </w:rPr>
        <w:t xml:space="preserve">Research-Technology Management, 60</w:t>
      </w:r>
      <w:r w:rsidDel="00000000" w:rsidR="00000000" w:rsidRPr="00000000">
        <w:rPr>
          <w:rFonts w:ascii="Times New Roman" w:cs="Times New Roman" w:eastAsia="Times New Roman" w:hAnsi="Times New Roman"/>
          <w:sz w:val="24"/>
          <w:szCs w:val="24"/>
          <w:rtl w:val="0"/>
        </w:rPr>
        <w:t xml:space="preserve">(3), 30-39.</w:t>
      </w:r>
      <w:hyperlink r:id="rId129">
        <w:r w:rsidDel="00000000" w:rsidR="00000000" w:rsidRPr="00000000">
          <w:rPr>
            <w:rFonts w:ascii="Times New Roman" w:cs="Times New Roman" w:eastAsia="Times New Roman" w:hAnsi="Times New Roman"/>
            <w:sz w:val="24"/>
            <w:szCs w:val="24"/>
            <w:rtl w:val="0"/>
          </w:rPr>
          <w:t xml:space="preserve"> </w:t>
        </w:r>
      </w:hyperlink>
      <w:hyperlink r:id="rId130">
        <w:r w:rsidDel="00000000" w:rsidR="00000000" w:rsidRPr="00000000">
          <w:rPr>
            <w:rFonts w:ascii="Times New Roman" w:cs="Times New Roman" w:eastAsia="Times New Roman" w:hAnsi="Times New Roman"/>
            <w:color w:val="1155cc"/>
            <w:sz w:val="24"/>
            <w:szCs w:val="24"/>
            <w:u w:val="single"/>
            <w:rtl w:val="0"/>
          </w:rPr>
          <w:t xml:space="preserve">https://doi.org/10.1080/08956308.2017.1301001</w:t>
        </w:r>
      </w:hyperlink>
      <w:r w:rsidDel="00000000" w:rsidR="00000000" w:rsidRPr="00000000">
        <w:rPr>
          <w:rtl w:val="0"/>
        </w:rPr>
      </w:r>
    </w:p>
    <w:p w:rsidR="00000000" w:rsidDel="00000000" w:rsidP="00000000" w:rsidRDefault="00000000" w:rsidRPr="00000000" w14:paraId="0000035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Zhang, X., Antonialli, F., Bonnardel, S. M., &amp; Bareille, O. (2024). Where business model innovation comes from and where it goes: A bibliometric review. </w:t>
      </w:r>
      <w:r w:rsidDel="00000000" w:rsidR="00000000" w:rsidRPr="00000000">
        <w:rPr>
          <w:rFonts w:ascii="Times New Roman" w:cs="Times New Roman" w:eastAsia="Times New Roman" w:hAnsi="Times New Roman"/>
          <w:i w:val="1"/>
          <w:iCs w:val="1"/>
          <w:sz w:val="24"/>
          <w:szCs w:val="24"/>
          <w:rtl w:val="0"/>
        </w:rPr>
        <w:t xml:space="preserve">Creativity and Innovation Management, 33</w:t>
      </w:r>
      <w:r w:rsidDel="00000000" w:rsidR="00000000" w:rsidRPr="00000000">
        <w:rPr>
          <w:rFonts w:ascii="Times New Roman" w:cs="Times New Roman" w:eastAsia="Times New Roman" w:hAnsi="Times New Roman"/>
          <w:sz w:val="24"/>
          <w:szCs w:val="24"/>
          <w:rtl w:val="0"/>
        </w:rPr>
        <w:t xml:space="preserve">(2), 109-126.</w:t>
      </w:r>
      <w:hyperlink r:id="rId131">
        <w:r w:rsidDel="00000000" w:rsidR="00000000" w:rsidRPr="00000000">
          <w:rPr>
            <w:rFonts w:ascii="Times New Roman" w:cs="Times New Roman" w:eastAsia="Times New Roman" w:hAnsi="Times New Roman"/>
            <w:sz w:val="24"/>
            <w:szCs w:val="24"/>
            <w:rtl w:val="0"/>
          </w:rPr>
          <w:t xml:space="preserve"> </w:t>
        </w:r>
      </w:hyperlink>
      <w:hyperlink r:id="rId132">
        <w:r w:rsidDel="00000000" w:rsidR="00000000" w:rsidRPr="00000000">
          <w:rPr>
            <w:rFonts w:ascii="Times New Roman" w:cs="Times New Roman" w:eastAsia="Times New Roman" w:hAnsi="Times New Roman"/>
            <w:color w:val="1155cc"/>
            <w:sz w:val="24"/>
            <w:szCs w:val="24"/>
            <w:u w:val="single"/>
            <w:rtl w:val="0"/>
          </w:rPr>
          <w:t xml:space="preserve">https://doi.org/10.1111/caim.12558</w:t>
        </w:r>
      </w:hyperlink>
      <w:r w:rsidDel="00000000" w:rsidR="00000000" w:rsidRPr="00000000">
        <w:rPr>
          <w:rtl w:val="0"/>
        </w:rPr>
      </w:r>
    </w:p>
    <w:p w:rsidR="00000000" w:rsidDel="00000000" w:rsidP="00000000" w:rsidRDefault="00000000" w:rsidRPr="00000000" w14:paraId="0000035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ur-lex.europa.eu/legal-content/EN/TXT/?uri=CELEX%3A32018L0410" TargetMode="External"/><Relationship Id="rId42" Type="http://schemas.openxmlformats.org/officeDocument/2006/relationships/hyperlink" Target="https://eur-lex.europa.eu/eli/reg/2020/852/oj/eng" TargetMode="External"/><Relationship Id="rId41" Type="http://schemas.openxmlformats.org/officeDocument/2006/relationships/hyperlink" Target="https://eur-lex.europa.eu/eli/dir/2018/410/oj/eng" TargetMode="External"/><Relationship Id="rId44" Type="http://schemas.openxmlformats.org/officeDocument/2006/relationships/hyperlink" Target="https://eur-lex.europa.eu/eli/dir/2023/2413/oj/eng" TargetMode="External"/><Relationship Id="rId43" Type="http://schemas.openxmlformats.org/officeDocument/2006/relationships/hyperlink" Target="https://eur-lex.europa.eu/legal-content/EN/TXT/?uri=CELEX%3A32023R2405" TargetMode="External"/><Relationship Id="rId46" Type="http://schemas.openxmlformats.org/officeDocument/2006/relationships/hyperlink" Target="https://eur-lex.europa.eu/eli/dir/2023/959/oj" TargetMode="External"/><Relationship Id="rId45" Type="http://schemas.openxmlformats.org/officeDocument/2006/relationships/hyperlink" Target="https://eur-lex.europa.eu/legal-content/EN/TXT/?uri=CELEX%3A32023L0959" TargetMode="External"/><Relationship Id="rId107" Type="http://schemas.openxmlformats.org/officeDocument/2006/relationships/hyperlink" Target="https://doi.org/10.1080/09537325.2016.1249838" TargetMode="External"/><Relationship Id="rId106" Type="http://schemas.openxmlformats.org/officeDocument/2006/relationships/hyperlink" Target="https://doi.org/10.1016/j.jclepro.2019.01.036" TargetMode="External"/><Relationship Id="rId105" Type="http://schemas.openxmlformats.org/officeDocument/2006/relationships/hyperlink" Target="https://doi.org/10.1016/j.jclepro.2018.12.240" TargetMode="External"/><Relationship Id="rId104" Type="http://schemas.openxmlformats.org/officeDocument/2006/relationships/hyperlink" Target="https://doi.org/10.1016/j.jclepro.2015.07.061" TargetMode="External"/><Relationship Id="rId109" Type="http://schemas.openxmlformats.org/officeDocument/2006/relationships/hyperlink" Target="https://doi.org/10.1016/j.enpol.2013.05.038" TargetMode="External"/><Relationship Id="rId108" Type="http://schemas.openxmlformats.org/officeDocument/2006/relationships/hyperlink" Target="https://doi.org/10.1080/09537325.2016.1220515" TargetMode="External"/><Relationship Id="rId48" Type="http://schemas.openxmlformats.org/officeDocument/2006/relationships/hyperlink" Target="https://doi.org/10.1108/MD-07-2024-1548" TargetMode="External"/><Relationship Id="rId47" Type="http://schemas.openxmlformats.org/officeDocument/2006/relationships/hyperlink" Target="https://eur-lex.europa.eu/eli/dir/2026/470/oj/eng" TargetMode="External"/><Relationship Id="rId49" Type="http://schemas.openxmlformats.org/officeDocument/2006/relationships/hyperlink" Target="https://doi.org/10.1108/MD-07-2024-1548" TargetMode="External"/><Relationship Id="rId103" Type="http://schemas.openxmlformats.org/officeDocument/2006/relationships/hyperlink" Target="https://doi.org/10.1016/j.jclepro.2016.03.085" TargetMode="External"/><Relationship Id="rId102" Type="http://schemas.openxmlformats.org/officeDocument/2006/relationships/hyperlink" Target="https://doi.org/10.1016/j.resourpol.2026.105917" TargetMode="External"/><Relationship Id="rId101" Type="http://schemas.openxmlformats.org/officeDocument/2006/relationships/hyperlink" Target="https://doi.org/10.1016/j.resourpol.2026.105917" TargetMode="External"/><Relationship Id="rId100" Type="http://schemas.openxmlformats.org/officeDocument/2006/relationships/hyperlink" Target="https://doi.org/10.1016/j.tra.2026.104898" TargetMode="External"/><Relationship Id="rId31" Type="http://schemas.openxmlformats.org/officeDocument/2006/relationships/hyperlink" Target="https://eur-lex.europa.eu/legal-content/EN/TXT/?uri=CELEX%3A32018R2066" TargetMode="External"/><Relationship Id="rId30" Type="http://schemas.openxmlformats.org/officeDocument/2006/relationships/hyperlink" Target="https://doi.org/10.1016/j.jik.2026.101033" TargetMode="External"/><Relationship Id="rId33" Type="http://schemas.openxmlformats.org/officeDocument/2006/relationships/hyperlink" Target="https://eur-lex.europa.eu/eli/reg_impl/2022/996/oj/eng" TargetMode="External"/><Relationship Id="rId32" Type="http://schemas.openxmlformats.org/officeDocument/2006/relationships/hyperlink" Target="https://eur-lex.europa.eu/eli/reg_impl/2018/2066/oj/eng" TargetMode="External"/><Relationship Id="rId35" Type="http://schemas.openxmlformats.org/officeDocument/2006/relationships/hyperlink" Target="https://eur-lex.europa.eu/legal-content/EN/TXT/?uri=celex:52025DC0664" TargetMode="External"/><Relationship Id="rId34" Type="http://schemas.openxmlformats.org/officeDocument/2006/relationships/hyperlink" Target="https://eur-lex.europa.eu/legal-content/EN/TXT/?qid=1583933814386&amp;uri=COM:2020:98:FIN" TargetMode="External"/><Relationship Id="rId37" Type="http://schemas.openxmlformats.org/officeDocument/2006/relationships/hyperlink" Target="https://eur-lex.europa.eu/eli/dir/2003/87/oj/eng" TargetMode="External"/><Relationship Id="rId36" Type="http://schemas.openxmlformats.org/officeDocument/2006/relationships/hyperlink" Target="https://eur-lex.europa.eu/legal-content/EN/TXT/?uri=CELEX%3A32003L0087" TargetMode="External"/><Relationship Id="rId39" Type="http://schemas.openxmlformats.org/officeDocument/2006/relationships/hyperlink" Target="https://eur-lex.europa.eu/eli/reg/2009/1069/oj/eng" TargetMode="External"/><Relationship Id="rId38" Type="http://schemas.openxmlformats.org/officeDocument/2006/relationships/hyperlink" Target="https://eur-lex.europa.eu/eli/dir/2008/98/oj/eng" TargetMode="External"/><Relationship Id="rId20" Type="http://schemas.openxmlformats.org/officeDocument/2006/relationships/hyperlink" Target="https://doi.org/10.1016/j.jclepro.2022.134150" TargetMode="External"/><Relationship Id="rId22" Type="http://schemas.openxmlformats.org/officeDocument/2006/relationships/hyperlink" Target="https://doi.org/10.1016/j.enpol.2019.03.050" TargetMode="External"/><Relationship Id="rId21" Type="http://schemas.openxmlformats.org/officeDocument/2006/relationships/hyperlink" Target="https://doi.org/10.1016/j.enpol.2019.03.050" TargetMode="External"/><Relationship Id="rId24" Type="http://schemas.openxmlformats.org/officeDocument/2006/relationships/hyperlink" Target="https://doi.org/10.1016/j.jclepro.2021.125823" TargetMode="External"/><Relationship Id="rId23" Type="http://schemas.openxmlformats.org/officeDocument/2006/relationships/hyperlink" Target="https://doi.org/10.1016/j.jclepro.2020.125823" TargetMode="External"/><Relationship Id="rId129" Type="http://schemas.openxmlformats.org/officeDocument/2006/relationships/hyperlink" Target="https://doi.org/10.1080/08956308.2017.1301001" TargetMode="External"/><Relationship Id="rId128" Type="http://schemas.openxmlformats.org/officeDocument/2006/relationships/hyperlink" Target="https://doi.org/10.1016/j.jclepro.2022.130329" TargetMode="External"/><Relationship Id="rId127" Type="http://schemas.openxmlformats.org/officeDocument/2006/relationships/hyperlink" Target="https://doi.org/10.1016/j.jclepro.2016.02.095" TargetMode="External"/><Relationship Id="rId126" Type="http://schemas.openxmlformats.org/officeDocument/2006/relationships/hyperlink" Target="https://doi.org/10.1016/j.jclepro.2016.03.056" TargetMode="External"/><Relationship Id="rId26" Type="http://schemas.openxmlformats.org/officeDocument/2006/relationships/hyperlink" Target="https://doi.org/10.1016/j.jik.2024.100539" TargetMode="External"/><Relationship Id="rId121" Type="http://schemas.openxmlformats.org/officeDocument/2006/relationships/hyperlink" Target="https://doi.org/10.1016/j.lrp.2009.07.003" TargetMode="External"/><Relationship Id="rId25" Type="http://schemas.openxmlformats.org/officeDocument/2006/relationships/hyperlink" Target="https://doi.org/10.1016/j.jik.2024.100539" TargetMode="External"/><Relationship Id="rId120" Type="http://schemas.openxmlformats.org/officeDocument/2006/relationships/hyperlink" Target="https://doi.org/10.1016/j.lrp.2009.07.003" TargetMode="External"/><Relationship Id="rId28" Type="http://schemas.openxmlformats.org/officeDocument/2006/relationships/hyperlink" Target="https://doi.org/10.1016/j.jclepro.2023.139294" TargetMode="External"/><Relationship Id="rId27" Type="http://schemas.openxmlformats.org/officeDocument/2006/relationships/hyperlink" Target="https://doi.org/10.1016/j.jclepro.2023.139294" TargetMode="External"/><Relationship Id="rId125" Type="http://schemas.openxmlformats.org/officeDocument/2006/relationships/hyperlink" Target="https://doi.org/10.1016/j.jclepro.2017.03.151" TargetMode="External"/><Relationship Id="rId29" Type="http://schemas.openxmlformats.org/officeDocument/2006/relationships/hyperlink" Target="https://doi.org/10.1016/j.jik.2026.101033" TargetMode="External"/><Relationship Id="rId124" Type="http://schemas.openxmlformats.org/officeDocument/2006/relationships/hyperlink" Target="https://doi.org/10.1016/j.jclepro.2016.10.115" TargetMode="External"/><Relationship Id="rId123" Type="http://schemas.openxmlformats.org/officeDocument/2006/relationships/hyperlink" Target="https://doi.org/10.5278/jbm.v9i4.6267" TargetMode="External"/><Relationship Id="rId122" Type="http://schemas.openxmlformats.org/officeDocument/2006/relationships/hyperlink" Target="https://doi.org/10.5278/jbm.v9i4.7033" TargetMode="External"/><Relationship Id="rId95" Type="http://schemas.openxmlformats.org/officeDocument/2006/relationships/hyperlink" Target="https://doi.org/10.1016/j.jclepro.2024.143584" TargetMode="External"/><Relationship Id="rId94" Type="http://schemas.openxmlformats.org/officeDocument/2006/relationships/hyperlink" Target="https://wetten.overheid.nl/BWBR0037885" TargetMode="External"/><Relationship Id="rId97" Type="http://schemas.openxmlformats.org/officeDocument/2006/relationships/hyperlink" Target="https://doi.org/10.1016/j.jclepro.2017.07.146" TargetMode="External"/><Relationship Id="rId96" Type="http://schemas.openxmlformats.org/officeDocument/2006/relationships/hyperlink" Target="https://doi.org/10.1016/j.jclepro.2024.143584" TargetMode="External"/><Relationship Id="rId11" Type="http://schemas.openxmlformats.org/officeDocument/2006/relationships/hyperlink" Target="https://doi.org/10.1111/jiec.13124" TargetMode="External"/><Relationship Id="rId99" Type="http://schemas.openxmlformats.org/officeDocument/2006/relationships/hyperlink" Target="https://doi.org/10.1016/j.tra.2026.104898" TargetMode="External"/><Relationship Id="rId10" Type="http://schemas.openxmlformats.org/officeDocument/2006/relationships/hyperlink" Target="https://doi.org/10.1016/j.jclepro.2014.08.042" TargetMode="External"/><Relationship Id="rId98" Type="http://schemas.openxmlformats.org/officeDocument/2006/relationships/hyperlink" Target="https://doi.org/10.1016/j.jclepro.2017.07.146" TargetMode="External"/><Relationship Id="rId13" Type="http://schemas.openxmlformats.org/officeDocument/2006/relationships/hyperlink" Target="https://doi.org/10.1080/01446193.2022.2089073" TargetMode="External"/><Relationship Id="rId12" Type="http://schemas.openxmlformats.org/officeDocument/2006/relationships/hyperlink" Target="https://doi.org/10.1111/jiec.13124" TargetMode="External"/><Relationship Id="rId91" Type="http://schemas.openxmlformats.org/officeDocument/2006/relationships/hyperlink" Target="https://wetten.overheid.nl/BWBR0042394" TargetMode="External"/><Relationship Id="rId90" Type="http://schemas.openxmlformats.org/officeDocument/2006/relationships/hyperlink" Target="https://open.overheid.nl/documenten/ronl-c2ae4e29-a960-4c91-99af-7bca52b8c9f9/pdf" TargetMode="External"/><Relationship Id="rId93" Type="http://schemas.openxmlformats.org/officeDocument/2006/relationships/hyperlink" Target="https://open.overheid.nl/documenten/1cc2dff1-ea3e-499e-b1e3-04bf487b649d/file" TargetMode="External"/><Relationship Id="rId92" Type="http://schemas.openxmlformats.org/officeDocument/2006/relationships/hyperlink" Target="https://wetten.overheid.nl/BWBR0049322/2024-07-01/0" TargetMode="External"/><Relationship Id="rId118" Type="http://schemas.openxmlformats.org/officeDocument/2006/relationships/hyperlink" Target="https://doi.org/10.1016/j.jclepro.2023.136429" TargetMode="External"/><Relationship Id="rId117" Type="http://schemas.openxmlformats.org/officeDocument/2006/relationships/hyperlink" Target="https://doi.org/10.1016/j.jairtraman.2016.10.010" TargetMode="External"/><Relationship Id="rId116" Type="http://schemas.openxmlformats.org/officeDocument/2006/relationships/hyperlink" Target="https://doi.org/10.1111/jiec.12171" TargetMode="External"/><Relationship Id="rId115" Type="http://schemas.openxmlformats.org/officeDocument/2006/relationships/hyperlink" Target="https://doi.org/10.1111/jiec.12171" TargetMode="External"/><Relationship Id="rId119" Type="http://schemas.openxmlformats.org/officeDocument/2006/relationships/hyperlink" Target="https://doi.org/10.1016/j.jclepro.2023.136429" TargetMode="External"/><Relationship Id="rId15" Type="http://schemas.openxmlformats.org/officeDocument/2006/relationships/hyperlink" Target="https://doi.org/10.1016/j.jclepro.2017.12.238" TargetMode="External"/><Relationship Id="rId110" Type="http://schemas.openxmlformats.org/officeDocument/2006/relationships/hyperlink" Target="https://doi.org/10.1016/j.enpol.2013.05.038" TargetMode="External"/><Relationship Id="rId14" Type="http://schemas.openxmlformats.org/officeDocument/2006/relationships/hyperlink" Target="https://doi.org/10.1080/01446193.2022.2094434" TargetMode="External"/><Relationship Id="rId17" Type="http://schemas.openxmlformats.org/officeDocument/2006/relationships/hyperlink" Target="https://doi.org/10.1016/j.jclepro.2012.07.007" TargetMode="External"/><Relationship Id="rId16" Type="http://schemas.openxmlformats.org/officeDocument/2006/relationships/hyperlink" Target="https://doi.org/10.1016/j.jclepro.2017.12.198" TargetMode="External"/><Relationship Id="rId19" Type="http://schemas.openxmlformats.org/officeDocument/2006/relationships/hyperlink" Target="https://doi.org/10.1016/j.jclepro.2022.134150" TargetMode="External"/><Relationship Id="rId114" Type="http://schemas.openxmlformats.org/officeDocument/2006/relationships/hyperlink" Target="https://doi.org/10.1016/j.jclepro.2020.121201" TargetMode="External"/><Relationship Id="rId18" Type="http://schemas.openxmlformats.org/officeDocument/2006/relationships/hyperlink" Target="https://doi.org/10.1016/j.jclepro.2012.07.007" TargetMode="External"/><Relationship Id="rId113" Type="http://schemas.openxmlformats.org/officeDocument/2006/relationships/hyperlink" Target="https://doi.org/10.1016/j.jclepro.2020.121201" TargetMode="External"/><Relationship Id="rId112" Type="http://schemas.openxmlformats.org/officeDocument/2006/relationships/hyperlink" Target="https://doi.org/10.1016/j.jclepro.2021.125796" TargetMode="External"/><Relationship Id="rId111" Type="http://schemas.openxmlformats.org/officeDocument/2006/relationships/hyperlink" Target="https://doi.org/10.1016/j.jclepro.2021.125796" TargetMode="External"/><Relationship Id="rId84" Type="http://schemas.openxmlformats.org/officeDocument/2006/relationships/hyperlink" Target="https://doi.org/10.1016/j.tranpol.2025.103944" TargetMode="External"/><Relationship Id="rId83" Type="http://schemas.openxmlformats.org/officeDocument/2006/relationships/hyperlink" Target="https://doi.org/10.1016/j.tranpol.2025.103944" TargetMode="External"/><Relationship Id="rId86" Type="http://schemas.openxmlformats.org/officeDocument/2006/relationships/hyperlink" Target="https://open.overheid.nl/documenten/ronl-a6ce8220-07e8-4b64-9f3d-e69bb4ed2f9c/pdf" TargetMode="External"/><Relationship Id="rId85" Type="http://schemas.openxmlformats.org/officeDocument/2006/relationships/hyperlink" Target="https://open.overheid.nl/documenten/2f5cbb52-0631-4aad-b3dd-5088fab859c5/file" TargetMode="External"/><Relationship Id="rId88" Type="http://schemas.openxmlformats.org/officeDocument/2006/relationships/hyperlink" Target="https://circulairmaterialenplan.nl" TargetMode="External"/><Relationship Id="rId87" Type="http://schemas.openxmlformats.org/officeDocument/2006/relationships/hyperlink" Target="https://lap3.nl" TargetMode="External"/><Relationship Id="rId89" Type="http://schemas.openxmlformats.org/officeDocument/2006/relationships/hyperlink" Target="https://wetten.overheid.nl/BWBR0003245" TargetMode="External"/><Relationship Id="rId80" Type="http://schemas.openxmlformats.org/officeDocument/2006/relationships/hyperlink" Target="https://doi.org/10.1016/j.jclepro.2019.119942" TargetMode="External"/><Relationship Id="rId82" Type="http://schemas.openxmlformats.org/officeDocument/2006/relationships/hyperlink" Target="https://doi.org/10.1016/j.jclepro.2019.01.330" TargetMode="External"/><Relationship Id="rId81" Type="http://schemas.openxmlformats.org/officeDocument/2006/relationships/hyperlink" Target="https://doi.org/10.1016/j.jclepro.2019.02.0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jclepro.2015.06.10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1177/0149206316678451" TargetMode="External"/><Relationship Id="rId73" Type="http://schemas.openxmlformats.org/officeDocument/2006/relationships/hyperlink" Target="https://doi.org/10.1016/j.jclepro.2022.134134" TargetMode="External"/><Relationship Id="rId72" Type="http://schemas.openxmlformats.org/officeDocument/2006/relationships/hyperlink" Target="https://doi.org/10.1016/j.jclepro.2024.141103" TargetMode="External"/><Relationship Id="rId75" Type="http://schemas.openxmlformats.org/officeDocument/2006/relationships/hyperlink" Target="https://doi.org/10.1016/j.tranpol.2026.104059" TargetMode="External"/><Relationship Id="rId74" Type="http://schemas.openxmlformats.org/officeDocument/2006/relationships/hyperlink" Target="https://doi.org/10.1016/j.jclepro.2022.134134" TargetMode="External"/><Relationship Id="rId77" Type="http://schemas.openxmlformats.org/officeDocument/2006/relationships/hyperlink" Target="https://doi.org/10.1016/j.jik.2026.101021" TargetMode="External"/><Relationship Id="rId76" Type="http://schemas.openxmlformats.org/officeDocument/2006/relationships/hyperlink" Target="https://doi.org/10.1016/j.tranpol.2026.104059" TargetMode="External"/><Relationship Id="rId79" Type="http://schemas.openxmlformats.org/officeDocument/2006/relationships/hyperlink" Target="https://doi.org/10.1016/j.jclepro.2019.119942" TargetMode="External"/><Relationship Id="rId78" Type="http://schemas.openxmlformats.org/officeDocument/2006/relationships/hyperlink" Target="https://doi.org/10.1016/j.jik.2026.101021" TargetMode="External"/><Relationship Id="rId71" Type="http://schemas.openxmlformats.org/officeDocument/2006/relationships/hyperlink" Target="https://doi.org/10.1016/j.jclepro.2024.141103" TargetMode="External"/><Relationship Id="rId70" Type="http://schemas.openxmlformats.org/officeDocument/2006/relationships/hyperlink" Target="https://cris.tuni.fi/ws/portalfiles/portal/74975162/How_companies_innovate_BMs_and_SCs_for_a_CE_003_.pdf" TargetMode="External"/><Relationship Id="rId132" Type="http://schemas.openxmlformats.org/officeDocument/2006/relationships/hyperlink" Target="https://doi.org/10.1111/caim.12558" TargetMode="External"/><Relationship Id="rId131" Type="http://schemas.openxmlformats.org/officeDocument/2006/relationships/hyperlink" Target="https://doi.org/10.1111/caim.12558" TargetMode="External"/><Relationship Id="rId130" Type="http://schemas.openxmlformats.org/officeDocument/2006/relationships/hyperlink" Target="https://doi.org/10.1080/08956308.2017.1301001" TargetMode="External"/><Relationship Id="rId62" Type="http://schemas.openxmlformats.org/officeDocument/2006/relationships/hyperlink" Target="https://doi.org/10.1111/jiec.13016" TargetMode="External"/><Relationship Id="rId61" Type="http://schemas.openxmlformats.org/officeDocument/2006/relationships/hyperlink" Target="https://doi.org/10.1016/j.jairtraman.2022.102353" TargetMode="External"/><Relationship Id="rId64" Type="http://schemas.openxmlformats.org/officeDocument/2006/relationships/hyperlink" Target="https://doi.org/10.1016/j.jclepro.2015.04.128" TargetMode="External"/><Relationship Id="rId63" Type="http://schemas.openxmlformats.org/officeDocument/2006/relationships/hyperlink" Target="https://doi.org/10.1111/jiec.13016" TargetMode="External"/><Relationship Id="rId66" Type="http://schemas.openxmlformats.org/officeDocument/2006/relationships/hyperlink" Target="https://doi.org/10.1016/j.jclepro.2019.03.115" TargetMode="External"/><Relationship Id="rId65" Type="http://schemas.openxmlformats.org/officeDocument/2006/relationships/hyperlink" Target="https://doi.org/10.1016/j.jclepro.2015.04.128" TargetMode="External"/><Relationship Id="rId68" Type="http://schemas.openxmlformats.org/officeDocument/2006/relationships/hyperlink" Target="https://www.icao.int/sites/default/files/sp-files/environmental-protection/Documents/Assembly/Resolution_A41-21_Climate_change.pdf" TargetMode="External"/><Relationship Id="rId67" Type="http://schemas.openxmlformats.org/officeDocument/2006/relationships/hyperlink" Target="https://doi.org/10.1016/j.jclepro.2019.03.115" TargetMode="External"/><Relationship Id="rId60" Type="http://schemas.openxmlformats.org/officeDocument/2006/relationships/hyperlink" Target="https://doi.org/10.1016/j.jairtraman.2022.102353" TargetMode="External"/><Relationship Id="rId69" Type="http://schemas.openxmlformats.org/officeDocument/2006/relationships/hyperlink" Target="https://www.icao.int/sites/default/files/environmental-protection/Assembly42/Resolution-A42-22_CORSIA.pdf" TargetMode="External"/><Relationship Id="rId51" Type="http://schemas.openxmlformats.org/officeDocument/2006/relationships/hyperlink" Target="https://doi.org/10.1016/j.jclepro.2023.137143" TargetMode="External"/><Relationship Id="rId50" Type="http://schemas.openxmlformats.org/officeDocument/2006/relationships/hyperlink" Target="https://doi.org/10.1016/j.jclepro.2023.137143" TargetMode="External"/><Relationship Id="rId53" Type="http://schemas.openxmlformats.org/officeDocument/2006/relationships/hyperlink" Target="https://doi.org/10.1177/0149206316675927" TargetMode="External"/><Relationship Id="rId52" Type="http://schemas.openxmlformats.org/officeDocument/2006/relationships/hyperlink" Target="https://doi.org/10.1177/0149206316675927" TargetMode="External"/><Relationship Id="rId55" Type="http://schemas.openxmlformats.org/officeDocument/2006/relationships/hyperlink" Target="https://doi.org/10.1016/j.jclepro.2018.04.159" TargetMode="External"/><Relationship Id="rId54" Type="http://schemas.openxmlformats.org/officeDocument/2006/relationships/hyperlink" Target="https://doi.org/10.1016/j.jclepro.2018.04.159" TargetMode="External"/><Relationship Id="rId57" Type="http://schemas.openxmlformats.org/officeDocument/2006/relationships/hyperlink" Target="https://doi.org/10.1016/j.jclepro.2020.123741" TargetMode="External"/><Relationship Id="rId56" Type="http://schemas.openxmlformats.org/officeDocument/2006/relationships/hyperlink" Target="https://doi.org/10.1016/j.jclepro.2020.123741" TargetMode="External"/><Relationship Id="rId59" Type="http://schemas.openxmlformats.org/officeDocument/2006/relationships/hyperlink" Target="https://doi.org/10.1016/j.jclepro.2018.06.240" TargetMode="External"/><Relationship Id="rId58" Type="http://schemas.openxmlformats.org/officeDocument/2006/relationships/hyperlink" Target="https://doi.org/10.1016/j.jclepro.2018.06.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XYLP9bZMADOcnV3OMHWEHM0mw==">CgMxLjAyDmgucWYyN3k5MXF0cjI3Mg5oLjV6ejhtYjhmdjRnYjIOaC5zNGt6dTE5dWFtcjgyDmguOXd2b2MyYTFzbjZ0Mg5oLmtoMDVpZ3NtY3RqczIOaC5ra2c0N2c4bzVqcmMyDmgucWVyZ2R3cXZhYWY4Mg5oLngwdzJyNHRweGE5OTIOaC5oc3RrZWd3cXQ2bG4yDmguZjByam1uZ3JxbGVjMg5oLmpsYjdjZWJoMTU4dTIOaC5hNXFrc2k5dXhudjAyDmguYnJ4b3o0dDQxZnFwMg1oLnd0aWY1aTlyY3RzMg5oLnl3M3ExbnhwdG93MTIOaC5jYjhhbjRtc28zbTgyDmguejg1emF0bXpwOXpqMg5oLjM5MDg5amwwbmRnYjIOaC4zMnI3am5oNmRuenUyDmguc2VoMzJvYWxtNWJuMg5oLnA1NjZhbGllZ2F2cTIOaC54N3lzcHVvZDkxMTcyDmguM2o4ZzJrNTllc2FxMg5oLnU1cmdqeXgzemk2ZTINaC5wbWNiczM3eGpnYTIOaC51NHMxa3d5MHg1Y2UyDmgucDZuaWN6cjNnZmtwMg5oLmkxOWJiMnIzeHB6cTIOaC5rc3Z1eGt1dDg5YmcyDmguYzZxdGx5NmZkazF1Mg5oLm14Y2l2enhjbWQzeDIOaC5ibDJ0d3l4YzR3bDQyDmguZndvMTc5OWgyZWxiMg5oLmd6dzdxc3FuNWlyODIOaC5jb3U0d3ZlaWsxdXMyDmguOG0wY3QxcmY2MTY0Mg5oLjEzcjdhbGs2Zm9iMDIOaC5mZGhoaGllem5jMmoyDmguYjR2aGl4ZTFsd3piMg5oLjJ5N2VsbDNqZ3k0NzIOaC53bjd0MWFuZnExb2QyDmgudnA0a3F6cmhwcjV5Mg5oLmRoMTByYzMwNnFxbzIOaC5hMnk5bjR4ZWlpbnMyDmgub2M2OTY1bWxyamV2Mg5oLjRxMG56ZGkwbWZibTIOaC41aHRzMzN6MHIzYTAyDmgubndxamxjZmVucWptMg5oLncwYmVqd3dvaXJhcTIOaC54cTYzdnVucGo5MjIyDmguM3J5bWZ2N2NwOTAxMg1oLm5pd2hocmt1NnB6Mg5oLm9zYjI0dzNnajlzeDIOaC5nYm56ZXZseDdlam0yDmguczcwNGY1anM5NmpxMg1oLmI5bGlwZWtsOHlvOAByITFTQ3l4NERnLWE4M1B0TVM2YlNhZ3FnZWFUZ3RQeTNJ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