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D745" w14:textId="77777777" w:rsidR="00F71DDE" w:rsidRDefault="00780825">
      <w:pPr>
        <w:spacing w:after="40"/>
      </w:pPr>
      <w:r>
        <w:rPr>
          <w:b/>
          <w:bCs/>
          <w:color w:val="2E75B6"/>
          <w:sz w:val="18"/>
          <w:szCs w:val="18"/>
        </w:rPr>
        <w:t>FINANCE COMMENTARY — EMEA</w:t>
      </w:r>
    </w:p>
    <w:p w14:paraId="3EDDD746" w14:textId="77777777" w:rsidR="00F71DDE" w:rsidRDefault="00780825">
      <w:pPr>
        <w:spacing w:after="40"/>
      </w:pPr>
      <w:r>
        <w:rPr>
          <w:b/>
          <w:bCs/>
          <w:color w:val="1F3864"/>
          <w:sz w:val="38"/>
          <w:szCs w:val="38"/>
        </w:rPr>
        <w:t>EMEA FY27 Cost Commentary</w:t>
      </w:r>
    </w:p>
    <w:p w14:paraId="3EDDD747" w14:textId="77777777" w:rsidR="00F71DDE" w:rsidRDefault="00780825">
      <w:pPr>
        <w:spacing w:after="160"/>
      </w:pPr>
      <w:r>
        <w:rPr>
          <w:i/>
          <w:iCs/>
          <w:color w:val="6B7280"/>
          <w:sz w:val="22"/>
          <w:szCs w:val="22"/>
        </w:rPr>
        <w:t>Why operating income is tracking below plan — the story behind the figures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71DDE" w14:paraId="3EDDD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48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49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Sarah Mitchell, EMEA Controller</w:t>
            </w:r>
          </w:p>
        </w:tc>
      </w:tr>
      <w:tr w:rsidR="00F71DDE" w14:paraId="3EDDD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4B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Reviewed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4C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Group FP&amp;A</w:t>
            </w:r>
          </w:p>
        </w:tc>
      </w:tr>
      <w:tr w:rsidR="00F71DDE" w14:paraId="3EDDD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4E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Period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4F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FY27 Q1 (year-to-date)</w:t>
            </w:r>
          </w:p>
        </w:tc>
      </w:tr>
      <w:tr w:rsidR="00F71DDE" w14:paraId="3EDDD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51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52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Confidential — Internal Only</w:t>
            </w:r>
          </w:p>
        </w:tc>
      </w:tr>
      <w:tr w:rsidR="00F71DDE" w14:paraId="3EDDD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54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Companion 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55" w14:textId="77777777" w:rsidR="00F71DDE" w:rsidRDefault="00780825">
            <w:pPr>
              <w:spacing w:line="264" w:lineRule="auto"/>
            </w:pPr>
            <w:r>
              <w:rPr>
                <w:i/>
                <w:iCs/>
                <w:sz w:val="20"/>
                <w:szCs w:val="20"/>
              </w:rPr>
              <w:t>Finance State of the Nation</w:t>
            </w:r>
            <w:r>
              <w:rPr>
                <w:sz w:val="20"/>
                <w:szCs w:val="20"/>
              </w:rPr>
              <w:t xml:space="preserve"> Power BI model (all figures live there)</w:t>
            </w:r>
          </w:p>
        </w:tc>
      </w:tr>
    </w:tbl>
    <w:p w14:paraId="3EDDD757" w14:textId="77777777" w:rsidR="00F71DDE" w:rsidRDefault="00F71DDE">
      <w:pPr>
        <w:spacing w:after="20"/>
      </w:pPr>
    </w:p>
    <w:p w14:paraId="3EDDD758" w14:textId="77777777" w:rsidR="00F71DDE" w:rsidRDefault="00780825">
      <w:pPr>
        <w:pStyle w:val="Heading1"/>
      </w:pPr>
      <w:r>
        <w:t>Executive summary</w:t>
      </w:r>
    </w:p>
    <w:p w14:paraId="3EDDD759" w14:textId="77777777" w:rsidR="00F71DDE" w:rsidRDefault="00780825">
      <w:pPr>
        <w:spacing w:after="100" w:line="276" w:lineRule="auto"/>
      </w:pPr>
      <w:r>
        <w:t>EMEA operating income is tracking materially below plan for the quarter. The important point for leadership is what this is not: it is not a revenue miss and it is not a gross-margin problem — both are broadly on plan. This is a cost story, and a narrow one.</w:t>
      </w:r>
    </w:p>
    <w:p w14:paraId="3EDDD75A" w14:textId="77777777" w:rsidR="00F71DDE" w:rsidRDefault="00780825">
      <w:pPr>
        <w:spacing w:after="100" w:line="276" w:lineRule="auto"/>
      </w:pPr>
      <w:r>
        <w:t xml:space="preserve">The pressure is operating-expense driven, and it is </w:t>
      </w:r>
      <w:r>
        <w:rPr>
          <w:b/>
          <w:bCs/>
        </w:rPr>
        <w:t>concentrated rather than systemic</w:t>
      </w:r>
      <w:r>
        <w:t>. A small number of discrete issues — most of them one-off — are landing in the same quarter and in the same place. Strip them out and the underlying business is performing.</w:t>
      </w:r>
    </w:p>
    <w:tbl>
      <w:tblPr>
        <w:tblW w:w="9360" w:type="dxa"/>
        <w:tblBorders>
          <w:left w:val="single" w:sz="18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1DDE" w14:paraId="3EDDD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DDD75B" w14:textId="77777777" w:rsidR="00F71DDE" w:rsidRDefault="00780825">
            <w:pPr>
              <w:spacing w:after="60"/>
            </w:pPr>
            <w:r>
              <w:rPr>
                <w:b/>
                <w:bCs/>
                <w:color w:val="1F3864"/>
              </w:rPr>
              <w:t>The UK — largest EMEA market, and where the headline concentrates</w:t>
            </w:r>
          </w:p>
          <w:p w14:paraId="3EDDD75C" w14:textId="77777777" w:rsidR="00F71DDE" w:rsidRDefault="00780825">
            <w:pPr>
              <w:spacing w:after="60" w:line="270" w:lineRule="auto"/>
            </w:pPr>
            <w:r>
              <w:rPr>
                <w:sz w:val="20"/>
                <w:szCs w:val="20"/>
              </w:rPr>
              <w:t>As the region’s largest market and reporting hub, the UK carries the majority of the EMEA cost pressure — which is why the headline looks alarming when you first see it.</w:t>
            </w:r>
          </w:p>
          <w:p w14:paraId="3EDDD75D" w14:textId="77777777" w:rsidR="00F71DDE" w:rsidRDefault="00780825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But the driver is a cluster of one-off events arriving together, not a decline in the underlying business. On the current trajectory the UK normalises as those items unwind. The only lasting addition is CSRD compliance.</w:t>
            </w:r>
          </w:p>
        </w:tc>
      </w:tr>
    </w:tbl>
    <w:p w14:paraId="3EDDD75F" w14:textId="77777777" w:rsidR="00F71DDE" w:rsidRDefault="00F71DDE">
      <w:pPr>
        <w:spacing w:after="40"/>
      </w:pPr>
    </w:p>
    <w:p w14:paraId="3EDDD760" w14:textId="77777777" w:rsidR="00F71DDE" w:rsidRDefault="00780825">
      <w:pPr>
        <w:pStyle w:val="Heading1"/>
      </w:pPr>
      <w:r>
        <w:t>What actually happened — the drivers</w:t>
      </w:r>
    </w:p>
    <w:p w14:paraId="3EDDD761" w14:textId="77777777" w:rsidR="00F71DDE" w:rsidRDefault="00780825">
      <w:pPr>
        <w:spacing w:after="100" w:line="276" w:lineRule="auto"/>
      </w:pPr>
      <w:r>
        <w:t>Four issues account for almost all of the variance. Three are non-recurring. The table describes each in plain terms; the quantification lives in the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5160"/>
      </w:tblGrid>
      <w:tr w:rsidR="00F71DDE" w14:paraId="3EDDD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2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3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Nature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4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actually happened</w:t>
            </w:r>
          </w:p>
        </w:tc>
      </w:tr>
      <w:tr w:rsidR="00F71DDE" w14:paraId="3EDDD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6" w14:textId="77777777" w:rsidR="00F71DDE" w:rsidRDefault="00780825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Vantage Freight Partners — logistics renegotiation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7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Non-recurring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8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Expected savings from a single supplier renegotiation evaporated when the counterparty walked late in the process. Re-tender is under way, but the market has moved against us — no benefit is expected this year.</w:t>
            </w:r>
          </w:p>
        </w:tc>
      </w:tr>
      <w:tr w:rsidR="00F71DDE" w14:paraId="3EDDD7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A" w14:textId="77777777" w:rsidR="00F71DDE" w:rsidRDefault="00780825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CSRD compliance hiring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B" w14:textId="77777777" w:rsidR="00F71DDE" w:rsidRDefault="00780825">
            <w:pPr>
              <w:spacing w:line="264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Structural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C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The interim audit surfaced sustainability-reporting gaps. We have stood up a dedicated function to close them. This is a permanent step-up in cost, not a timing issue — the only structural item here.</w:t>
            </w:r>
          </w:p>
        </w:tc>
      </w:tr>
      <w:tr w:rsidR="00F71DDE" w14:paraId="3EDDD7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E" w14:textId="77777777" w:rsidR="00F71DDE" w:rsidRDefault="00780825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Frankfurt office consolidation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6F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Non-recurring (timing)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70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The new site failed its fire sign-off, extending dual-occupancy. The planned savings slip a year rather than disappear.</w:t>
            </w:r>
          </w:p>
        </w:tc>
      </w:tr>
      <w:tr w:rsidR="00F71DDE" w14:paraId="3EDDD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72" w14:textId="77777777" w:rsidR="00F71DDE" w:rsidRDefault="00780825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DACH marketing overrun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73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Partly controllable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D774" w14:textId="77777777" w:rsidR="00F71DDE" w:rsidRDefault="00780825">
            <w:pPr>
              <w:spacing w:line="264" w:lineRule="auto"/>
            </w:pPr>
            <w:r>
              <w:rPr>
                <w:sz w:val="20"/>
                <w:szCs w:val="20"/>
              </w:rPr>
              <w:t>A large Q4 campaign under-delivered on conversion — low return on the spend. The next wave has already been paused pending review.</w:t>
            </w:r>
          </w:p>
        </w:tc>
      </w:tr>
    </w:tbl>
    <w:p w14:paraId="3EDDD776" w14:textId="77777777" w:rsidR="00F71DDE" w:rsidRDefault="00F71DDE">
      <w:pPr>
        <w:spacing w:after="40"/>
      </w:pPr>
    </w:p>
    <w:p w14:paraId="3EDDD777" w14:textId="77777777" w:rsidR="00F71DDE" w:rsidRDefault="00780825">
      <w:pPr>
        <w:spacing w:after="120" w:line="276" w:lineRule="auto"/>
      </w:pPr>
      <w:r>
        <w:rPr>
          <w:b/>
          <w:bCs/>
        </w:rPr>
        <w:t xml:space="preserve">Note: </w:t>
      </w:r>
      <w:r>
        <w:t>a currency movement also weighs on reported operating income this quarter. It is non-cash, but it depresses the headline and should be called out as such so it isn’t mistaken for an operational miss.</w:t>
      </w:r>
    </w:p>
    <w:p w14:paraId="3EDDD778" w14:textId="77777777" w:rsidR="00F71DDE" w:rsidRDefault="00780825">
      <w:pPr>
        <w:pStyle w:val="Heading1"/>
      </w:pPr>
      <w:r>
        <w:t>Recommended actions</w:t>
      </w:r>
    </w:p>
    <w:p w14:paraId="3EDDD779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Convene an EMEA margin review — </w:t>
      </w:r>
      <w:r>
        <w:t>CFO and COO, in the next two weeks, to align on the one-off versus structural split before it reaches the board.</w:t>
      </w:r>
    </w:p>
    <w:p w14:paraId="3EDDD77A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Reforecast the year — </w:t>
      </w:r>
      <w:r>
        <w:t>incorporate the drivers above and, critically, separate non-recurring items from the structural CSRD cost so the run-rate is clear.</w:t>
      </w:r>
    </w:p>
    <w:p w14:paraId="3EDDD77B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Pause the next DACH marketing wave — </w:t>
      </w:r>
      <w:r>
        <w:t>hold until the return on the last campaign has been reviewed.</w:t>
      </w:r>
    </w:p>
    <w:p w14:paraId="3EDDD77C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Accelerate the Vantage re-tender — </w:t>
      </w:r>
      <w:r>
        <w:t>and keep a second supplier warm this time so we are never again reliant on a single counterparty’s goodwill.</w:t>
      </w:r>
    </w:p>
    <w:p w14:paraId="3EDDD77D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Confirm CSRD scope — </w:t>
      </w:r>
      <w:r>
        <w:t>validate the new hiring against the audit findings so the structural cost is right-sized, not over-built.</w:t>
      </w:r>
    </w:p>
    <w:p w14:paraId="3EDDD77E" w14:textId="77777777" w:rsidR="00F71DDE" w:rsidRDefault="00780825">
      <w:pPr>
        <w:pStyle w:val="Heading1"/>
      </w:pPr>
      <w:r>
        <w:t>What is not the problem</w:t>
      </w:r>
    </w:p>
    <w:p w14:paraId="3EDDD77F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t>Gross margin is stable — the issue is entirely on the cost side of the P&amp;L.</w:t>
      </w:r>
    </w:p>
    <w:p w14:paraId="3EDDD780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t>Revenue is broadly on plan — this is not a demand story.</w:t>
      </w:r>
    </w:p>
    <w:p w14:paraId="3EDDD781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t>The majority of the drivers are non-recurring or otherwise addressable.</w:t>
      </w:r>
    </w:p>
    <w:p w14:paraId="3EDDD782" w14:textId="77777777" w:rsidR="00F71DDE" w:rsidRDefault="00780825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CSRD is the only permanent cost — </w:t>
      </w:r>
      <w:r>
        <w:t>and it is a known regulatory obligation, not a sign of an underlying decline.</w:t>
      </w:r>
    </w:p>
    <w:p w14:paraId="3EDDD783" w14:textId="77777777" w:rsidR="00F71DDE" w:rsidRDefault="00F71DDE">
      <w:pPr>
        <w:spacing w:before="160"/>
      </w:pPr>
    </w:p>
    <w:p w14:paraId="3EDDD784" w14:textId="77777777" w:rsidR="00F71DDE" w:rsidRDefault="00F71DDE">
      <w:pPr>
        <w:pBdr>
          <w:bottom w:val="single" w:sz="6" w:space="1" w:color="BFC7D2"/>
        </w:pBdr>
        <w:spacing w:before="60" w:after="60"/>
      </w:pPr>
    </w:p>
    <w:p w14:paraId="3EDDD785" w14:textId="77777777" w:rsidR="00F71DDE" w:rsidRDefault="00780825">
      <w:pPr>
        <w:spacing w:line="276" w:lineRule="auto"/>
      </w:pPr>
      <w:r>
        <w:rPr>
          <w:i/>
          <w:iCs/>
          <w:color w:val="6B7280"/>
          <w:sz w:val="18"/>
          <w:szCs w:val="18"/>
        </w:rPr>
        <w:t>Prepared for internal leadership discussion. All quantified figures are held in the Finance State of the Nation model; this note is the qualitative companion to it.</w:t>
      </w:r>
    </w:p>
    <w:sectPr w:rsidR="00F71DDE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2B67" w14:textId="77777777" w:rsidR="00780825" w:rsidRDefault="00780825">
      <w:r>
        <w:separator/>
      </w:r>
    </w:p>
  </w:endnote>
  <w:endnote w:type="continuationSeparator" w:id="0">
    <w:p w14:paraId="1AEFE8F7" w14:textId="77777777" w:rsidR="00780825" w:rsidRDefault="0078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D787" w14:textId="35976241" w:rsidR="00F71DDE" w:rsidRDefault="00780825">
    <w:pPr>
      <w:pBdr>
        <w:top w:val="single" w:sz="4" w:space="6" w:color="BFC7D2"/>
      </w:pBdr>
      <w:tabs>
        <w:tab w:val="right" w:pos="9360"/>
      </w:tabs>
    </w:pPr>
    <w:r>
      <w:rPr>
        <w:color w:val="6B7280"/>
        <w:sz w:val="15"/>
        <w:szCs w:val="15"/>
      </w:rPr>
      <w:t>Confidential — Internal Only  ·  EMEA Controller  ·  Companion to the finance model</w:t>
    </w:r>
    <w:r>
      <w:rPr>
        <w:color w:val="6B7280"/>
        <w:sz w:val="15"/>
        <w:szCs w:val="15"/>
      </w:rPr>
      <w:tab/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1A4333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1A4333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E4D48" w14:textId="77777777" w:rsidR="00780825" w:rsidRDefault="00780825">
      <w:r>
        <w:separator/>
      </w:r>
    </w:p>
  </w:footnote>
  <w:footnote w:type="continuationSeparator" w:id="0">
    <w:p w14:paraId="628418C7" w14:textId="77777777" w:rsidR="00780825" w:rsidRDefault="00780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D786" w14:textId="77777777" w:rsidR="00F71DDE" w:rsidRDefault="00780825">
    <w:pPr>
      <w:pBdr>
        <w:bottom w:val="single" w:sz="4" w:space="6" w:color="BFC7D2"/>
      </w:pBdr>
      <w:tabs>
        <w:tab w:val="right" w:pos="9360"/>
      </w:tabs>
    </w:pPr>
    <w:r>
      <w:rPr>
        <w:b/>
        <w:bCs/>
        <w:color w:val="1F3864"/>
        <w:sz w:val="16"/>
        <w:szCs w:val="16"/>
      </w:rPr>
      <w:t>CONTOSO GROUP</w:t>
    </w:r>
    <w:r>
      <w:rPr>
        <w:color w:val="6B7280"/>
        <w:sz w:val="16"/>
        <w:szCs w:val="16"/>
      </w:rPr>
      <w:tab/>
      <w:t>EMEA FY27 Cost Commentary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76DB5"/>
    <w:multiLevelType w:val="hybridMultilevel"/>
    <w:tmpl w:val="257C8BBE"/>
    <w:lvl w:ilvl="0" w:tplc="639E24DA">
      <w:start w:val="1"/>
      <w:numFmt w:val="bullet"/>
      <w:lvlText w:val="●"/>
      <w:lvlJc w:val="left"/>
      <w:pPr>
        <w:ind w:left="720" w:hanging="360"/>
      </w:pPr>
    </w:lvl>
    <w:lvl w:ilvl="1" w:tplc="291A4598">
      <w:start w:val="1"/>
      <w:numFmt w:val="bullet"/>
      <w:lvlText w:val="○"/>
      <w:lvlJc w:val="left"/>
      <w:pPr>
        <w:ind w:left="1440" w:hanging="360"/>
      </w:pPr>
    </w:lvl>
    <w:lvl w:ilvl="2" w:tplc="29E83746">
      <w:start w:val="1"/>
      <w:numFmt w:val="bullet"/>
      <w:lvlText w:val="■"/>
      <w:lvlJc w:val="left"/>
      <w:pPr>
        <w:ind w:left="2160" w:hanging="360"/>
      </w:pPr>
    </w:lvl>
    <w:lvl w:ilvl="3" w:tplc="C3563908">
      <w:start w:val="1"/>
      <w:numFmt w:val="bullet"/>
      <w:lvlText w:val="●"/>
      <w:lvlJc w:val="left"/>
      <w:pPr>
        <w:ind w:left="2880" w:hanging="360"/>
      </w:pPr>
    </w:lvl>
    <w:lvl w:ilvl="4" w:tplc="46720982">
      <w:start w:val="1"/>
      <w:numFmt w:val="bullet"/>
      <w:lvlText w:val="○"/>
      <w:lvlJc w:val="left"/>
      <w:pPr>
        <w:ind w:left="3600" w:hanging="360"/>
      </w:pPr>
    </w:lvl>
    <w:lvl w:ilvl="5" w:tplc="2B000BB8">
      <w:start w:val="1"/>
      <w:numFmt w:val="bullet"/>
      <w:lvlText w:val="■"/>
      <w:lvlJc w:val="left"/>
      <w:pPr>
        <w:ind w:left="4320" w:hanging="360"/>
      </w:pPr>
    </w:lvl>
    <w:lvl w:ilvl="6" w:tplc="CF84A4D4">
      <w:start w:val="1"/>
      <w:numFmt w:val="bullet"/>
      <w:lvlText w:val="●"/>
      <w:lvlJc w:val="left"/>
      <w:pPr>
        <w:ind w:left="5040" w:hanging="360"/>
      </w:pPr>
    </w:lvl>
    <w:lvl w:ilvl="7" w:tplc="0D3C1358">
      <w:start w:val="1"/>
      <w:numFmt w:val="bullet"/>
      <w:lvlText w:val="●"/>
      <w:lvlJc w:val="left"/>
      <w:pPr>
        <w:ind w:left="5760" w:hanging="360"/>
      </w:pPr>
    </w:lvl>
    <w:lvl w:ilvl="8" w:tplc="909EA4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4E4F45"/>
    <w:multiLevelType w:val="hybridMultilevel"/>
    <w:tmpl w:val="AAEA7760"/>
    <w:lvl w:ilvl="0" w:tplc="1286FBBE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2E200654">
      <w:numFmt w:val="decimal"/>
      <w:lvlText w:val=""/>
      <w:lvlJc w:val="left"/>
    </w:lvl>
    <w:lvl w:ilvl="2" w:tplc="FCBA2DCA">
      <w:numFmt w:val="decimal"/>
      <w:lvlText w:val=""/>
      <w:lvlJc w:val="left"/>
    </w:lvl>
    <w:lvl w:ilvl="3" w:tplc="FFFCFC64">
      <w:numFmt w:val="decimal"/>
      <w:lvlText w:val=""/>
      <w:lvlJc w:val="left"/>
    </w:lvl>
    <w:lvl w:ilvl="4" w:tplc="3A7C2048">
      <w:numFmt w:val="decimal"/>
      <w:lvlText w:val=""/>
      <w:lvlJc w:val="left"/>
    </w:lvl>
    <w:lvl w:ilvl="5" w:tplc="EEC00142">
      <w:numFmt w:val="decimal"/>
      <w:lvlText w:val=""/>
      <w:lvlJc w:val="left"/>
    </w:lvl>
    <w:lvl w:ilvl="6" w:tplc="98986E06">
      <w:numFmt w:val="decimal"/>
      <w:lvlText w:val=""/>
      <w:lvlJc w:val="left"/>
    </w:lvl>
    <w:lvl w:ilvl="7" w:tplc="3DCE79BC">
      <w:numFmt w:val="decimal"/>
      <w:lvlText w:val=""/>
      <w:lvlJc w:val="left"/>
    </w:lvl>
    <w:lvl w:ilvl="8" w:tplc="AD868FBC">
      <w:numFmt w:val="decimal"/>
      <w:lvlText w:val=""/>
      <w:lvlJc w:val="left"/>
    </w:lvl>
  </w:abstractNum>
  <w:num w:numId="1" w16cid:durableId="1883445002">
    <w:abstractNumId w:val="0"/>
    <w:lvlOverride w:ilvl="0">
      <w:startOverride w:val="1"/>
    </w:lvlOverride>
  </w:num>
  <w:num w:numId="2" w16cid:durableId="10513482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DE"/>
    <w:rsid w:val="001A4333"/>
    <w:rsid w:val="003345FE"/>
    <w:rsid w:val="00780825"/>
    <w:rsid w:val="00F7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D745"/>
  <w15:docId w15:val="{31A7330F-21F2-4B40-9628-0EF459B8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A43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4333"/>
  </w:style>
  <w:style w:type="paragraph" w:styleId="Footer">
    <w:name w:val="footer"/>
    <w:basedOn w:val="Normal"/>
    <w:link w:val="FooterChar"/>
    <w:uiPriority w:val="99"/>
    <w:semiHidden/>
    <w:unhideWhenUsed/>
    <w:rsid w:val="001A43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4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Liam Howlett</cp:lastModifiedBy>
  <cp:revision>2</cp:revision>
  <dcterms:created xsi:type="dcterms:W3CDTF">2026-08-26T15:54:00Z</dcterms:created>
  <dcterms:modified xsi:type="dcterms:W3CDTF">2026-08-27T08:32:00Z</dcterms:modified>
</cp:coreProperties>
</file>