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5E4E0" w14:textId="77777777" w:rsidR="00217F15" w:rsidRDefault="00000000">
      <w:pPr>
        <w:spacing w:after="40"/>
      </w:pPr>
      <w:r>
        <w:rPr>
          <w:b/>
          <w:bCs/>
          <w:color w:val="2E75B6"/>
          <w:sz w:val="18"/>
          <w:szCs w:val="18"/>
        </w:rPr>
        <w:t>GROUP FP&amp;A — ANALYTICAL NOTE</w:t>
      </w:r>
    </w:p>
    <w:p w14:paraId="1C65E4E1" w14:textId="77777777" w:rsidR="00217F15" w:rsidRDefault="00000000">
      <w:pPr>
        <w:spacing w:after="40"/>
      </w:pPr>
      <w:r>
        <w:rPr>
          <w:b/>
          <w:bCs/>
          <w:color w:val="1F3864"/>
          <w:sz w:val="38"/>
          <w:szCs w:val="38"/>
        </w:rPr>
        <w:t>FY27 Operating Expense Drivers</w:t>
      </w:r>
    </w:p>
    <w:p w14:paraId="1C65E4E2" w14:textId="77777777" w:rsidR="00217F15" w:rsidRDefault="00000000">
      <w:pPr>
        <w:spacing w:after="160"/>
      </w:pPr>
      <w:r>
        <w:rPr>
          <w:i/>
          <w:iCs/>
          <w:color w:val="6B7280"/>
          <w:sz w:val="22"/>
          <w:szCs w:val="22"/>
        </w:rPr>
        <w:t>A narrative breakdown of the variance to plan — nature, not amounts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17F15" w14:paraId="1C65E4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4E3" w14:textId="77777777" w:rsidR="00217F15" w:rsidRDefault="00000000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Prepared by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4E4" w14:textId="77777777" w:rsidR="00217F1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Group FP&amp;A</w:t>
            </w:r>
          </w:p>
        </w:tc>
      </w:tr>
      <w:tr w:rsidR="00217F15" w14:paraId="1C65E4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4E6" w14:textId="77777777" w:rsidR="00217F15" w:rsidRDefault="00000000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Period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4E7" w14:textId="77777777" w:rsidR="00217F1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FY27 Q1 (year-to-date)</w:t>
            </w:r>
          </w:p>
        </w:tc>
      </w:tr>
      <w:tr w:rsidR="00217F15" w14:paraId="1C65E4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4E9" w14:textId="77777777" w:rsidR="00217F15" w:rsidRDefault="00000000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4EA" w14:textId="77777777" w:rsidR="00217F1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 xml:space="preserve">Explain the </w:t>
            </w:r>
            <w:proofErr w:type="spellStart"/>
            <w:r>
              <w:rPr>
                <w:sz w:val="20"/>
                <w:szCs w:val="20"/>
              </w:rPr>
              <w:t>OpEx</w:t>
            </w:r>
            <w:proofErr w:type="spellEnd"/>
            <w:r>
              <w:rPr>
                <w:sz w:val="20"/>
                <w:szCs w:val="20"/>
              </w:rPr>
              <w:t xml:space="preserve"> variance qualitatively so leadership reads the story, not just the number</w:t>
            </w:r>
          </w:p>
        </w:tc>
      </w:tr>
      <w:tr w:rsidR="00217F15" w14:paraId="1C65E4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4EC" w14:textId="77777777" w:rsidR="00217F15" w:rsidRDefault="00000000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Classification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4ED" w14:textId="77777777" w:rsidR="00217F1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Confidential — Internal Only</w:t>
            </w:r>
          </w:p>
        </w:tc>
      </w:tr>
      <w:tr w:rsidR="00217F15" w14:paraId="1C65E4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4EF" w14:textId="77777777" w:rsidR="00217F15" w:rsidRDefault="00000000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Companion to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4F0" w14:textId="77777777" w:rsidR="00217F15" w:rsidRDefault="00000000">
            <w:pPr>
              <w:spacing w:line="264" w:lineRule="auto"/>
            </w:pPr>
            <w:r>
              <w:rPr>
                <w:i/>
                <w:iCs/>
                <w:sz w:val="20"/>
                <w:szCs w:val="20"/>
              </w:rPr>
              <w:t>Finance State of the Nation</w:t>
            </w:r>
            <w:r>
              <w:rPr>
                <w:sz w:val="20"/>
                <w:szCs w:val="20"/>
              </w:rPr>
              <w:t xml:space="preserve"> Power BI model (all amounts live there)</w:t>
            </w:r>
          </w:p>
        </w:tc>
      </w:tr>
    </w:tbl>
    <w:p w14:paraId="1C65E4F2" w14:textId="77777777" w:rsidR="00217F15" w:rsidRDefault="00217F15">
      <w:pPr>
        <w:spacing w:after="20"/>
      </w:pPr>
    </w:p>
    <w:p w14:paraId="1C65E4F3" w14:textId="77777777" w:rsidR="00217F15" w:rsidRDefault="00000000">
      <w:pPr>
        <w:pStyle w:val="Heading1"/>
      </w:pPr>
      <w:r>
        <w:t>Headline</w:t>
      </w:r>
    </w:p>
    <w:p w14:paraId="1C65E4F4" w14:textId="77777777" w:rsidR="00217F15" w:rsidRDefault="00000000">
      <w:pPr>
        <w:spacing w:after="100" w:line="276" w:lineRule="auto"/>
      </w:pPr>
      <w:r>
        <w:t xml:space="preserve">The FY27 variance to plan is material but narrow. It sits almost entirely in operating expense — </w:t>
      </w:r>
      <w:r>
        <w:rPr>
          <w:b/>
          <w:bCs/>
        </w:rPr>
        <w:t>revenue and gross margin are on track</w:t>
      </w:r>
      <w:r>
        <w:t>. Operating margin is down; gross margin is in line. In other words, the group is spending against plan, not selling below it.</w:t>
      </w:r>
    </w:p>
    <w:p w14:paraId="1C65E4F5" w14:textId="77777777" w:rsidR="00217F15" w:rsidRDefault="00000000">
      <w:pPr>
        <w:spacing w:after="100" w:line="276" w:lineRule="auto"/>
      </w:pPr>
      <w:r>
        <w:t>This note attributes the variance by region, driver and nature so leadership can separate the noise (one-off) from the signal (structural). The amounts themselves are in the model and are not repeated here.</w:t>
      </w:r>
    </w:p>
    <w:p w14:paraId="1C65E4F6" w14:textId="77777777" w:rsidR="00217F15" w:rsidRDefault="00000000">
      <w:pPr>
        <w:pStyle w:val="Heading1"/>
      </w:pPr>
      <w:r>
        <w:t>Driver decomposition</w:t>
      </w:r>
    </w:p>
    <w:p w14:paraId="1C65E4F7" w14:textId="77777777" w:rsidR="00217F15" w:rsidRDefault="00000000">
      <w:pPr>
        <w:spacing w:after="100" w:line="276" w:lineRule="auto"/>
      </w:pPr>
      <w:r>
        <w:t>Read this as an attribution, not a ledger — each row is a story, and its size lives in the model.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2650"/>
        <w:gridCol w:w="1700"/>
        <w:gridCol w:w="3760"/>
      </w:tblGrid>
      <w:tr w:rsidR="00217F15" w14:paraId="1C65E4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4F8" w14:textId="77777777" w:rsidR="00217F1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4F9" w14:textId="77777777" w:rsidR="00217F1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Driver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4FA" w14:textId="77777777" w:rsidR="00217F1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Nature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4FB" w14:textId="77777777" w:rsidR="00217F15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217F15" w14:paraId="1C65E501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4FD" w14:textId="77777777" w:rsidR="00217F15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EMEA</w:t>
            </w:r>
          </w:p>
        </w:tc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4FE" w14:textId="77777777" w:rsidR="00217F1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Vantage Freight Partners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4FF" w14:textId="77777777" w:rsidR="00217F1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Non-recurring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500" w14:textId="77777777" w:rsidR="00217F1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Supplier renegotiation collapsed; the single largest driver this quarter.</w:t>
            </w:r>
          </w:p>
        </w:tc>
      </w:tr>
      <w:tr w:rsidR="00217F15" w14:paraId="1C65E506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502" w14:textId="77777777" w:rsidR="00217F15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EMEA</w:t>
            </w:r>
          </w:p>
        </w:tc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503" w14:textId="77777777" w:rsidR="00217F1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Frankfurt consolidation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504" w14:textId="77777777" w:rsidR="00217F1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Non-recurring (timing)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505" w14:textId="77777777" w:rsidR="00217F1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Savings slip a year; dual-occupancy extended after a failed sign-off.</w:t>
            </w:r>
          </w:p>
        </w:tc>
      </w:tr>
      <w:tr w:rsidR="00217F15" w14:paraId="1C65E50B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507" w14:textId="77777777" w:rsidR="00217F15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EMEA</w:t>
            </w:r>
          </w:p>
        </w:tc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508" w14:textId="77777777" w:rsidR="00217F1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CSRD compliance hiring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509" w14:textId="77777777" w:rsidR="00217F15" w:rsidRDefault="00000000">
            <w:pPr>
              <w:spacing w:line="264" w:lineRule="auto"/>
            </w:pPr>
            <w:r>
              <w:rPr>
                <w:b/>
                <w:bCs/>
                <w:color w:val="8A6D00"/>
                <w:sz w:val="20"/>
                <w:szCs w:val="20"/>
              </w:rPr>
              <w:t>Structural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50A" w14:textId="77777777" w:rsidR="00217F1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The only permanent driver; triggered by the interim audit.</w:t>
            </w:r>
          </w:p>
        </w:tc>
      </w:tr>
      <w:tr w:rsidR="00217F15" w14:paraId="1C65E510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50C" w14:textId="77777777" w:rsidR="00217F15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EMEA</w:t>
            </w:r>
          </w:p>
        </w:tc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50D" w14:textId="77777777" w:rsidR="00217F1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DACH marketing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50E" w14:textId="77777777" w:rsidR="00217F1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Partly controllable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50F" w14:textId="77777777" w:rsidR="00217F1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Low-conversion Q4 campaign; next wave already paused.</w:t>
            </w:r>
          </w:p>
        </w:tc>
      </w:tr>
      <w:tr w:rsidR="00217F15" w14:paraId="1C65E515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511" w14:textId="77777777" w:rsidR="00217F15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EMEA</w:t>
            </w:r>
          </w:p>
        </w:tc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512" w14:textId="77777777" w:rsidR="00217F1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513" w14:textId="77777777" w:rsidR="00217F1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Non-recurring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514" w14:textId="77777777" w:rsidR="00217F1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Non-cash FX headwind on reported operating income.</w:t>
            </w:r>
          </w:p>
        </w:tc>
      </w:tr>
      <w:tr w:rsidR="00217F15" w14:paraId="1C65E51A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516" w14:textId="77777777" w:rsidR="00217F15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Americas</w:t>
            </w:r>
          </w:p>
        </w:tc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517" w14:textId="77777777" w:rsidR="00217F1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IT contractor overrun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518" w14:textId="77777777" w:rsidR="00217F1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Manageable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519" w14:textId="77777777" w:rsidR="00217F1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Minor by comparison; being brought back into line.</w:t>
            </w:r>
          </w:p>
        </w:tc>
      </w:tr>
      <w:tr w:rsidR="00217F15" w14:paraId="1C65E51F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51B" w14:textId="77777777" w:rsidR="00217F15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APAC</w:t>
            </w:r>
          </w:p>
        </w:tc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51C" w14:textId="77777777" w:rsidR="00217F1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Singapore expansion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51D" w14:textId="77777777" w:rsidR="00217F1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Planned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E51E" w14:textId="77777777" w:rsidR="00217F15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Deliberate growth investment — on strategy, not a miss.</w:t>
            </w:r>
          </w:p>
        </w:tc>
      </w:tr>
    </w:tbl>
    <w:p w14:paraId="1C65E520" w14:textId="77777777" w:rsidR="00217F15" w:rsidRDefault="00217F15">
      <w:pPr>
        <w:spacing w:after="40"/>
      </w:pPr>
    </w:p>
    <w:p w14:paraId="1C65E521" w14:textId="77777777" w:rsidR="00217F15" w:rsidRDefault="00000000">
      <w:pPr>
        <w:spacing w:after="120" w:line="276" w:lineRule="auto"/>
      </w:pPr>
      <w:r>
        <w:rPr>
          <w:b/>
          <w:bCs/>
        </w:rPr>
        <w:t xml:space="preserve">One caveat on reading the net number: </w:t>
      </w:r>
      <w:r>
        <w:t>offsets elsewhere — recruitment timing, travel, training — partially mask the gross pressure. That means the headline variance understates how concentrated the real drivers are. The concentration is the story, not the net.</w:t>
      </w:r>
    </w:p>
    <w:p w14:paraId="1C65E522" w14:textId="77777777" w:rsidR="00217F15" w:rsidRDefault="00000000">
      <w:pPr>
        <w:pStyle w:val="Heading1"/>
      </w:pPr>
      <w:r>
        <w:lastRenderedPageBreak/>
        <w:t>What it means for the story</w:t>
      </w:r>
    </w:p>
    <w:p w14:paraId="1C65E523" w14:textId="77777777" w:rsidR="00217F15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It is EMEA-concentrated — </w:t>
      </w:r>
      <w:r>
        <w:t>the overwhelming majority of the variance sits in one region.</w:t>
      </w:r>
    </w:p>
    <w:p w14:paraId="1C65E524" w14:textId="77777777" w:rsidR="00217F15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Within EMEA, it is UK-concentrated — </w:t>
      </w:r>
      <w:r>
        <w:t>the region’s largest market carries most of it, which is why the UK headline looks the most alarming.</w:t>
      </w:r>
    </w:p>
    <w:p w14:paraId="1C65E525" w14:textId="77777777" w:rsidR="00217F15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It is mostly non-recurring — </w:t>
      </w:r>
      <w:r>
        <w:t>CSRD is the only structural cost; everything else unwinds or is being addressed.</w:t>
      </w:r>
    </w:p>
    <w:p w14:paraId="1C65E526" w14:textId="77777777" w:rsidR="00217F15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The core business is performing — </w:t>
      </w:r>
      <w:r>
        <w:t>without a reforecast, the headline hides that.</w:t>
      </w:r>
    </w:p>
    <w:p w14:paraId="1C65E527" w14:textId="77777777" w:rsidR="00217F15" w:rsidRDefault="00000000">
      <w:pPr>
        <w:pStyle w:val="Heading1"/>
      </w:pPr>
      <w:r>
        <w:t>Cash — the real watch-item</w:t>
      </w:r>
    </w:p>
    <w:p w14:paraId="1C65E528" w14:textId="77777777" w:rsidR="00217F15" w:rsidRDefault="00000000">
      <w:pPr>
        <w:spacing w:after="80" w:line="276" w:lineRule="auto"/>
      </w:pPr>
      <w:r>
        <w:t>If leadership should worry about one thing, it is cash rather than the operating-income optics.</w:t>
      </w:r>
    </w:p>
    <w:p w14:paraId="1C65E529" w14:textId="77777777" w:rsidR="00217F15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Operating cash flow has been under pressure across the recent run of months.</w:t>
      </w:r>
    </w:p>
    <w:p w14:paraId="1C65E52A" w14:textId="77777777" w:rsidR="00217F15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Free cash flow is tracking below plan.</w:t>
      </w:r>
    </w:p>
    <w:p w14:paraId="1C65E52B" w14:textId="77777777" w:rsidR="00217F15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The cumulative trajectory is the concern — </w:t>
      </w:r>
      <w:r>
        <w:t>not the single-quarter operating-income headline. Direction of travel matters more here than any one figure.</w:t>
      </w:r>
    </w:p>
    <w:p w14:paraId="1C65E52C" w14:textId="77777777" w:rsidR="00217F15" w:rsidRDefault="00000000">
      <w:pPr>
        <w:pStyle w:val="Heading1"/>
      </w:pPr>
      <w:r>
        <w:t>Suggested leadership narrative order</w:t>
      </w:r>
    </w:p>
    <w:p w14:paraId="1C65E52D" w14:textId="77777777" w:rsidR="00217F15" w:rsidRDefault="00000000">
      <w:pPr>
        <w:spacing w:after="80" w:line="276" w:lineRule="auto"/>
      </w:pPr>
      <w:r>
        <w:t>If we present in this sequence, the context arrives before the alarming number does:</w:t>
      </w:r>
    </w:p>
    <w:p w14:paraId="1C65E52E" w14:textId="77777777" w:rsidR="00217F15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Revenue and gross margin are on plan — set the baseline first.</w:t>
      </w:r>
    </w:p>
    <w:p w14:paraId="1C65E52F" w14:textId="77777777" w:rsidR="00217F15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The variance is EMEA-concentrated — and within EMEA, UK-concentrated.</w:t>
      </w:r>
    </w:p>
    <w:p w14:paraId="1C65E530" w14:textId="77777777" w:rsidR="00217F15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Decompose the drivers — one-off versus structural.</w:t>
      </w:r>
    </w:p>
    <w:p w14:paraId="1C65E531" w14:textId="77777777" w:rsidR="00217F15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CSRD is the only structural item — name it clearly.</w:t>
      </w:r>
    </w:p>
    <w:p w14:paraId="1C65E532" w14:textId="77777777" w:rsidR="00217F15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Cash is the real watch-item — not the operating-income optics.</w:t>
      </w:r>
    </w:p>
    <w:p w14:paraId="1C65E533" w14:textId="77777777" w:rsidR="00217F15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Actions and reforecast — close on the plan, not the panic.</w:t>
      </w:r>
    </w:p>
    <w:p w14:paraId="1C65E534" w14:textId="77777777" w:rsidR="00217F15" w:rsidRDefault="00217F15">
      <w:pPr>
        <w:spacing w:before="160"/>
      </w:pPr>
    </w:p>
    <w:p w14:paraId="1C65E535" w14:textId="77777777" w:rsidR="00217F15" w:rsidRDefault="00217F15">
      <w:pPr>
        <w:pBdr>
          <w:bottom w:val="single" w:sz="6" w:space="1" w:color="BFC7D2"/>
        </w:pBdr>
        <w:spacing w:before="60" w:after="60"/>
      </w:pPr>
    </w:p>
    <w:p w14:paraId="1C65E536" w14:textId="77777777" w:rsidR="00217F15" w:rsidRDefault="00000000">
      <w:pPr>
        <w:spacing w:line="276" w:lineRule="auto"/>
      </w:pPr>
      <w:r>
        <w:rPr>
          <w:i/>
          <w:iCs/>
          <w:color w:val="6B7280"/>
          <w:sz w:val="18"/>
          <w:szCs w:val="18"/>
        </w:rPr>
        <w:t>Analytical companion to the Finance State of the Nation model. Deliberately qualitative: it explains the drivers so the numbers in the model are read in context.</w:t>
      </w:r>
    </w:p>
    <w:sectPr w:rsidR="00217F15">
      <w:headerReference w:type="default" r:id="rId7"/>
      <w:footerReference w:type="default" r:id="rId8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60881" w14:textId="77777777" w:rsidR="001E4FFC" w:rsidRDefault="001E4FFC">
      <w:r>
        <w:separator/>
      </w:r>
    </w:p>
  </w:endnote>
  <w:endnote w:type="continuationSeparator" w:id="0">
    <w:p w14:paraId="64B0EA2B" w14:textId="77777777" w:rsidR="001E4FFC" w:rsidRDefault="001E4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5E538" w14:textId="7EA9A291" w:rsidR="00217F15" w:rsidRDefault="00000000">
    <w:pPr>
      <w:pBdr>
        <w:top w:val="single" w:sz="4" w:space="6" w:color="BFC7D2"/>
      </w:pBdr>
      <w:tabs>
        <w:tab w:val="right" w:pos="9360"/>
      </w:tabs>
    </w:pPr>
    <w:r>
      <w:rPr>
        <w:color w:val="6B7280"/>
        <w:sz w:val="15"/>
        <w:szCs w:val="15"/>
      </w:rPr>
      <w:t>Confidential — Internal Only  ·  Group FP&amp;A  ·  Narrative companion to the finance model</w:t>
    </w:r>
    <w:r>
      <w:rPr>
        <w:color w:val="6B7280"/>
        <w:sz w:val="15"/>
        <w:szCs w:val="15"/>
      </w:rPr>
      <w:tab/>
      <w:t xml:space="preserve">Page </w:t>
    </w:r>
    <w:r>
      <w:rPr>
        <w:color w:val="6B7280"/>
        <w:sz w:val="15"/>
        <w:szCs w:val="15"/>
      </w:rPr>
      <w:fldChar w:fldCharType="begin"/>
    </w:r>
    <w:r>
      <w:rPr>
        <w:color w:val="6B7280"/>
        <w:sz w:val="15"/>
        <w:szCs w:val="15"/>
      </w:rPr>
      <w:instrText>PAGE</w:instrText>
    </w:r>
    <w:r>
      <w:rPr>
        <w:color w:val="6B7280"/>
        <w:sz w:val="15"/>
        <w:szCs w:val="15"/>
      </w:rPr>
      <w:fldChar w:fldCharType="separate"/>
    </w:r>
    <w:r w:rsidR="00455658">
      <w:rPr>
        <w:noProof/>
        <w:color w:val="6B7280"/>
        <w:sz w:val="15"/>
        <w:szCs w:val="15"/>
      </w:rPr>
      <w:t>1</w:t>
    </w:r>
    <w:r>
      <w:rPr>
        <w:color w:val="6B7280"/>
        <w:sz w:val="15"/>
        <w:szCs w:val="15"/>
      </w:rPr>
      <w:fldChar w:fldCharType="end"/>
    </w:r>
    <w:r>
      <w:rPr>
        <w:color w:val="6B7280"/>
        <w:sz w:val="15"/>
        <w:szCs w:val="15"/>
      </w:rPr>
      <w:t xml:space="preserve"> of </w:t>
    </w:r>
    <w:r>
      <w:rPr>
        <w:color w:val="6B7280"/>
        <w:sz w:val="15"/>
        <w:szCs w:val="15"/>
      </w:rPr>
      <w:fldChar w:fldCharType="begin"/>
    </w:r>
    <w:r>
      <w:rPr>
        <w:color w:val="6B7280"/>
        <w:sz w:val="15"/>
        <w:szCs w:val="15"/>
      </w:rPr>
      <w:instrText>NUMPAGES</w:instrText>
    </w:r>
    <w:r>
      <w:rPr>
        <w:color w:val="6B7280"/>
        <w:sz w:val="15"/>
        <w:szCs w:val="15"/>
      </w:rPr>
      <w:fldChar w:fldCharType="separate"/>
    </w:r>
    <w:r w:rsidR="00455658">
      <w:rPr>
        <w:noProof/>
        <w:color w:val="6B7280"/>
        <w:sz w:val="15"/>
        <w:szCs w:val="15"/>
      </w:rPr>
      <w:t>2</w:t>
    </w:r>
    <w:r>
      <w:rPr>
        <w:color w:val="6B728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4C8AC" w14:textId="77777777" w:rsidR="001E4FFC" w:rsidRDefault="001E4FFC">
      <w:r>
        <w:separator/>
      </w:r>
    </w:p>
  </w:footnote>
  <w:footnote w:type="continuationSeparator" w:id="0">
    <w:p w14:paraId="0BAF0B74" w14:textId="77777777" w:rsidR="001E4FFC" w:rsidRDefault="001E4F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5E537" w14:textId="77777777" w:rsidR="00217F15" w:rsidRDefault="00000000">
    <w:pPr>
      <w:pBdr>
        <w:bottom w:val="single" w:sz="4" w:space="6" w:color="BFC7D2"/>
      </w:pBdr>
      <w:tabs>
        <w:tab w:val="right" w:pos="9360"/>
      </w:tabs>
    </w:pPr>
    <w:r>
      <w:rPr>
        <w:b/>
        <w:bCs/>
        <w:color w:val="1F3864"/>
        <w:sz w:val="16"/>
        <w:szCs w:val="16"/>
      </w:rPr>
      <w:t>CONTOSO GROUP</w:t>
    </w:r>
    <w:r>
      <w:rPr>
        <w:color w:val="6B7280"/>
        <w:sz w:val="16"/>
        <w:szCs w:val="16"/>
      </w:rPr>
      <w:tab/>
      <w:t>FY27 Operating Expense Drivers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A7D86"/>
    <w:multiLevelType w:val="hybridMultilevel"/>
    <w:tmpl w:val="B42CAA2A"/>
    <w:lvl w:ilvl="0" w:tplc="98DA70E0">
      <w:start w:val="1"/>
      <w:numFmt w:val="bullet"/>
      <w:lvlText w:val="●"/>
      <w:lvlJc w:val="left"/>
      <w:pPr>
        <w:ind w:left="720" w:hanging="360"/>
      </w:pPr>
    </w:lvl>
    <w:lvl w:ilvl="1" w:tplc="AD40DF8C">
      <w:start w:val="1"/>
      <w:numFmt w:val="bullet"/>
      <w:lvlText w:val="○"/>
      <w:lvlJc w:val="left"/>
      <w:pPr>
        <w:ind w:left="1440" w:hanging="360"/>
      </w:pPr>
    </w:lvl>
    <w:lvl w:ilvl="2" w:tplc="B47C8BF6">
      <w:start w:val="1"/>
      <w:numFmt w:val="bullet"/>
      <w:lvlText w:val="■"/>
      <w:lvlJc w:val="left"/>
      <w:pPr>
        <w:ind w:left="2160" w:hanging="360"/>
      </w:pPr>
    </w:lvl>
    <w:lvl w:ilvl="3" w:tplc="F650077E">
      <w:start w:val="1"/>
      <w:numFmt w:val="bullet"/>
      <w:lvlText w:val="●"/>
      <w:lvlJc w:val="left"/>
      <w:pPr>
        <w:ind w:left="2880" w:hanging="360"/>
      </w:pPr>
    </w:lvl>
    <w:lvl w:ilvl="4" w:tplc="BE2C134C">
      <w:start w:val="1"/>
      <w:numFmt w:val="bullet"/>
      <w:lvlText w:val="○"/>
      <w:lvlJc w:val="left"/>
      <w:pPr>
        <w:ind w:left="3600" w:hanging="360"/>
      </w:pPr>
    </w:lvl>
    <w:lvl w:ilvl="5" w:tplc="BF1882DC">
      <w:start w:val="1"/>
      <w:numFmt w:val="bullet"/>
      <w:lvlText w:val="■"/>
      <w:lvlJc w:val="left"/>
      <w:pPr>
        <w:ind w:left="4320" w:hanging="360"/>
      </w:pPr>
    </w:lvl>
    <w:lvl w:ilvl="6" w:tplc="9F0AD8AE">
      <w:start w:val="1"/>
      <w:numFmt w:val="bullet"/>
      <w:lvlText w:val="●"/>
      <w:lvlJc w:val="left"/>
      <w:pPr>
        <w:ind w:left="5040" w:hanging="360"/>
      </w:pPr>
    </w:lvl>
    <w:lvl w:ilvl="7" w:tplc="47366786">
      <w:start w:val="1"/>
      <w:numFmt w:val="bullet"/>
      <w:lvlText w:val="●"/>
      <w:lvlJc w:val="left"/>
      <w:pPr>
        <w:ind w:left="5760" w:hanging="360"/>
      </w:pPr>
    </w:lvl>
    <w:lvl w:ilvl="8" w:tplc="DCA432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DA3C5F"/>
    <w:multiLevelType w:val="hybridMultilevel"/>
    <w:tmpl w:val="93188D1A"/>
    <w:lvl w:ilvl="0" w:tplc="9386EB6C">
      <w:start w:val="1"/>
      <w:numFmt w:val="bullet"/>
      <w:lvlText w:val="•"/>
      <w:lvlJc w:val="left"/>
      <w:pPr>
        <w:ind w:left="460" w:hanging="240"/>
      </w:pPr>
      <w:rPr>
        <w:color w:val="2E75B6"/>
      </w:rPr>
    </w:lvl>
    <w:lvl w:ilvl="1" w:tplc="3C9EE07C">
      <w:numFmt w:val="decimal"/>
      <w:lvlText w:val=""/>
      <w:lvlJc w:val="left"/>
    </w:lvl>
    <w:lvl w:ilvl="2" w:tplc="91BC610E">
      <w:numFmt w:val="decimal"/>
      <w:lvlText w:val=""/>
      <w:lvlJc w:val="left"/>
    </w:lvl>
    <w:lvl w:ilvl="3" w:tplc="E110AD54">
      <w:numFmt w:val="decimal"/>
      <w:lvlText w:val=""/>
      <w:lvlJc w:val="left"/>
    </w:lvl>
    <w:lvl w:ilvl="4" w:tplc="2256A75C">
      <w:numFmt w:val="decimal"/>
      <w:lvlText w:val=""/>
      <w:lvlJc w:val="left"/>
    </w:lvl>
    <w:lvl w:ilvl="5" w:tplc="1630A9BC">
      <w:numFmt w:val="decimal"/>
      <w:lvlText w:val=""/>
      <w:lvlJc w:val="left"/>
    </w:lvl>
    <w:lvl w:ilvl="6" w:tplc="45007CBE">
      <w:numFmt w:val="decimal"/>
      <w:lvlText w:val=""/>
      <w:lvlJc w:val="left"/>
    </w:lvl>
    <w:lvl w:ilvl="7" w:tplc="FAC03728">
      <w:numFmt w:val="decimal"/>
      <w:lvlText w:val=""/>
      <w:lvlJc w:val="left"/>
    </w:lvl>
    <w:lvl w:ilvl="8" w:tplc="6840F712">
      <w:numFmt w:val="decimal"/>
      <w:lvlText w:val=""/>
      <w:lvlJc w:val="left"/>
    </w:lvl>
  </w:abstractNum>
  <w:num w:numId="1" w16cid:durableId="2126076995">
    <w:abstractNumId w:val="0"/>
    <w:lvlOverride w:ilvl="0">
      <w:startOverride w:val="1"/>
    </w:lvlOverride>
  </w:num>
  <w:num w:numId="2" w16cid:durableId="19683164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F15"/>
    <w:rsid w:val="001E4FFC"/>
    <w:rsid w:val="00217F15"/>
    <w:rsid w:val="00455658"/>
    <w:rsid w:val="0049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5E4E0"/>
  <w15:docId w15:val="{F096CB2C-045E-4B2D-BAD3-1A6CECB77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45565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55658"/>
  </w:style>
  <w:style w:type="paragraph" w:styleId="Footer">
    <w:name w:val="footer"/>
    <w:basedOn w:val="Normal"/>
    <w:link w:val="FooterChar"/>
    <w:uiPriority w:val="99"/>
    <w:semiHidden/>
    <w:unhideWhenUsed/>
    <w:rsid w:val="0045565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556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518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Liam Howlett</cp:lastModifiedBy>
  <cp:revision>2</cp:revision>
  <dcterms:created xsi:type="dcterms:W3CDTF">2026-08-26T15:54:00Z</dcterms:created>
  <dcterms:modified xsi:type="dcterms:W3CDTF">2026-08-27T08:33:00Z</dcterms:modified>
</cp:coreProperties>
</file>