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DDD6" w14:textId="77777777" w:rsidR="002C4A01" w:rsidRDefault="00512C46">
      <w:pPr>
        <w:spacing w:after="40"/>
      </w:pPr>
      <w:r>
        <w:rPr>
          <w:b/>
          <w:bCs/>
          <w:color w:val="2E75B6"/>
          <w:sz w:val="18"/>
          <w:szCs w:val="18"/>
        </w:rPr>
        <w:t>PROGRAM CLOSEOUT MEMO</w:t>
      </w:r>
    </w:p>
    <w:p w14:paraId="0ACFDDD7" w14:textId="77777777" w:rsidR="002C4A01" w:rsidRDefault="00512C46">
      <w:pPr>
        <w:spacing w:after="40"/>
      </w:pPr>
      <w:r>
        <w:rPr>
          <w:b/>
          <w:bCs/>
          <w:color w:val="1F3864"/>
          <w:sz w:val="38"/>
          <w:szCs w:val="38"/>
        </w:rPr>
        <w:t>Project Helena — Closeout</w:t>
      </w:r>
    </w:p>
    <w:p w14:paraId="0ACFDDD8" w14:textId="77777777" w:rsidR="002C4A01" w:rsidRDefault="00512C46">
      <w:pPr>
        <w:spacing w:after="160"/>
      </w:pPr>
      <w:r>
        <w:rPr>
          <w:i/>
          <w:iCs/>
          <w:color w:val="6B7280"/>
          <w:sz w:val="22"/>
          <w:szCs w:val="22"/>
        </w:rPr>
        <w:t>Cost-optimisation program — outcome, root causes, and what we learned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C4A01" w14:paraId="0ACFD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D9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DA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Project Helena — Group Cost Optimisation</w:t>
            </w:r>
          </w:p>
        </w:tc>
      </w:tr>
      <w:tr w:rsidR="002C4A01" w14:paraId="0ACFD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DC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Sponsor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DD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David Chen, VP Operations</w:t>
            </w:r>
          </w:p>
        </w:tc>
      </w:tr>
      <w:tr w:rsidR="002C4A01" w14:paraId="0ACFD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DF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E0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B23B3B"/>
                <w:sz w:val="20"/>
                <w:szCs w:val="20"/>
              </w:rPr>
              <w:t>Closed — target missed</w:t>
            </w:r>
          </w:p>
        </w:tc>
      </w:tr>
      <w:tr w:rsidR="002C4A01" w14:paraId="0ACFD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E2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Reporting period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E3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FY27 Q1</w:t>
            </w:r>
          </w:p>
        </w:tc>
      </w:tr>
      <w:tr w:rsidR="002C4A01" w14:paraId="0ACFD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E5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E6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Confidential — Internal Only</w:t>
            </w:r>
          </w:p>
        </w:tc>
      </w:tr>
    </w:tbl>
    <w:p w14:paraId="0ACFDDE8" w14:textId="77777777" w:rsidR="002C4A01" w:rsidRDefault="002C4A01">
      <w:pPr>
        <w:spacing w:after="20"/>
      </w:pPr>
    </w:p>
    <w:p w14:paraId="0ACFDDE9" w14:textId="77777777" w:rsidR="002C4A01" w:rsidRDefault="00512C46">
      <w:pPr>
        <w:pStyle w:val="Heading1"/>
      </w:pPr>
      <w:r>
        <w:t>Headline</w:t>
      </w:r>
    </w:p>
    <w:tbl>
      <w:tblPr>
        <w:tblW w:w="9360" w:type="dxa"/>
        <w:tblBorders>
          <w:left w:val="single" w:sz="18" w:space="0" w:color="8A6D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4A01" w14:paraId="0ACFD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4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CFDDEA" w14:textId="77777777" w:rsidR="002C4A01" w:rsidRDefault="00512C46">
            <w:pPr>
              <w:spacing w:after="60"/>
            </w:pPr>
            <w:r>
              <w:rPr>
                <w:b/>
                <w:bCs/>
                <w:color w:val="8A6D00"/>
              </w:rPr>
              <w:t>What happened, in one paragraph</w:t>
            </w:r>
          </w:p>
          <w:p w14:paraId="0ACFDDEB" w14:textId="77777777" w:rsidR="002C4A01" w:rsidRDefault="00512C46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Helena set an ambitious savings target and delivered well short of it. The uncomfortable part is that the governance layer held — cadence, tracking and reporting all worked as designed. The shortfall came from inside the individual workstreams, and most of it for reasons outside the program’s direct control.</w:t>
            </w:r>
          </w:p>
          <w:p w14:paraId="0ACFDDEC" w14:textId="77777777" w:rsidR="002C4A01" w:rsidRDefault="00512C46">
            <w:pPr>
              <w:spacing w:line="270" w:lineRule="auto"/>
            </w:pPr>
            <w:r>
              <w:rPr>
                <w:sz w:val="20"/>
                <w:szCs w:val="20"/>
              </w:rPr>
              <w:t>The miss is concentrated in EMEA, with the UK the single largest affected market. None of it reflects a deterioration in the underlying business — it is a cost program that ran into single points of failure.</w:t>
            </w:r>
          </w:p>
        </w:tc>
      </w:tr>
    </w:tbl>
    <w:p w14:paraId="0ACFDDEE" w14:textId="77777777" w:rsidR="002C4A01" w:rsidRDefault="002C4A01">
      <w:pPr>
        <w:spacing w:after="40"/>
      </w:pPr>
    </w:p>
    <w:p w14:paraId="0ACFDDEF" w14:textId="77777777" w:rsidR="002C4A01" w:rsidRDefault="00512C46">
      <w:pPr>
        <w:pStyle w:val="Heading1"/>
      </w:pPr>
      <w:r>
        <w:t>Workstream results</w:t>
      </w:r>
    </w:p>
    <w:p w14:paraId="0ACFDDF0" w14:textId="77777777" w:rsidR="002C4A01" w:rsidRDefault="00512C46">
      <w:pPr>
        <w:spacing w:after="100" w:line="276" w:lineRule="auto"/>
      </w:pPr>
      <w:r>
        <w:t>Outcomes are shown qualitatively; the savings figures sit in the finance model and the program tracker.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2C4A01" w14:paraId="0ACFD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1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2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3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</w:tr>
      <w:tr w:rsidR="002C4A01" w14:paraId="0ACFDD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5" w14:textId="77777777" w:rsidR="002C4A01" w:rsidRDefault="00512C4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Procurement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6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B23B3B"/>
                <w:sz w:val="20"/>
                <w:szCs w:val="20"/>
              </w:rPr>
              <w:t>Missed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7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The Vantage renegotiation collapsed — the supplier walked late in the process. Re-tender yields no benefit this year.</w:t>
            </w:r>
          </w:p>
        </w:tc>
      </w:tr>
      <w:tr w:rsidR="002C4A01" w14:paraId="0ACFDD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9" w14:textId="77777777" w:rsidR="002C4A01" w:rsidRDefault="00512C4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SG&amp;A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A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B23B3B"/>
                <w:sz w:val="20"/>
                <w:szCs w:val="20"/>
              </w:rPr>
              <w:t>Missed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B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Planned savings were absorbed by mandatory CSRD compliance hiring — an obligation that arrived mid-program.</w:t>
            </w:r>
          </w:p>
        </w:tc>
      </w:tr>
      <w:tr w:rsidR="002C4A01" w14:paraId="0ACFDE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D" w14:textId="77777777" w:rsidR="002C4A01" w:rsidRDefault="00512C4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Real estate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E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B23B3B"/>
                <w:sz w:val="20"/>
                <w:szCs w:val="20"/>
              </w:rPr>
              <w:t>Missed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DFF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The Frankfurt consolidation was delayed by a failed fire sign-off; the savings shift into next year rather than disappear.</w:t>
            </w:r>
          </w:p>
        </w:tc>
      </w:tr>
      <w:tr w:rsidR="002C4A01" w14:paraId="0ACFDE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E01" w14:textId="77777777" w:rsidR="002C4A01" w:rsidRDefault="00512C4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E02" w14:textId="77777777" w:rsidR="002C4A01" w:rsidRDefault="00512C46">
            <w:pPr>
              <w:spacing w:line="264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Partial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FDE03" w14:textId="77777777" w:rsidR="002C4A01" w:rsidRDefault="00512C46">
            <w:pPr>
              <w:spacing w:line="264" w:lineRule="auto"/>
            </w:pPr>
            <w:r>
              <w:rPr>
                <w:sz w:val="20"/>
                <w:szCs w:val="20"/>
              </w:rPr>
              <w:t>The ERP migration slipped a cycle; the associated benefits move into the next period.</w:t>
            </w:r>
          </w:p>
        </w:tc>
      </w:tr>
    </w:tbl>
    <w:p w14:paraId="0ACFDE05" w14:textId="77777777" w:rsidR="002C4A01" w:rsidRDefault="002C4A01">
      <w:pPr>
        <w:spacing w:after="40"/>
      </w:pPr>
    </w:p>
    <w:p w14:paraId="0ACFDE06" w14:textId="77777777" w:rsidR="002C4A01" w:rsidRDefault="00512C46">
      <w:pPr>
        <w:pStyle w:val="Heading1"/>
      </w:pPr>
      <w:r>
        <w:t>Root causes — what went wrong</w:t>
      </w:r>
    </w:p>
    <w:p w14:paraId="0ACFDE07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Procurement: </w:t>
      </w:r>
      <w:r>
        <w:t>we hung the biggest single saving on one supplier renegotiation, with no fallback. When their team changed and the deal reset, we had no leverage and no plan B.</w:t>
      </w:r>
    </w:p>
    <w:p w14:paraId="0ACFDE08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SG&amp;A: </w:t>
      </w:r>
      <w:r>
        <w:t>an unplanned regulatory obligation (CSRD) absorbed the savings. We carried no contingency for it.</w:t>
      </w:r>
    </w:p>
    <w:p w14:paraId="0ACFDE09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Real estate: </w:t>
      </w:r>
      <w:r>
        <w:t>the Frankfurt move slipped on a handover and inspection issue — a timing failure, not an overspend.</w:t>
      </w:r>
    </w:p>
    <w:p w14:paraId="0ACFDE0A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 xml:space="preserve">Technology: </w:t>
      </w:r>
      <w:r>
        <w:t>the ERP migration moved to the next cycle, taking its benefits with it.</w:t>
      </w:r>
    </w:p>
    <w:p w14:paraId="0ACFDE0B" w14:textId="77777777" w:rsidR="002C4A01" w:rsidRDefault="00512C46">
      <w:pPr>
        <w:pStyle w:val="Heading1"/>
      </w:pPr>
      <w:r>
        <w:t>Retrospective — what we learned</w:t>
      </w:r>
    </w:p>
    <w:p w14:paraId="0ACFDE0C" w14:textId="77777777" w:rsidR="002C4A01" w:rsidRDefault="00512C46">
      <w:pPr>
        <w:spacing w:after="100" w:line="276" w:lineRule="auto"/>
      </w:pPr>
      <w:r>
        <w:rPr>
          <w:i/>
          <w:iCs/>
          <w:color w:val="6B7280"/>
        </w:rPr>
        <w:t>A candid post-mortem from the program team. Recorded here deliberately, in plain language, because the lessons matter more than the closing number — and because they will shape whatever comes next.</w:t>
      </w:r>
    </w:p>
    <w:p w14:paraId="0ACFDE0D" w14:textId="77777777" w:rsidR="002C4A01" w:rsidRDefault="00512C46">
      <w:pPr>
        <w:spacing w:after="100" w:line="276" w:lineRule="auto"/>
      </w:pPr>
      <w:r>
        <w:t xml:space="preserve">The honest read is that Helena was well run but built on optimistic assumptions. </w:t>
      </w:r>
      <w:r>
        <w:rPr>
          <w:b/>
          <w:bCs/>
        </w:rPr>
        <w:t>Governance was never the problem.</w:t>
      </w:r>
      <w:r>
        <w:t xml:space="preserve"> Three of the four workstreams missed because of single points of failure we would have caught with more challenge up front. We ran the program tightly; we scoped it hopefully.</w:t>
      </w:r>
    </w:p>
    <w:p w14:paraId="0ACFDE0E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We over-concentrated the target. </w:t>
      </w:r>
      <w:r>
        <w:t>Too much of it rode on one supplier renegotiation. There was no second option kept warm, so when it fell over we had nothing to fall back on.</w:t>
      </w:r>
    </w:p>
    <w:p w14:paraId="0ACFDE0F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We treated savings as banked too early. </w:t>
      </w:r>
      <w:r>
        <w:t xml:space="preserve">A handshake and an </w:t>
      </w:r>
      <w:proofErr w:type="spellStart"/>
      <w:r>
        <w:t>uncountersigned</w:t>
      </w:r>
      <w:proofErr w:type="spellEnd"/>
      <w:r>
        <w:t xml:space="preserve"> draft were enough for us to put the number in the plan. They shouldn’t have been.</w:t>
      </w:r>
    </w:p>
    <w:p w14:paraId="0ACFDE10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We assumed timelines we didn’t control. </w:t>
      </w:r>
      <w:r>
        <w:t>A single inspection failure in Frankfurt was enough to move a year’s savings. We had no slack for it.</w:t>
      </w:r>
    </w:p>
    <w:p w14:paraId="0ACFDE11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We carried no reserve for regulatory cost. </w:t>
      </w:r>
      <w:r>
        <w:t>When CSRD landed, it went straight to the bottom line because nothing was set aside to absorb it.</w:t>
      </w:r>
    </w:p>
    <w:p w14:paraId="0ACFDE12" w14:textId="77777777" w:rsidR="002C4A01" w:rsidRDefault="00512C46">
      <w:pPr>
        <w:spacing w:before="40" w:after="120" w:line="276" w:lineRule="auto"/>
      </w:pPr>
      <w:r>
        <w:rPr>
          <w:b/>
          <w:bCs/>
        </w:rPr>
        <w:t xml:space="preserve">None of these are signs of a weak business. </w:t>
      </w:r>
      <w:r>
        <w:t>They are execution and assumption failures on a cost program — which is exactly why the headline numbers read worse than the operational reality. That distinction has to be made explicitly when this goes to leadership.</w:t>
      </w:r>
    </w:p>
    <w:p w14:paraId="0ACFDE13" w14:textId="77777777" w:rsidR="002C4A01" w:rsidRDefault="00512C46">
      <w:pPr>
        <w:pStyle w:val="Heading1"/>
      </w:pPr>
      <w:r>
        <w:t>Recommendation</w:t>
      </w:r>
    </w:p>
    <w:p w14:paraId="0ACFDE14" w14:textId="77777777" w:rsidR="002C4A01" w:rsidRDefault="00512C46">
      <w:pPr>
        <w:spacing w:after="80" w:line="276" w:lineRule="auto"/>
      </w:pPr>
      <w:r>
        <w:rPr>
          <w:b/>
          <w:bCs/>
        </w:rPr>
        <w:t xml:space="preserve">Launch “Helena II” </w:t>
      </w:r>
      <w:r>
        <w:t>to pursue the unrealised savings across the next two years — but with the lessons above built in: tighter challenge on assumptions, supplier fallbacks kept warm, real-estate timelines de-risked, and an explicit contingency reserve for regulatory and handover risk.</w:t>
      </w:r>
    </w:p>
    <w:p w14:paraId="0ACFDE15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Reforecast first. </w:t>
      </w:r>
      <w:r>
        <w:t>Make sure leadership sees the one-off drivers separated from the single structural item (CSRD) before any decisions are taken on the back of the headline.</w:t>
      </w:r>
    </w:p>
    <w:p w14:paraId="0ACFDE16" w14:textId="77777777" w:rsidR="002C4A01" w:rsidRDefault="00512C46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Govern the metric. </w:t>
      </w:r>
      <w:r>
        <w:t>“Operating cost ratio by market” is calculated differently by finance and ops today. Define it once, in the model, so future programs argue about the problem and not the number.</w:t>
      </w:r>
    </w:p>
    <w:p w14:paraId="0ACFDE17" w14:textId="77777777" w:rsidR="002C4A01" w:rsidRDefault="002C4A01">
      <w:pPr>
        <w:spacing w:before="160"/>
      </w:pPr>
    </w:p>
    <w:p w14:paraId="0ACFDE18" w14:textId="77777777" w:rsidR="002C4A01" w:rsidRDefault="002C4A01">
      <w:pPr>
        <w:pBdr>
          <w:bottom w:val="single" w:sz="6" w:space="1" w:color="BFC7D2"/>
        </w:pBdr>
        <w:spacing w:before="60" w:after="60"/>
      </w:pPr>
    </w:p>
    <w:p w14:paraId="0ACFDE19" w14:textId="77777777" w:rsidR="002C4A01" w:rsidRDefault="00512C46">
      <w:pPr>
        <w:spacing w:line="276" w:lineRule="auto"/>
      </w:pPr>
      <w:r>
        <w:rPr>
          <w:i/>
          <w:iCs/>
          <w:color w:val="6B7280"/>
          <w:sz w:val="18"/>
          <w:szCs w:val="18"/>
        </w:rPr>
        <w:t>Closeout memo for internal review. Savings and variance figures are held in the finance model and program tracker; this memo is the qualitative record of why the program landed where it did.</w:t>
      </w:r>
    </w:p>
    <w:sectPr w:rsidR="002C4A01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3057" w14:textId="77777777" w:rsidR="00512C46" w:rsidRDefault="00512C46">
      <w:r>
        <w:separator/>
      </w:r>
    </w:p>
  </w:endnote>
  <w:endnote w:type="continuationSeparator" w:id="0">
    <w:p w14:paraId="27D5677F" w14:textId="77777777" w:rsidR="00512C46" w:rsidRDefault="0051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DE1B" w14:textId="14DBBD7B" w:rsidR="002C4A01" w:rsidRDefault="00512C46">
    <w:pPr>
      <w:pBdr>
        <w:top w:val="single" w:sz="4" w:space="6" w:color="BFC7D2"/>
      </w:pBdr>
      <w:tabs>
        <w:tab w:val="right" w:pos="9360"/>
      </w:tabs>
    </w:pPr>
    <w:r>
      <w:rPr>
        <w:color w:val="6B7280"/>
        <w:sz w:val="15"/>
        <w:szCs w:val="15"/>
      </w:rPr>
      <w:t>Confidential — Internal Only  ·  VP Operations  ·  Qualitative program record</w:t>
    </w:r>
    <w:r>
      <w:rPr>
        <w:color w:val="6B7280"/>
        <w:sz w:val="15"/>
        <w:szCs w:val="15"/>
      </w:rPr>
      <w:tab/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F77BF4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F77BF4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90B3" w14:textId="77777777" w:rsidR="00512C46" w:rsidRDefault="00512C46">
      <w:r>
        <w:separator/>
      </w:r>
    </w:p>
  </w:footnote>
  <w:footnote w:type="continuationSeparator" w:id="0">
    <w:p w14:paraId="70B5FF9A" w14:textId="77777777" w:rsidR="00512C46" w:rsidRDefault="0051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DE1A" w14:textId="77777777" w:rsidR="002C4A01" w:rsidRDefault="00512C46">
    <w:pPr>
      <w:pBdr>
        <w:bottom w:val="single" w:sz="4" w:space="6" w:color="BFC7D2"/>
      </w:pBdr>
      <w:tabs>
        <w:tab w:val="right" w:pos="9360"/>
      </w:tabs>
    </w:pPr>
    <w:r>
      <w:rPr>
        <w:b/>
        <w:bCs/>
        <w:color w:val="1F3864"/>
        <w:sz w:val="16"/>
        <w:szCs w:val="16"/>
      </w:rPr>
      <w:t>CONTOSO GROUP</w:t>
    </w:r>
    <w:r>
      <w:rPr>
        <w:color w:val="6B7280"/>
        <w:sz w:val="16"/>
        <w:szCs w:val="16"/>
      </w:rPr>
      <w:tab/>
      <w:t>Project Helena — Closeout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514B3"/>
    <w:multiLevelType w:val="hybridMultilevel"/>
    <w:tmpl w:val="981CF476"/>
    <w:lvl w:ilvl="0" w:tplc="FA20462A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438A7BAE">
      <w:numFmt w:val="decimal"/>
      <w:lvlText w:val=""/>
      <w:lvlJc w:val="left"/>
    </w:lvl>
    <w:lvl w:ilvl="2" w:tplc="238C109C">
      <w:numFmt w:val="decimal"/>
      <w:lvlText w:val=""/>
      <w:lvlJc w:val="left"/>
    </w:lvl>
    <w:lvl w:ilvl="3" w:tplc="A366179E">
      <w:numFmt w:val="decimal"/>
      <w:lvlText w:val=""/>
      <w:lvlJc w:val="left"/>
    </w:lvl>
    <w:lvl w:ilvl="4" w:tplc="4D9824DE">
      <w:numFmt w:val="decimal"/>
      <w:lvlText w:val=""/>
      <w:lvlJc w:val="left"/>
    </w:lvl>
    <w:lvl w:ilvl="5" w:tplc="9D8A2106">
      <w:numFmt w:val="decimal"/>
      <w:lvlText w:val=""/>
      <w:lvlJc w:val="left"/>
    </w:lvl>
    <w:lvl w:ilvl="6" w:tplc="23EC67A4">
      <w:numFmt w:val="decimal"/>
      <w:lvlText w:val=""/>
      <w:lvlJc w:val="left"/>
    </w:lvl>
    <w:lvl w:ilvl="7" w:tplc="7A6E37C6">
      <w:numFmt w:val="decimal"/>
      <w:lvlText w:val=""/>
      <w:lvlJc w:val="left"/>
    </w:lvl>
    <w:lvl w:ilvl="8" w:tplc="F13A0780">
      <w:numFmt w:val="decimal"/>
      <w:lvlText w:val=""/>
      <w:lvlJc w:val="left"/>
    </w:lvl>
  </w:abstractNum>
  <w:abstractNum w:abstractNumId="1" w15:restartNumberingAfterBreak="0">
    <w:nsid w:val="637D785D"/>
    <w:multiLevelType w:val="hybridMultilevel"/>
    <w:tmpl w:val="60680FA8"/>
    <w:lvl w:ilvl="0" w:tplc="179AEE38">
      <w:start w:val="1"/>
      <w:numFmt w:val="bullet"/>
      <w:lvlText w:val="●"/>
      <w:lvlJc w:val="left"/>
      <w:pPr>
        <w:ind w:left="720" w:hanging="360"/>
      </w:pPr>
    </w:lvl>
    <w:lvl w:ilvl="1" w:tplc="706A17C4">
      <w:start w:val="1"/>
      <w:numFmt w:val="bullet"/>
      <w:lvlText w:val="○"/>
      <w:lvlJc w:val="left"/>
      <w:pPr>
        <w:ind w:left="1440" w:hanging="360"/>
      </w:pPr>
    </w:lvl>
    <w:lvl w:ilvl="2" w:tplc="1CDA4CAC">
      <w:start w:val="1"/>
      <w:numFmt w:val="bullet"/>
      <w:lvlText w:val="■"/>
      <w:lvlJc w:val="left"/>
      <w:pPr>
        <w:ind w:left="2160" w:hanging="360"/>
      </w:pPr>
    </w:lvl>
    <w:lvl w:ilvl="3" w:tplc="F3A213CA">
      <w:start w:val="1"/>
      <w:numFmt w:val="bullet"/>
      <w:lvlText w:val="●"/>
      <w:lvlJc w:val="left"/>
      <w:pPr>
        <w:ind w:left="2880" w:hanging="360"/>
      </w:pPr>
    </w:lvl>
    <w:lvl w:ilvl="4" w:tplc="846CC500">
      <w:start w:val="1"/>
      <w:numFmt w:val="bullet"/>
      <w:lvlText w:val="○"/>
      <w:lvlJc w:val="left"/>
      <w:pPr>
        <w:ind w:left="3600" w:hanging="360"/>
      </w:pPr>
    </w:lvl>
    <w:lvl w:ilvl="5" w:tplc="37A898C6">
      <w:start w:val="1"/>
      <w:numFmt w:val="bullet"/>
      <w:lvlText w:val="■"/>
      <w:lvlJc w:val="left"/>
      <w:pPr>
        <w:ind w:left="4320" w:hanging="360"/>
      </w:pPr>
    </w:lvl>
    <w:lvl w:ilvl="6" w:tplc="4A4CA84C">
      <w:start w:val="1"/>
      <w:numFmt w:val="bullet"/>
      <w:lvlText w:val="●"/>
      <w:lvlJc w:val="left"/>
      <w:pPr>
        <w:ind w:left="5040" w:hanging="360"/>
      </w:pPr>
    </w:lvl>
    <w:lvl w:ilvl="7" w:tplc="E79494BE">
      <w:start w:val="1"/>
      <w:numFmt w:val="bullet"/>
      <w:lvlText w:val="●"/>
      <w:lvlJc w:val="left"/>
      <w:pPr>
        <w:ind w:left="5760" w:hanging="360"/>
      </w:pPr>
    </w:lvl>
    <w:lvl w:ilvl="8" w:tplc="A9F6C182">
      <w:start w:val="1"/>
      <w:numFmt w:val="bullet"/>
      <w:lvlText w:val="●"/>
      <w:lvlJc w:val="left"/>
      <w:pPr>
        <w:ind w:left="6480" w:hanging="360"/>
      </w:pPr>
    </w:lvl>
  </w:abstractNum>
  <w:num w:numId="1" w16cid:durableId="1543900733">
    <w:abstractNumId w:val="1"/>
    <w:lvlOverride w:ilvl="0">
      <w:startOverride w:val="1"/>
    </w:lvlOverride>
  </w:num>
  <w:num w:numId="2" w16cid:durableId="1431002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A01"/>
    <w:rsid w:val="0029487A"/>
    <w:rsid w:val="002C4A01"/>
    <w:rsid w:val="00512C46"/>
    <w:rsid w:val="00F7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DDD6"/>
  <w15:docId w15:val="{E51D96B3-4F76-45EC-A1AF-5687F82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77B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7BF4"/>
  </w:style>
  <w:style w:type="paragraph" w:styleId="Footer">
    <w:name w:val="footer"/>
    <w:basedOn w:val="Normal"/>
    <w:link w:val="FooterChar"/>
    <w:uiPriority w:val="99"/>
    <w:semiHidden/>
    <w:unhideWhenUsed/>
    <w:rsid w:val="00F77B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7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Liam Howlett</cp:lastModifiedBy>
  <cp:revision>2</cp:revision>
  <dcterms:created xsi:type="dcterms:W3CDTF">2026-08-26T15:54:00Z</dcterms:created>
  <dcterms:modified xsi:type="dcterms:W3CDTF">2026-08-27T08:33:00Z</dcterms:modified>
</cp:coreProperties>
</file>