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906"/>
        </w:tabs>
        <w:spacing w:after="200"/>
      </w:pPr>
      <w:r>
        <w:rPr>
          <w:rFonts w:ascii="Georgia" w:cs="Georgia" w:eastAsia="Georgia" w:hAnsi="Georgia"/>
          <w:b/>
          <w:bCs/>
          <w:color w:val="1D3C34"/>
          <w:sz w:val="30"/>
          <w:szCs w:val="30"/>
        </w:rPr>
        <w:t xml:space="preserve">The Bone Sparrow — folio task 1</w:t>
      </w:r>
      <w:r>
        <w:rPr>
          <w:rFonts w:ascii="Calibri" w:cs="Calibri" w:eastAsia="Calibri" w:hAnsi="Calibri"/>
          <w:color w:val="645D54"/>
          <w:sz w:val="18"/>
          <w:szCs w:val="18"/>
        </w:rPr>
        <w:t xml:space="preserve">	Name  </w:t>
      </w:r>
      <w:r>
        <w:rPr>
          <w:rFonts w:ascii="Calibri" w:cs="Calibri" w:eastAsia="Calibri" w:hAnsi="Calibri"/>
          <w:color w:val="C9BFAE"/>
          <w:sz w:val="18"/>
          <w:szCs w:val="18"/>
        </w:rPr>
        <w:t xml:space="preserve">______________________</w:t>
      </w:r>
    </w:p>
    <w:p>
      <w:pPr>
        <w:spacing w:after="100"/>
      </w:pPr>
      <w:r>
        <w:rPr>
          <w:rFonts w:ascii="Calibri" w:cs="Calibri" w:eastAsia="Calibri" w:hAnsi="Calibri"/>
          <w:color w:val="645D54"/>
          <w:sz w:val="18"/>
          <w:szCs w:val="18"/>
        </w:rPr>
        <w:t xml:space="preserve">30 minutes. Novel, your notes and the writing wall on the desk.</w:t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The prompt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‘But reading is important.’ (p39) Discuss how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stories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and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imagination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are important for characters in The Bone Sparrow.</w:t>
            </w:r>
          </w:p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Colour the worked paragraph</w:t>
      </w:r>
    </w:p>
    <w:p>
      <w:pPr>
        <w:spacing w:after="12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>Colour each word or phrase: </w:t>
      </w:r>
      <w:r>
        <w:rPr>
          <w:rFonts w:ascii="Calibri" w:cs="Calibri" w:eastAsia="Calibri" w:hAnsi="Calibri"/>
          <w:b/>
          <w:bCs/>
          <w:color w:val="0B447C"/>
          <w:sz w:val="20"/>
          <w:szCs w:val="20"/>
          <w:shd w:fill="D6EAFC" w:val="clear"/>
        </w:rPr>
        <w:t xml:space="preserve">  idea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8A4B12"/>
          <w:sz w:val="20"/>
          <w:szCs w:val="20"/>
          <w:shd w:fill="FAE3CF" w:val="clear"/>
        </w:rPr>
        <w:t xml:space="preserve">  verb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7A5A00"/>
          <w:sz w:val="20"/>
          <w:szCs w:val="20"/>
          <w:shd w:fill="FFF3B0" w:val="clear"/>
        </w:rPr>
        <w:t xml:space="preserve">  evidence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F5C33"/>
          <w:sz w:val="20"/>
          <w:szCs w:val="20"/>
          <w:shd w:fill="DFF0E2" w:val="clear"/>
        </w:rPr>
        <w:t xml:space="preserve">  purpose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.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BF7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40" w:line="520" w:lineRule="exact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Imagination gives Subhi somewhere to go when he cannot leave the camp.</w:t>
            </w:r>
          </w:p>
          <w:p>
            <w:pPr>
              <w:spacing w:after="140" w:line="520" w:lineRule="exact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On the first page the ground outside the tent changes: at night “the dirt outside turns into a beautiful ocean”.</w:t>
            </w:r>
          </w:p>
          <w:p>
            <w:pPr>
              <w:spacing w:after="140" w:line="520" w:lineRule="exact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Fraillon writes the Night Sea as a fact rather than as a daydream, which reveals that Subhi’s way of seeing is not a mistake about where he is, but the one part of the camp that belongs to him.</w:t>
            </w:r>
          </w:p>
          <w:p>
            <w:pPr>
              <w:spacing w:after="0" w:line="520" w:lineRule="exact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This makes the reader understand that imagination is not an escape from the camp so much as a way of getting through it.</w:t>
            </w:r>
          </w:p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Introduction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Stories and imagination are what the characters in The Bone Sparrow use to survive a place that gives them nothing else.</w:t>
            </w:r>
          </w:p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Fraillon shows this first through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the way imagination gives Subhi somewhere to go when he cannot leave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She also shows it through </w:t>
            </w:r>
            <w:r>
              <w:rPr>
                <w:rFonts w:ascii="Georgia" w:cs="Georgia" w:eastAsia="Georgia" w:hAnsi="Georgia"/>
                <w:color w:val="C9BFAE"/>
                <w:sz w:val="22"/>
                <w:szCs w:val="22"/>
              </w:rPr>
              <w:t xml:space="preserve">______________________________________________</w:t>
            </w:r>
          </w:p>
          <w:p>
            <w:pPr>
              <w:spacing w:after="120"/>
            </w:pPr>
            <w:r>
              <w:rPr>
                <w:rFonts w:ascii="Georgia" w:cs="Georgia" w:eastAsia="Georgia" w:hAnsi="Georgia"/>
                <w:color w:val="C9BFAE"/>
                <w:sz w:val="22"/>
                <w:szCs w:val="22"/>
              </w:rPr>
              <w:t xml:space="preserve">_______________________________________________________________________</w:t>
            </w:r>
          </w:p>
          <w:p>
            <w:pPr>
              <w:spacing w:after="6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and through </w:t>
            </w:r>
            <w:r>
              <w:rPr>
                <w:rFonts w:ascii="Georgia" w:cs="Georgia" w:eastAsia="Georgia" w:hAnsi="Georgia"/>
                <w:color w:val="C9BFAE"/>
                <w:sz w:val="22"/>
                <w:szCs w:val="22"/>
              </w:rPr>
              <w:t xml:space="preserve">____________________________________________________</w:t>
            </w:r>
          </w:p>
          <w:p>
            <w:pPr>
              <w:spacing w:after="0"/>
            </w:pPr>
            <w:r>
              <w:rPr>
                <w:rFonts w:ascii="Georgia" w:cs="Georgia" w:eastAsia="Georgia" w:hAnsi="Georgia"/>
                <w:color w:val="C9BFAE"/>
                <w:sz w:val="22"/>
                <w:szCs w:val="22"/>
              </w:rPr>
              <w:t xml:space="preserve">_______________________________________________________________________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color w:val="645D54"/>
          <w:sz w:val="18"/>
          <w:szCs w:val="18"/>
        </w:rPr>
        <w:t xml:space="preserve">The third idea is for whoever gets that far.</w:t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Paragraph 2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00"/>
        <w:gridCol w:w="2600"/>
        <w:gridCol w:w="6606"/>
      </w:tblGrid>
      <w:tr>
        <w:trPr>
          <w:trHeight w:val="13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60"/>
            </w:tblGrid>
            <w:tr>
              <w:trPr>
                <w:trHeight w:val="160" w:hRule="exact"/>
              </w:trPr>
              <w:tc>
                <w:tcPr>
                  <w:tcW w:type="dxa" w:w="5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Your idea, in one sentence.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20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When …, “…”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This shows that …, which …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20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Later, “…”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This shows that …, which …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14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645D5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1EDE3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Another quote, if you get there.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/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17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So, because … and …, …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Paragraph 3</w:t>
      </w:r>
    </w:p>
    <w:p>
      <w:pPr>
        <w:spacing w:after="100"/>
      </w:pPr>
      <w:r>
        <w:rPr>
          <w:rFonts w:ascii="Calibri" w:cs="Calibri" w:eastAsia="Calibri" w:hAnsi="Calibri"/>
          <w:color w:val="645D54"/>
          <w:sz w:val="18"/>
          <w:szCs w:val="18"/>
        </w:rPr>
        <w:t xml:space="preserve">If you get there.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00"/>
        <w:gridCol w:w="2600"/>
        <w:gridCol w:w="6606"/>
      </w:tblGrid>
      <w:tr>
        <w:trPr>
          <w:trHeight w:val="13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60"/>
            </w:tblGrid>
            <w:tr>
              <w:trPr>
                <w:trHeight w:val="160" w:hRule="exact"/>
              </w:trPr>
              <w:tc>
                <w:tcPr>
                  <w:tcW w:type="dxa" w:w="5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Your idea, in one sentence.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20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When …, “…”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This shows that …, which …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20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Later, “…”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This shows that …, which …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14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645D5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1EDE3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Another quote, if you get there.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/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17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So, because … and …, …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Conclusion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00"/>
        <w:gridCol w:w="2600"/>
        <w:gridCol w:w="6606"/>
      </w:tblGrid>
      <w:tr>
        <w:trPr>
          <w:trHeight w:val="17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So The Bone Sparrow shows that …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No new quotes.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How did it go?</w:t>
      </w:r>
    </w:p>
    <w:p>
      <w:pPr>
        <w:spacing w:after="12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>Tick one box in each row for the paragraphs you wrote today.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2600"/>
        <w:gridCol w:w="4006"/>
        <w:gridCol w:w="1100"/>
        <w:gridCol w:w="1100"/>
        <w:gridCol w:w="1100"/>
      </w:tblGrid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/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NOT YET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NEARLY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YES</w:t>
            </w:r>
          </w:p>
        </w:tc>
      </w:tr>
      <w:tr>
        <w:trPr>
          <w:trHeight w:val="600" w:hRule="atLeast"/>
        </w:trPr>
        <w:tc>
          <w:tcPr>
            <w:tcW w:type="dxa" w:w="2600"/>
            <w:shd w:fill="D6E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</w:rPr>
              <w:t xml:space="preserve">My idea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said something about the novel, not just what happens.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FAE3C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8A4B12"/>
                <w:sz w:val="22"/>
                <w:szCs w:val="22"/>
              </w:rPr>
              <w:t xml:space="preserve">My verb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used a verb that does the thinking — shows, reveals, suggests.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FFF3B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7A5A00"/>
                <w:sz w:val="22"/>
                <w:szCs w:val="22"/>
              </w:rPr>
              <w:t xml:space="preserve">My evidence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My quote sits inside my own sentence, and it fits my idea.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DFF0E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F5C33"/>
                <w:sz w:val="22"/>
                <w:szCs w:val="22"/>
              </w:rPr>
              <w:t xml:space="preserve">The effect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explained what Fraillon’s writing does to the reader.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D6E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</w:rPr>
              <w:t xml:space="preserve">My paragraph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It starts with my idea, and the last sentence links back and says more.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</w:tbl>
    <w:p>
      <w:pPr>
        <w:spacing w:after="16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/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6F1E6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9"/>
                <w:szCs w:val="19"/>
              </w:rPr>
              <w:t xml:space="preserve">One thing I will do better next time</w:t>
            </w:r>
          </w:p>
        </w:tc>
      </w:tr>
      <w:tr>
        <w:trPr>
          <w:trHeight w:val="900" w:hRule="atLeast"/>
        </w:trPr>
        <w:tc>
          <w:tcPr>
            <w:tcW w:type="dxa" w:w="9906"/>
            <w:tcMar>
              <w:top w:type="dxa" w:w="100"/>
              <w:left w:type="dxa" w:w="200"/>
              <w:bottom w:type="dxa" w:w="100"/>
              <w:right w:type="dxa" w:w="200"/>
            </w:tcMar>
          </w:tcPr>
          <w:p/>
        </w:tc>
      </w:tr>
    </w:tbl>
    <w:p>
      <w:pPr>
        <w:spacing w:after="16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/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6F1E6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9"/>
                <w:szCs w:val="19"/>
              </w:rPr>
              <w:t xml:space="preserve">Teacher feedback</w:t>
            </w:r>
          </w:p>
        </w:tc>
      </w:tr>
      <w:tr>
        <w:trPr>
          <w:trHeight w:val="1500" w:hRule="atLeast"/>
        </w:trPr>
        <w:tc>
          <w:tcPr>
            <w:tcW w:type="dxa" w:w="9906"/>
            <w:tcMar>
              <w:top w:type="dxa" w:w="100"/>
              <w:left w:type="dxa" w:w="200"/>
              <w:bottom w:type="dxa" w:w="100"/>
              <w:right w:type="dxa" w:w="200"/>
            </w:tcMar>
          </w:tcPr>
          <w:p/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2026-09-09T10:12:45.261Z</dcterms:created>
  <dcterms:modified xsi:type="dcterms:W3CDTF">2026-09-09T10:12:45.262Z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