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906"/>
      </w:tblGrid>
      <w:tr>
        <w:tc>
          <w:tcPr>
            <w:tcW w:type="dxa" w:w="990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750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75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990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40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40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 — Symbolism and identity</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 — Contrast and freedom</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40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 — Motif and storytelling</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tabs>
          <w:tab w:val="right" w:pos="9906"/>
        </w:tabs>
        <w:spacing w:after="120"/>
      </w:pPr>
      <w:r>
        <w:rPr>
          <w:rFonts w:ascii="Georgia" w:cs="Georgia" w:eastAsia="Georgia" w:hAnsi="Georgia"/>
          <w:b/>
          <w:bCs/>
          <w:color w:val="1D3C34"/>
          <w:sz w:val="30"/>
          <w:szCs w:val="30"/>
        </w:rPr>
        <w:t xml:space="preserve">The Bone Sparrow — folio task 1</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60"/>
            </w:pPr>
            <w:r>
              <w:rPr>
                <w:rFonts w:ascii="Georgia" w:cs="Georgia" w:eastAsia="Georgia" w:hAnsi="Georgia"/>
                <w:color w:val="1E211F"/>
                <w:sz w:val="22"/>
                <w:szCs w:val="22"/>
              </w:rPr>
              <w:t xml:space="preserve">How does Fraillon show that </w:t>
            </w:r>
            <w:r>
              <w:rPr>
                <w:rFonts w:ascii="Georgia" w:cs="Georgia" w:eastAsia="Georgia" w:hAnsi="Georgia"/>
                <w:b/>
                <w:bCs/>
                <w:color w:val="0B447C"/>
                <w:sz w:val="22"/>
                <w:szCs w:val="22"/>
                <w:shd w:fill="D6EAFC" w:val="clear"/>
              </w:rPr>
              <w:t xml:space="preserve">objects</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family</w:t>
            </w:r>
            <w:r>
              <w:rPr>
                <w:rFonts w:ascii="Georgia" w:cs="Georgia" w:eastAsia="Georgia" w:hAnsi="Georgia"/>
                <w:color w:val="1E211F"/>
                <w:sz w:val="22"/>
                <w:szCs w:val="22"/>
              </w:rPr>
              <w:t xml:space="preserve"> help the characters hold on to who they are?</w:t>
            </w:r>
          </w:p>
          <w:p>
            <w:pPr>
              <w:spacing w:after="0"/>
            </w:pPr>
            <w:r>
              <w:rPr>
                <w:rFonts w:ascii="Calibri" w:cs="Calibri" w:eastAsia="Calibri" w:hAnsi="Calibri"/>
                <w:color w:val="645D54"/>
                <w:sz w:val="18"/>
                <w:szCs w:val="18"/>
              </w:rPr>
              <w:t xml:space="preserve">Posters: Friendship and family</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the objects he keeps and the family around him keep him connected to where he comes from. Fraillon suggests that a person’s identity cannot be locked up with them: it is carried in the things they hold and the people who hold on to them.</w:t>
            </w:r>
          </w:p>
        </w:tc>
      </w:tr>
    </w:tbl>
    <w:p>
      <w:pPr>
        <w:spacing w:after="100"/>
      </w:pPr>
      <w:r>
        <w:rPr>
          <w:rFonts w:ascii="Calibri" w:cs="Calibri" w:eastAsia="Calibri" w:hAnsi="Calibri"/>
          <w:color w:val="645D54"/>
          <w:sz w:val="18"/>
          <w:szCs w:val="18"/>
        </w:rPr>
        <w:t xml:space="preserve">The introduction names two things that keep the characters connected: objects and family. Paragraph 1 is objects.</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family around Subhi     ☐ Jimmie’s family and what her mother left her</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Through the relationships between Subhi, Queeny and Maá, Fraillon also shows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Queeny’s care for Subhi shows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Even though Eli and Subhi aren’t related, they are like family, suggesting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Through these family bonds, Fraillon suggests that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2</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60"/>
            </w:pPr>
            <w:r>
              <w:rPr>
                <w:rFonts w:ascii="Georgia" w:cs="Georgia" w:eastAsia="Georgia" w:hAnsi="Georgia"/>
                <w:color w:val="1E211F"/>
                <w:sz w:val="22"/>
                <w:szCs w:val="22"/>
              </w:rPr>
              <w:t xml:space="preserve">How does Fraillon explore the relationship between </w:t>
            </w:r>
            <w:r>
              <w:rPr>
                <w:rFonts w:ascii="Georgia" w:cs="Georgia" w:eastAsia="Georgia" w:hAnsi="Georgia"/>
                <w:b/>
                <w:bCs/>
                <w:color w:val="0B447C"/>
                <w:sz w:val="22"/>
                <w:szCs w:val="22"/>
                <w:shd w:fill="D6EAFC" w:val="clear"/>
              </w:rPr>
              <w:t xml:space="preserve">freedom</w:t>
            </w:r>
            <w:r>
              <w:rPr>
                <w:rFonts w:ascii="Georgia" w:cs="Georgia" w:eastAsia="Georgia" w:hAnsi="Georgia"/>
                <w:color w:val="1E211F"/>
                <w:sz w:val="22"/>
                <w:szCs w:val="22"/>
              </w:rPr>
              <w:t xml:space="preserve"> and </w:t>
            </w:r>
            <w:r>
              <w:rPr>
                <w:rFonts w:ascii="Georgia" w:cs="Georgia" w:eastAsia="Georgia" w:hAnsi="Georgia"/>
                <w:b/>
                <w:bCs/>
                <w:color w:val="0B447C"/>
                <w:sz w:val="22"/>
                <w:szCs w:val="22"/>
                <w:shd w:fill="D6EAFC" w:val="clear"/>
              </w:rPr>
              <w:t xml:space="preserve">confinement</w:t>
            </w:r>
            <w:r>
              <w:rPr>
                <w:rFonts w:ascii="Georgia" w:cs="Georgia" w:eastAsia="Georgia" w:hAnsi="Georgia"/>
                <w:color w:val="1E211F"/>
                <w:sz w:val="22"/>
                <w:szCs w:val="22"/>
              </w:rPr>
              <w:t xml:space="preserve"> in The Bone Sparrow?</w:t>
            </w:r>
          </w:p>
          <w:p>
            <w:pPr>
              <w:spacing w:after="0"/>
            </w:pPr>
            <w:r>
              <w:rPr>
                <w:rFonts w:ascii="Calibri" w:cs="Calibri" w:eastAsia="Calibri" w:hAnsi="Calibri"/>
                <w:color w:val="645D54"/>
                <w:sz w:val="18"/>
                <w:szCs w:val="18"/>
              </w:rPr>
              <w:t xml:space="preserve">Posters: Freedom · Imprisonment</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 Through Subhi, who has never set foot outside the detention centre, and Jimmie, who moves freely but carries her own grief and loss, Fraillon complicates the idea that freedom and confinement are opposites. Fraillon suggests that while physical confinement can be imposed upon a person’s body, the imagination and the connections between people offer a kind of freedom that cannot be taken away.</w:t>
            </w:r>
          </w:p>
        </w:tc>
      </w:tr>
    </w:tbl>
    <w:p>
      <w:pPr>
        <w:spacing w:after="100"/>
      </w:pPr>
      <w:r>
        <w:rPr>
          <w:rFonts w:ascii="Calibri" w:cs="Calibri" w:eastAsia="Calibri" w:hAnsi="Calibri"/>
          <w:color w:val="645D54"/>
          <w:sz w:val="18"/>
          <w:szCs w:val="18"/>
        </w:rPr>
        <w:t xml:space="preserve">The introduction names three claims: the fence between the detained and the free, how Subhi copes with confinement, and how Jimmie experiences freedom. Paragraph 1 is the fence.</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copes with the fence by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At night, “the dirt outside turns into a beautiful ocean” (ch. 1), which shows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The Jackets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for Subhi, freedom is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pageBreakBefore/>
        <w:tabs>
          <w:tab w:val="right" w:pos="9906"/>
        </w:tabs>
        <w:spacing w:after="120"/>
      </w:pPr>
      <w:r>
        <w:rPr>
          <w:rFonts w:ascii="Georgia" w:cs="Georgia" w:eastAsia="Georgia" w:hAnsi="Georgia"/>
          <w:b/>
          <w:bCs/>
          <w:color w:val="1D3C34"/>
          <w:sz w:val="30"/>
          <w:szCs w:val="30"/>
        </w:rPr>
        <w:t xml:space="preserve">The Bone Sparrow — folio task 3</w:t>
      </w:r>
      <w:r>
        <w:rPr>
          <w:rFonts w:ascii="Calibri" w:cs="Calibri" w:eastAsia="Calibri" w:hAnsi="Calibri"/>
          <w:color w:val="645D54"/>
          <w:sz w:val="18"/>
          <w:szCs w:val="18"/>
        </w:rPr>
        <w:t xml:space="preserve">	Name  </w:t>
      </w:r>
      <w:r>
        <w:rPr>
          <w:rFonts w:ascii="Calibri" w:cs="Calibri" w:eastAsia="Calibri" w:hAnsi="Calibri"/>
          <w:color w:val="C9BFAE"/>
          <w:sz w:val="18"/>
          <w:szCs w:val="18"/>
        </w:rPr>
        <w:t xml:space="preserve">______________________</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140"/>
              <w:left w:type="dxa" w:w="200"/>
              <w:bottom w:type="dxa" w:w="140"/>
              <w:right w:type="dxa" w:w="200"/>
            </w:tcMar>
          </w:tcPr>
          <w:p>
            <w:pPr>
              <w:spacing w:after="60"/>
            </w:pPr>
            <w:r>
              <w:rPr>
                <w:rFonts w:ascii="Georgia" w:cs="Georgia" w:eastAsia="Georgia" w:hAnsi="Georgia"/>
                <w:color w:val="1E211F"/>
                <w:sz w:val="22"/>
                <w:szCs w:val="22"/>
              </w:rPr>
              <w:t xml:space="preserve">How does Fraillon explore the idea that </w:t>
            </w:r>
            <w:r>
              <w:rPr>
                <w:rFonts w:ascii="Georgia" w:cs="Georgia" w:eastAsia="Georgia" w:hAnsi="Georgia"/>
                <w:b/>
                <w:bCs/>
                <w:color w:val="0B447C"/>
                <w:sz w:val="22"/>
                <w:szCs w:val="22"/>
                <w:shd w:fill="D6EAFC" w:val="clear"/>
              </w:rPr>
              <w:t xml:space="preserve">stories</w:t>
            </w:r>
            <w:r>
              <w:rPr>
                <w:rFonts w:ascii="Georgia" w:cs="Georgia" w:eastAsia="Georgia" w:hAnsi="Georgia"/>
                <w:color w:val="1E211F"/>
                <w:sz w:val="22"/>
                <w:szCs w:val="22"/>
              </w:rPr>
              <w:t xml:space="preserve"> are a form of </w:t>
            </w:r>
            <w:r>
              <w:rPr>
                <w:rFonts w:ascii="Georgia" w:cs="Georgia" w:eastAsia="Georgia" w:hAnsi="Georgia"/>
                <w:b/>
                <w:bCs/>
                <w:color w:val="0B447C"/>
                <w:sz w:val="22"/>
                <w:szCs w:val="22"/>
                <w:shd w:fill="D6EAFC" w:val="clear"/>
              </w:rPr>
              <w:t xml:space="preserve">survival</w:t>
            </w:r>
            <w:r>
              <w:rPr>
                <w:rFonts w:ascii="Georgia" w:cs="Georgia" w:eastAsia="Georgia" w:hAnsi="Georgia"/>
                <w:color w:val="1E211F"/>
                <w:sz w:val="22"/>
                <w:szCs w:val="22"/>
              </w:rPr>
              <w:t xml:space="preserve"> in The Bone Sparrow?</w:t>
            </w:r>
          </w:p>
          <w:p>
            <w:pPr>
              <w:spacing w:after="0"/>
            </w:pPr>
            <w:r>
              <w:rPr>
                <w:rFonts w:ascii="Calibri" w:cs="Calibri" w:eastAsia="Calibri" w:hAnsi="Calibri"/>
                <w:color w:val="645D54"/>
                <w:sz w:val="18"/>
                <w:szCs w:val="18"/>
              </w:rPr>
              <w:t xml:space="preserve">Posters: Storytelling · Imagination</w:t>
            </w:r>
          </w:p>
        </w:tc>
      </w:tr>
    </w:tbl>
    <w:p>
      <w:pPr>
        <w:spacing w:after="80" w:before="260"/>
      </w:pPr>
      <w:r>
        <w:rPr>
          <w:rFonts w:ascii="Georgia" w:cs="Georgia" w:eastAsia="Georgia" w:hAnsi="Georgia"/>
          <w:b/>
          <w:bCs/>
          <w:color w:val="1D3C34"/>
          <w:sz w:val="24"/>
          <w:szCs w:val="24"/>
        </w:rPr>
        <w:t xml:space="preserve">Introduction</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40"/>
              <w:left w:type="dxa" w:w="200"/>
              <w:bottom w:type="dxa" w:w="140"/>
              <w:right w:type="dxa" w:w="200"/>
            </w:tcMar>
          </w:tcPr>
          <w:p>
            <w:pPr>
              <w:spacing w:after="0" w:line="290"/>
            </w:pPr>
            <w:r>
              <w:rPr>
                <w:rFonts w:ascii="Georgia" w:cs="Georgia" w:eastAsia="Georgia" w:hAnsi="Georgia"/>
                <w:color w:val="1E211F"/>
                <w:sz w:val="21"/>
                <w:szCs w:val="21"/>
              </w:rPr>
              <w:t xml:space="preserve">In The Bone Sparrow, Zana Fraillon presents storytelling as the thing that keeps people going when nothing around them changes. Through the stories Maá tells, the book Jimmie carries and the stories Subhi tells himself, Fraillon shows that a story can do what food and shelter cannot: it can make a person feel brave, remembered and less alone. Fraillon suggests that for people who have been locked away, a story is not an escape from survival but a part of it.</w:t>
            </w:r>
          </w:p>
        </w:tc>
      </w:tr>
    </w:tbl>
    <w:p>
      <w:pPr>
        <w:spacing w:after="100"/>
      </w:pPr>
      <w:r>
        <w:rPr>
          <w:rFonts w:ascii="Calibri" w:cs="Calibri" w:eastAsia="Calibri" w:hAnsi="Calibri"/>
          <w:color w:val="645D54"/>
          <w:sz w:val="18"/>
          <w:szCs w:val="18"/>
        </w:rPr>
        <w:t xml:space="preserve">The introduction names three kinds of story: Maá’s, Jimmie’s book, and Subhi’s own. Paragraph 1 is Maá’s stories and Jimmie’s book.</w:t>
      </w:r>
    </w:p>
    <w:p>
      <w:pPr>
        <w:spacing w:after="6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p>
      <w:pPr>
        <w:spacing w:after="80" w:before="260"/>
      </w:pPr>
      <w:r>
        <w:rPr>
          <w:rFonts w:ascii="Georgia" w:cs="Georgia" w:eastAsia="Georgia" w:hAnsi="Georgia"/>
          <w:b/>
          <w:bCs/>
          <w:color w:val="1D3C34"/>
          <w:sz w:val="24"/>
          <w:szCs w:val="24"/>
        </w:rPr>
        <w:t xml:space="preserve">Paragraph 2</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also tells stories to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Subhi imagines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Eli’s whale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00"/>
              <w:left w:type="dxa" w:w="160"/>
              <w:bottom w:type="dxa" w:w="140"/>
              <w:right w:type="dxa" w:w="160"/>
            </w:tcMar>
          </w:tcPr>
          <w:p>
            <w:pPr>
              <w:spacing w:after="0"/>
            </w:pPr>
            <w:r>
              <w:rPr>
                <w:rFonts w:ascii="Calibri" w:cs="Calibri" w:eastAsia="Calibri" w:hAnsi="Calibri"/>
                <w:i/>
                <w:iCs/>
                <w:color w:val="645D54"/>
                <w:sz w:val="17"/>
                <w:szCs w:val="17"/>
              </w:rPr>
              <w:t xml:space="preserve">So stories are …</w:t>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r>
        <w:br w:type="page"/>
      </w:r>
    </w:p>
    <w:p>
      <w:pPr>
        <w:spacing w:after="80" w:before="260"/>
      </w:pPr>
      <w:r>
        <w:rPr>
          <w:rFonts w:ascii="Georgia" w:cs="Georgia" w:eastAsia="Georgia" w:hAnsi="Georgia"/>
          <w:b/>
          <w:bCs/>
          <w:color w:val="1D3C34"/>
          <w:sz w:val="24"/>
          <w:szCs w:val="24"/>
        </w:rPr>
        <w:t xml:space="preserve">Paragraph 3</w:t>
      </w:r>
    </w:p>
    <w:p>
      <w:pPr>
        <w:spacing w:after="100"/>
      </w:pPr>
      <w:r>
        <w:rPr>
          <w:rFonts w:ascii="Calibri" w:cs="Calibri" w:eastAsia="Calibri" w:hAnsi="Calibri"/>
          <w:color w:val="645D54"/>
          <w:sz w:val="18"/>
          <w:szCs w:val="18"/>
        </w:rPr>
        <w:t xml:space="preserve">If you get there.</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tcMar>
              <w:top w:type="dxa" w:w="60"/>
              <w:left w:type="dxa" w:w="160"/>
              <w:bottom w:type="dxa" w:w="140"/>
              <w:right w:type="dxa" w:w="160"/>
            </w:tcMar>
          </w:tcPr>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p>
            <w:pPr>
              <w:pBdr>
                <w:bottom w:val="single" w:color="C9BFAE" w:sz="4"/>
              </w:pBdr>
              <w:spacing w:after="0" w:before="200"/>
            </w:pPr>
            <w:r>
              <w:rPr>
                <w:sz w:val="22"/>
                <w:szCs w:val="22"/>
              </w:rPr>
              <w:t xml:space="preserve"/>
            </w:r>
          </w:p>
        </w:tc>
      </w:tr>
    </w:tbl>
    <w:p>
      <w:pPr>
        <w:spacing w:after="80" w:before="260"/>
      </w:pPr>
      <w:r>
        <w:rPr>
          <w:rFonts w:ascii="Georgia" w:cs="Georgia" w:eastAsia="Georgia" w:hAnsi="Georgia"/>
          <w:b/>
          <w:bCs/>
          <w:color w:val="1D3C34"/>
          <w:sz w:val="24"/>
          <w:szCs w:val="24"/>
        </w:rPr>
        <w:t xml:space="preserve">How did it go?</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2600"/>
        <w:gridCol w:w="4006"/>
        <w:gridCol w:w="1100"/>
        <w:gridCol w:w="1100"/>
        <w:gridCol w:w="1100"/>
      </w:tblGrid>
      <w:tr>
        <w:tc>
          <w:tcPr>
            <w:tcW w:type="dxa" w:w="26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4006"/>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NOT YET</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NEARLY</w:t>
            </w:r>
          </w:p>
        </w:tc>
        <w:tc>
          <w:tcPr>
            <w:tcW w:type="dxa" w:w="1100"/>
            <w:tcMar>
              <w:top w:type="dxa" w:w="80"/>
              <w:left w:type="dxa" w:w="120"/>
              <w:bottom w:type="dxa" w:w="80"/>
              <w:right w:type="dxa" w:w="120"/>
            </w:tcMar>
          </w:tcPr>
          <w:p>
            <w:pPr>
              <w:spacing w:after="0"/>
            </w:pPr>
            <w:r>
              <w:rPr>
                <w:rFonts w:ascii="Calibri" w:cs="Calibri" w:eastAsia="Calibri" w:hAnsi="Calibri"/>
                <w:b/>
                <w:bCs/>
                <w:color w:val="645D54"/>
                <w:sz w:val="17"/>
                <w:szCs w:val="17"/>
              </w:rPr>
              <w:t xml:space="preserve">YES</w:t>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idea</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AE3CF" w:color="auto" w:val="clear"/>
            <w:tcMar>
              <w:top w:type="dxa" w:w="80"/>
              <w:left w:type="dxa" w:w="120"/>
              <w:bottom w:type="dxa" w:w="80"/>
              <w:right w:type="dxa" w:w="120"/>
            </w:tcMar>
          </w:tcPr>
          <w:p>
            <w:pPr>
              <w:spacing w:after="0"/>
            </w:pPr>
            <w:r>
              <w:rPr>
                <w:rFonts w:ascii="Georgia" w:cs="Georgia" w:eastAsia="Georgia" w:hAnsi="Georgia"/>
                <w:b/>
                <w:bCs/>
                <w:color w:val="8A4B12"/>
                <w:sz w:val="22"/>
                <w:szCs w:val="22"/>
              </w:rPr>
              <w:t xml:space="preserve">My verb</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FFF3B0" w:color="auto" w:val="clear"/>
            <w:tcMar>
              <w:top w:type="dxa" w:w="80"/>
              <w:left w:type="dxa" w:w="120"/>
              <w:bottom w:type="dxa" w:w="80"/>
              <w:right w:type="dxa" w:w="120"/>
            </w:tcMar>
          </w:tcPr>
          <w:p>
            <w:pPr>
              <w:spacing w:after="0"/>
            </w:pPr>
            <w:r>
              <w:rPr>
                <w:rFonts w:ascii="Georgia" w:cs="Georgia" w:eastAsia="Georgia" w:hAnsi="Georgia"/>
                <w:b/>
                <w:bCs/>
                <w:color w:val="7A5A00"/>
                <w:sz w:val="22"/>
                <w:szCs w:val="22"/>
              </w:rPr>
              <w:t xml:space="preserve">My evidence</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FF0E2" w:color="auto" w:val="clear"/>
            <w:tcMar>
              <w:top w:type="dxa" w:w="80"/>
              <w:left w:type="dxa" w:w="120"/>
              <w:bottom w:type="dxa" w:w="80"/>
              <w:right w:type="dxa" w:w="120"/>
            </w:tcMar>
          </w:tcPr>
          <w:p>
            <w:pPr>
              <w:spacing w:after="0"/>
            </w:pPr>
            <w:r>
              <w:rPr>
                <w:rFonts w:ascii="Georgia" w:cs="Georgia" w:eastAsia="Georgia" w:hAnsi="Georgia"/>
                <w:b/>
                <w:bCs/>
                <w:color w:val="1F5C33"/>
                <w:sz w:val="22"/>
                <w:szCs w:val="22"/>
              </w:rPr>
              <w:t xml:space="preserve">The effect</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r>
        <w:trPr>
          <w:trHeight w:val="520" w:hRule="atLeast"/>
        </w:trPr>
        <w:tc>
          <w:tcPr>
            <w:tcW w:type="dxa" w:w="2600"/>
            <w:shd w:fill="D6EAFC" w:color="auto" w:val="clear"/>
            <w:tcMar>
              <w:top w:type="dxa" w:w="80"/>
              <w:left w:type="dxa" w:w="120"/>
              <w:bottom w:type="dxa" w:w="80"/>
              <w:right w:type="dxa" w:w="120"/>
            </w:tcMar>
          </w:tcPr>
          <w:p>
            <w:pPr>
              <w:spacing w:after="0"/>
            </w:pPr>
            <w:r>
              <w:rPr>
                <w:rFonts w:ascii="Georgia" w:cs="Georgia" w:eastAsia="Georgia" w:hAnsi="Georgia"/>
                <w:b/>
                <w:bCs/>
                <w:color w:val="0B447C"/>
                <w:sz w:val="22"/>
                <w:szCs w:val="22"/>
              </w:rPr>
              <w:t xml:space="preserve">My paragraph</w:t>
            </w:r>
          </w:p>
        </w:tc>
        <w:tc>
          <w:tcPr>
            <w:tcW w:type="dxa" w:w="4006"/>
            <w:tcMar>
              <w:top w:type="dxa" w:w="80"/>
              <w:left w:type="dxa" w:w="120"/>
              <w:bottom w:type="dxa" w:w="80"/>
              <w:right w:type="dxa" w:w="12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c>
          <w:tcPr>
            <w:tcW w:type="dxa" w:w="1100"/>
            <w:tcMar>
              <w:top w:type="dxa" w:w="80"/>
              <w:left w:type="dxa" w:w="120"/>
              <w:bottom w:type="dxa" w:w="80"/>
              <w:right w:type="dxa" w:w="120"/>
            </w:tcMar>
          </w:tcPr>
          <w:p>
            <w:pPr>
              <w:spacing w:after="120"/>
            </w:pPr>
            <w:r>
              <w:rPr>
                <w:rFonts w:ascii="Georgia" w:cs="Georgia" w:eastAsia="Georgia" w:hAnsi="Georgia"/>
                <w:color w:val="1E211F"/>
                <w:sz w:val="22"/>
                <w:szCs w:val="22"/>
              </w:rPr>
              <w:t xml:space="preserve"/>
            </w: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One thing I will do better next time</w:t>
            </w:r>
          </w:p>
        </w:tc>
      </w:tr>
      <w:tr>
        <w:trPr>
          <w:trHeight w:val="800" w:hRule="atLeast"/>
        </w:trPr>
        <w:tc>
          <w:tcPr>
            <w:tcW w:type="dxa" w:w="9906"/>
            <w:tcMar>
              <w:top w:type="dxa" w:w="100"/>
              <w:left w:type="dxa" w:w="200"/>
              <w:bottom w:type="dxa" w:w="100"/>
              <w:right w:type="dxa" w:w="200"/>
            </w:tcMar>
          </w:tcPr>
          <w:p/>
        </w:tc>
      </w:tr>
    </w:tbl>
    <w:p>
      <w:pPr>
        <w:spacing w:after="120"/>
      </w:pPr>
      <w:r>
        <w:rPr>
          <w:rFonts w:ascii="Georgia" w:cs="Georgia" w:eastAsia="Georgia" w:hAnsi="Georgia"/>
          <w:color w:val="1E211F"/>
          <w:sz w:val="22"/>
          <w:szCs w:val="22"/>
        </w:rPr>
        <w:t xml:space="preserve"/>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9906"/>
      </w:tblGrid>
      <w:tr>
        <w:tc>
          <w:tcPr>
            <w:tcW w:type="dxa" w:w="9906"/>
            <w:shd w:fill="F6F1E6" w:color="auto" w:val="clear"/>
            <w:tcMar>
              <w:top w:type="dxa" w:w="100"/>
              <w:left w:type="dxa" w:w="200"/>
              <w:bottom w:type="dxa" w:w="100"/>
              <w:right w:type="dxa" w:w="200"/>
            </w:tcMar>
          </w:tcPr>
          <w:p>
            <w:pPr>
              <w:spacing w:after="0"/>
            </w:pPr>
            <w:r>
              <w:rPr>
                <w:rFonts w:ascii="Calibri" w:cs="Calibri" w:eastAsia="Calibri" w:hAnsi="Calibri"/>
                <w:b/>
                <w:bCs/>
                <w:color w:val="1D3C34"/>
                <w:sz w:val="19"/>
                <w:szCs w:val="19"/>
              </w:rPr>
              <w:t xml:space="preserve">Teacher feedback</w:t>
            </w:r>
          </w:p>
        </w:tc>
      </w:tr>
      <w:tr>
        <w:trPr>
          <w:trHeight w:val="1300" w:hRule="atLeast"/>
        </w:trPr>
        <w:tc>
          <w:tcPr>
            <w:tcW w:type="dxa" w:w="9906"/>
            <w:tcMar>
              <w:top w:type="dxa" w:w="100"/>
              <w:left w:type="dxa" w:w="200"/>
              <w:bottom w:type="dxa" w:w="100"/>
              <w:right w:type="dxa" w:w="200"/>
            </w:tcMar>
          </w:tcPr>
          <w:p/>
        </w:tc>
      </w:tr>
    </w:tbl>
    <w:p>
      <w:r>
        <w:br w:type="page"/>
      </w:r>
    </w:p>
    <w:p>
      <w:pPr>
        <w:spacing w:after="80" w:before="260"/>
      </w:pPr>
      <w:r>
        <w:rPr>
          <w:rFonts w:ascii="Georgia" w:cs="Georgia" w:eastAsia="Georgia" w:hAnsi="Georgia"/>
          <w:b/>
          <w:bCs/>
          <w:color w:val="1D3C34"/>
          <w:sz w:val="24"/>
          <w:szCs w:val="24"/>
        </w:rPr>
        <w:t xml:space="preserve">Paragraph 1</w:t>
      </w:r>
    </w:p>
    <w:p>
      <w:pPr>
        <w:spacing w:after="160"/>
      </w:pPr>
      <w:r>
        <w:rPr>
          <w:rFonts w:ascii="Calibri" w:cs="Calibri" w:eastAsia="Calibri" w:hAnsi="Calibri"/>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Calibri" w:cs="Calibri" w:eastAsia="Calibri" w:hAnsi="Calibri"/>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Calibri" w:cs="Calibri" w:eastAsia="Calibri" w:hAnsi="Calibri"/>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Calibri" w:cs="Calibri" w:eastAsia="Calibri" w:hAnsi="Calibri"/>
          <w:b/>
          <w:bCs/>
          <w:color w:val="1F5C33"/>
          <w:sz w:val="20"/>
          <w:szCs w:val="20"/>
          <w:shd w:fill="DFF0E2" w:val="clear"/>
        </w:rPr>
        <w:t xml:space="preserve">  purpose  </w:t>
      </w:r>
    </w:p>
    <w:tbl>
      <w:tblPr>
        <w:tblW w:type="dxa" w:w="990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14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146"/>
            <w:tcMar>
              <w:top w:type="dxa" w:w="160"/>
              <w:left w:type="dxa" w:w="160"/>
              <w:bottom w:type="dxa" w:w="160"/>
              <w:right w:type="dxa" w:w="160"/>
            </w:tcMar>
          </w:tcPr>
          <w:p>
            <w:pPr>
              <w:spacing w:after="0" w:line="40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r>
        <w:br w:type="page"/>
      </w:r>
    </w:p>
    <w:p>
      <w:r>
        <w:rPr>
          <w:rFonts w:ascii="Georgia" w:cs="Georgia" w:eastAsia="Georgia" w:hAnsi="Georgia"/>
          <w:color w:val="1E211F"/>
          <w:sz w:val="22"/>
          <w:szCs w:val="22"/>
        </w:rPr>
        <w:t xml:space="preserve"/>
      </w:r>
    </w:p>
    <w:p>
      <w:pPr>
        <w:sectPr>
          <w:pgSz w:w="11906" w:h="16838" w:orient="portrait"/>
          <w:pgMar w:top="1000" w:right="1000" w:bottom="1000" w:left="100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483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073"/>
        <w:gridCol w:w="2073"/>
        <w:gridCol w:w="2073"/>
        <w:gridCol w:w="2073"/>
        <w:gridCol w:w="2073"/>
        <w:gridCol w:w="2073"/>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073"/>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073"/>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073"/>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073"/>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2026-09-11T01:00:05.343Z</dcterms:created>
  <dcterms:modified xsi:type="dcterms:W3CDTF">2026-09-11T01:00:05.343Z</dcterms:modified>
</cp:coreProperties>
</file>

<file path=docProps/custom.xml><?xml version="1.0" encoding="utf-8"?>
<Properties xmlns="http://schemas.openxmlformats.org/officeDocument/2006/custom-properties" xmlns:vt="http://schemas.openxmlformats.org/officeDocument/2006/docPropsVTypes"/>
</file>