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Imprisonment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Locked in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does the camp physically hold people in? Fences, gates, Jackets, handcuffs, being counted.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Locked out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What do the people inside not get to know, choose, or do for themselves?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Two sides of one fence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What is life like inside the camp compared with Jimmie’s life outside it?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p>
      <w:pPr>
        <w:spacing w:after="0"/>
      </w:pPr>
      <w:r>
        <w:br w:type="pag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Freedom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Freedom to move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Who can come and go in this novel, and who cannot? What difference does it make to them?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Freedom in your head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do characters get free without going anywhere?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Small freedoms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What small choices do people in the camp still get to make for themselves?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p>
      <w:pPr>
        <w:spacing w:after="0"/>
      </w:pPr>
      <w:r>
        <w:br w:type="pag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Imagination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Somewhere to go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does Subhi’s imagination take him, and when does he need it most?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Making sense of things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How does imagining help a character understand what is happening to them?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Believing in what comes next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does imagining keep hope alive, and where does it let someone down?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p>
      <w:pPr>
        <w:spacing w:after="0"/>
      </w:pPr>
      <w:r>
        <w:br w:type="pag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Storytelling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Stories that carry people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Which stories keep hold of someone who is gone, or far away?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Stories that get the truth out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How do characters try to make the outside world listen to them?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Stories that make you brave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does a story change how somebody feels, or what they do next?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p>
      <w:pPr>
        <w:spacing w:after="0"/>
      </w:pPr>
      <w:r>
        <w:br w:type="pag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Loneliness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Alone inside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Who is lonely in the camp, and what makes it worse for them?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Alone outside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How is Jimmie lonely, even though nothing is stopping her leaving?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Unseen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Where are people treated as numbers instead of people?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p>
      <w:pPr>
        <w:spacing w:after="0"/>
      </w:pPr>
      <w:r>
        <w:br w:type="pag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011"/>
      </w:tblGrid>
      <w:tr>
        <w:trPr>
          <w:trHeight w:val="1900" w:hRule="atLeast"/>
        </w:trPr>
        <w:tc>
          <w:tcPr>
            <w:tcW w:type="dxa" w:w="22011"/>
            <w:shd w:fill="D6EAFC" w:color="auto" w:val="clear"/>
            <w:tcMar>
              <w:top w:type="dxa" w:w="160"/>
              <w:left w:type="dxa" w:w="300"/>
              <w:bottom w:type="dxa" w:w="160"/>
              <w:right w:type="dxa" w:w="3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10"/>
                <w:szCs w:val="110"/>
              </w:rPr>
              <w:t xml:space="preserve">Friendship and family</w:t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/>
      </w:r>
    </w:p>
    <w:tbl>
      <w:tblPr>
        <w:tblW w:type="dxa" w:w="220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7337"/>
        <w:gridCol w:w="7337"/>
        <w:gridCol w:w="7337"/>
      </w:tblGrid>
      <w:tr>
        <w:trPr>
          <w:trHeight w:val="9000" w:hRule="atLeast"/>
        </w:trPr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Friends who come back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Who keeps a promise in this novel, and what does that give the other person?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Friends who share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What do characters give each other when they have almost nothing to give?</w:t>
            </w:r>
          </w:p>
        </w:tc>
        <w:tc>
          <w:tcPr>
            <w:tcW w:type="dxa" w:w="7337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6"/>
                <w:szCs w:val="36"/>
              </w:rPr>
              <w:t xml:space="preserve">Family worn down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22"/>
                <w:szCs w:val="22"/>
              </w:rPr>
              <w:t xml:space="preserve">What has the camp done to Subhi’s family, and what do they still manage?</w:t>
            </w:r>
          </w:p>
        </w:tc>
      </w:tr>
      <w:tr>
        <w:trPr>
          <w:trHeight w:val="3000" w:hRule="atLeast"/>
        </w:trPr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  <w:tc>
          <w:tcPr>
            <w:tcW w:type="dxa" w:w="7337"/>
            <w:shd w:fill="FFF3B0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30"/>
                <w:sz w:val="20"/>
                <w:szCs w:val="20"/>
              </w:rPr>
              <w:t xml:space="preserve">QUOTES</w:t>
            </w:r>
            <w:r>
              <w:rPr>
                <w:rFonts w:ascii="Calibri" w:cs="Calibri" w:eastAsia="Calibri" w:hAnsi="Calibri"/>
                <w:color w:val="645D54"/>
                <w:sz w:val="19"/>
                <w:szCs w:val="19"/>
              </w:rPr>
              <w:t xml:space="preserve">   with the chapter number</w:t>
            </w:r>
          </w:p>
        </w:tc>
      </w:tr>
    </w:tbl>
    <w:p>
      <w:pPr>
        <w:tabs>
          <w:tab w:val="right" w:pos="22011"/>
        </w:tabs>
        <w:spacing w:after="0" w:before="14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The Bone Sparrow</w:t>
      </w:r>
      <w:r>
        <w:rPr>
          <w:rFonts w:ascii="Calibri" w:cs="Calibri" w:eastAsia="Calibri" w:hAnsi="Calibri"/>
          <w:color w:val="645D54"/>
          <w:sz w:val="19"/>
          <w:szCs w:val="19"/>
        </w:rPr>
        <w:t xml:space="preserve">	Group:  ______________________</w:t>
      </w:r>
    </w:p>
    <w:sectPr>
      <w:pgSz w:w="23811" w:h="16838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2026-09-10T01:43:48.526Z</dcterms:created>
  <dcterms:modified xsi:type="dcterms:W3CDTF">2026-09-10T01:43:48.527Z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