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2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‘Soon they’ll see that living in here isn’t living at all. We just need to show them who we are, that we’re people, and then they’ll remember.’ (p108) Discuss the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living conditions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for characters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inside and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centre.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people inside the centre and the people outside it live in the same country and know almost nothing about each other.</w:t>
            </w:r>
          </w:p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the fence keeps out information as well as people, so Subhi cannot even picture the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The centre does not only fence people in; it keeps them from knowing anything about the world outside.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Subhi says it plainly: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“None of us knows what it is like just on the other side of the fences.”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the fence holds back information as well as people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realise the camp takes away even the ability to imagine another life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When the men in Alpha protest, Subhi counts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“twenty-four people with their lips sewn shut now, and eighty-seven on hunger strike”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people inside have to hurt themselves before anyone outside will look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feel how far away from help they are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 the centre holds people twice: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behind a fence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out of everybody’s sight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— and being unseen 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what lets the conditions in there carry on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8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3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2026-09-09T10:35:43.366Z</dcterms:created>
  <dcterms:modified xsi:type="dcterms:W3CDTF">2026-09-09T10:35:43.366Z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