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28"/>
          <w:szCs w:val="28"/>
        </w:rPr>
        <w:t xml:space="preserve">The Bone Sparrow — planning three paragraphs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Jot, don’t write sentences. A few words for the idea, a few words for the evidence.</w:t>
      </w: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1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The Bone Sparrow shows us that imagination and friendship are essential for survival.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2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 The Bone Sparrow, power comes in many forms.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3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makes the reader see the people behind the numbers.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p>
      <w:r>
        <w:br w:type="page"/>
      </w: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4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Loneliness in The Bone Sparrow does not need a fence.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5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 the camp, the smallest things matter most.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tbl>
      <w:tblPr>
        <w:tblW w:type="dxa" w:w="101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shd w:fill="FBF7EE" w:color="auto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6   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leaves the reader hopeful and uneasy at the same time.</w:t>
            </w:r>
          </w:p>
        </w:tc>
      </w:tr>
    </w:tbl>
    <w:tbl>
      <w:tblPr>
        <w:tblW w:type="dxa" w:w="101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20"/>
        <w:gridCol w:w="4793"/>
        <w:gridCol w:w="4793"/>
      </w:tblGrid>
      <w:tr>
        <w:trPr>
          <w:tblHeader/>
          <w:trHeight w:val="34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7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80"/>
      </w:pP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2026-09-09T01:53:07.720Z</dcterms:created>
  <dcterms:modified xsi:type="dcterms:W3CDTF">2026-09-09T01:53:07.720Z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