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9906"/>
        </w:tabs>
        <w:spacing w:after="200"/>
      </w:pPr>
      <w:r>
        <w:rPr>
          <w:rFonts w:ascii="Georgia" w:cs="Georgia" w:eastAsia="Georgia" w:hAnsi="Georgia"/>
          <w:b/>
          <w:bCs/>
          <w:color w:val="1D3C34"/>
          <w:sz w:val="30"/>
          <w:szCs w:val="30"/>
        </w:rPr>
        <w:t xml:space="preserve">The Bone Sparrow — folio task 2</w:t>
      </w:r>
      <w:r>
        <w:rPr>
          <w:rFonts w:ascii="Calibri" w:cs="Calibri" w:eastAsia="Calibri" w:hAnsi="Calibri"/>
          <w:color w:val="645D54"/>
          <w:sz w:val="18"/>
          <w:szCs w:val="18"/>
        </w:rPr>
        <w:t xml:space="preserve">	Name  </w:t>
      </w:r>
      <w:r>
        <w:rPr>
          <w:rFonts w:ascii="Calibri" w:cs="Calibri" w:eastAsia="Calibri" w:hAnsi="Calibri"/>
          <w:color w:val="C9BFAE"/>
          <w:sz w:val="18"/>
          <w:szCs w:val="18"/>
        </w:rPr>
        <w:t xml:space="preserve">______________________</w:t>
      </w:r>
    </w:p>
    <w:p>
      <w:pPr>
        <w:spacing w:after="100"/>
      </w:pPr>
      <w:r>
        <w:rPr>
          <w:rFonts w:ascii="Calibri" w:cs="Calibri" w:eastAsia="Calibri" w:hAnsi="Calibri"/>
          <w:color w:val="645D54"/>
          <w:sz w:val="18"/>
          <w:szCs w:val="18"/>
        </w:rPr>
        <w:t xml:space="preserve">30 minutes. Novel, your notes and the writing wall on the desk.</w:t>
      </w:r>
    </w:p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The prompt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‘Soon they’ll see that living in here isn’t living at all. We just need to show them who we are, that we’re people, and then they’ll remember.’ (p108) Discuss the </w:t>
            </w:r>
            <w:r>
              <w:rPr>
                <w:rFonts w:ascii="Georgia" w:cs="Georgia" w:eastAsia="Georgia" w:hAnsi="Georgia"/>
                <w:b/>
                <w:bCs/>
                <w:color w:val="0B447C"/>
                <w:sz w:val="22"/>
                <w:szCs w:val="22"/>
                <w:shd w:fill="D6EAFC" w:val="clear"/>
              </w:rPr>
              <w:t xml:space="preserve">living conditions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 for characters </w:t>
            </w:r>
            <w:r>
              <w:rPr>
                <w:rFonts w:ascii="Georgia" w:cs="Georgia" w:eastAsia="Georgia" w:hAnsi="Georgia"/>
                <w:b/>
                <w:bCs/>
                <w:color w:val="0B447C"/>
                <w:sz w:val="22"/>
                <w:szCs w:val="22"/>
                <w:shd w:fill="D6EAFC" w:val="clear"/>
              </w:rPr>
              <w:t xml:space="preserve">inside and outside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 the centre.</w:t>
            </w:r>
          </w:p>
        </w:tc>
      </w:tr>
    </w:tbl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Introduction</w:t>
      </w:r>
    </w:p>
    <w:p>
      <w:pPr>
        <w:spacing w:after="160"/>
      </w:pPr>
      <w:r>
        <w:rPr>
          <w:rFonts w:ascii="Calibri" w:cs="Calibri" w:eastAsia="Calibri" w:hAnsi="Calibri"/>
          <w:b/>
          <w:bCs/>
          <w:color w:val="0B447C"/>
          <w:sz w:val="20"/>
          <w:szCs w:val="20"/>
          <w:shd w:fill="D6EAFC" w:val="clear"/>
        </w:rPr>
        <w:t xml:space="preserve">  idea  </w:t>
      </w:r>
      <w:r>
        <w:rPr>
          <w:rFonts w:ascii="Georgia" w:cs="Georgia" w:eastAsia="Georgia" w:hAnsi="Georgia"/>
          <w:color w:val="1E211F"/>
          <w:sz w:val="22"/>
          <w:szCs w:val="22"/>
        </w:rPr>
        <w:t xml:space="preserve">   </w:t>
      </w:r>
      <w:r>
        <w:rPr>
          <w:rFonts w:ascii="Calibri" w:cs="Calibri" w:eastAsia="Calibri" w:hAnsi="Calibri"/>
          <w:b/>
          <w:bCs/>
          <w:color w:val="8A4B12"/>
          <w:sz w:val="20"/>
          <w:szCs w:val="20"/>
          <w:shd w:fill="FAE3CF" w:val="clear"/>
        </w:rPr>
        <w:t xml:space="preserve">  verb  </w:t>
      </w:r>
      <w:r>
        <w:rPr>
          <w:rFonts w:ascii="Georgia" w:cs="Georgia" w:eastAsia="Georgia" w:hAnsi="Georgia"/>
          <w:color w:val="1E211F"/>
          <w:sz w:val="22"/>
          <w:szCs w:val="22"/>
        </w:rPr>
        <w:t xml:space="preserve">   </w:t>
      </w:r>
      <w:r>
        <w:rPr>
          <w:rFonts w:ascii="Calibri" w:cs="Calibri" w:eastAsia="Calibri" w:hAnsi="Calibri"/>
          <w:b/>
          <w:bCs/>
          <w:color w:val="7A5A00"/>
          <w:sz w:val="20"/>
          <w:szCs w:val="20"/>
          <w:shd w:fill="FFF3B0" w:val="clear"/>
        </w:rPr>
        <w:t xml:space="preserve">  evidence  </w:t>
      </w:r>
      <w:r>
        <w:rPr>
          <w:rFonts w:ascii="Georgia" w:cs="Georgia" w:eastAsia="Georgia" w:hAnsi="Georgia"/>
          <w:color w:val="1E211F"/>
          <w:sz w:val="22"/>
          <w:szCs w:val="22"/>
        </w:rPr>
        <w:t xml:space="preserve">   </w:t>
      </w:r>
      <w:r>
        <w:rPr>
          <w:rFonts w:ascii="Calibri" w:cs="Calibri" w:eastAsia="Calibri" w:hAnsi="Calibri"/>
          <w:b/>
          <w:bCs/>
          <w:color w:val="1F5C33"/>
          <w:sz w:val="20"/>
          <w:szCs w:val="20"/>
          <w:shd w:fill="DFF0E2" w:val="clear"/>
        </w:rPr>
        <w:t xml:space="preserve">  purpose  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14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Life inside the centre is measured out in numbers, while life outside it goes on without noticing.</w:t>
            </w:r>
          </w:p>
          <w:p>
            <w:pPr>
              <w:spacing w:after="14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Fraillon shows this first through </w:t>
            </w:r>
            <w:r>
              <w:rPr>
                <w:rFonts w:ascii="Georgia" w:cs="Georgia" w:eastAsia="Georgia" w:hAnsi="Georgia"/>
                <w:b/>
                <w:bCs/>
                <w:color w:val="0B447C"/>
                <w:sz w:val="22"/>
                <w:szCs w:val="22"/>
                <w:shd w:fill="D6EAFC" w:val="clear"/>
              </w:rPr>
              <w:t xml:space="preserve">the way ordinary life inside the centre is controlled until protest is all that is left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.</w:t>
            </w:r>
          </w:p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She also shows it through</w:t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0" w:before="16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and through</w:t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color w:val="645D54"/>
          <w:sz w:val="18"/>
          <w:szCs w:val="18"/>
        </w:rPr>
        <w:t xml:space="preserve">The third idea is for whoever gets that far.</w:t>
      </w:r>
    </w:p>
    <w:p>
      <w:r>
        <w:br w:type="page"/>
      </w:r>
    </w:p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The model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760"/>
        <w:gridCol w:w="9146"/>
      </w:tblGrid>
      <w:tr>
        <w:tc>
          <w:tcPr>
            <w:tcW w:type="dxa" w:w="760"/>
            <w:tcMar>
              <w:top w:type="dxa" w:w="140"/>
              <w:left w:type="dxa" w:w="120"/>
              <w:bottom w:type="dxa" w:w="14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T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560"/>
            </w:tblGrid>
            <w:tr>
              <w:trPr>
                <w:trHeight w:val="160" w:hRule="exact"/>
              </w:trPr>
              <w:tc>
                <w:tcPr>
                  <w:tcW w:type="dxa" w:w="5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pPr>
              <w:spacing w:after="0" w:line="400"/>
            </w:pPr>
            <w:r>
              <w:rPr>
                <w:rFonts w:ascii="Georgia" w:cs="Georgia" w:eastAsia="Georgia" w:hAnsi="Georgia"/>
                <w:b/>
                <w:bCs/>
                <w:color w:val="0B447C"/>
                <w:sz w:val="23"/>
                <w:szCs w:val="23"/>
                <w:shd w:fill="D6EAFC" w:val="clear"/>
              </w:rPr>
              <w:t xml:space="preserve">Inside the centre, ordinary life is controlled until protest is all that people have left.</w:t>
            </w:r>
          </w:p>
        </w:tc>
      </w:tr>
      <w:tr>
        <w:tc>
          <w:tcPr>
            <w:tcW w:type="dxa" w:w="760"/>
            <w:tcMar>
              <w:top w:type="dxa" w:w="140"/>
              <w:left w:type="dxa" w:w="120"/>
              <w:bottom w:type="dxa" w:w="14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pPr>
              <w:spacing w:after="0" w:line="400"/>
            </w:pP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Subhi counts what is happening around him: </w:t>
            </w:r>
            <w:r>
              <w:rPr>
                <w:rFonts w:ascii="Georgia" w:cs="Georgia" w:eastAsia="Georgia" w:hAnsi="Georgia"/>
                <w:b/>
                <w:bCs/>
                <w:color w:val="7A5A00"/>
                <w:sz w:val="23"/>
                <w:szCs w:val="23"/>
                <w:shd w:fill="FFF3B0" w:val="clear"/>
              </w:rPr>
              <w:t xml:space="preserve">“There are twenty-four people with their lips sewn shut now, and eighty-seven on hunger strike.”</w:t>
            </w:r>
          </w:p>
        </w:tc>
      </w:tr>
      <w:tr>
        <w:tc>
          <w:tcPr>
            <w:tcW w:type="dxa" w:w="760"/>
            <w:tcMar>
              <w:top w:type="dxa" w:w="140"/>
              <w:left w:type="dxa" w:w="120"/>
              <w:bottom w:type="dxa" w:w="14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pPr>
              <w:spacing w:after="0" w:line="400"/>
            </w:pP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Fraillon gives the reader numbers instead of descriptions, which </w:t>
            </w:r>
            <w:r>
              <w:rPr>
                <w:rFonts w:ascii="Georgia" w:cs="Georgia" w:eastAsia="Georgia" w:hAnsi="Georgia"/>
                <w:b/>
                <w:bCs/>
                <w:color w:val="8A4B12"/>
                <w:sz w:val="23"/>
                <w:szCs w:val="23"/>
                <w:shd w:fill="FAE3CF" w:val="clear"/>
              </w:rPr>
              <w:t xml:space="preserve">demonstrates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 that </w:t>
            </w:r>
            <w:r>
              <w:rPr>
                <w:rFonts w:ascii="Georgia" w:cs="Georgia" w:eastAsia="Georgia" w:hAnsi="Georgia"/>
                <w:b/>
                <w:bCs/>
                <w:color w:val="0B447C"/>
                <w:sz w:val="23"/>
                <w:szCs w:val="23"/>
                <w:shd w:fill="D6EAFC" w:val="clear"/>
              </w:rPr>
              <w:t xml:space="preserve">a place which counts people rather than naming them has taught a child to count them too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.</w:t>
            </w:r>
          </w:p>
        </w:tc>
      </w:tr>
      <w:tr>
        <w:tc>
          <w:tcPr>
            <w:tcW w:type="dxa" w:w="760"/>
            <w:tcMar>
              <w:top w:type="dxa" w:w="140"/>
              <w:left w:type="dxa" w:w="120"/>
              <w:bottom w:type="dxa" w:w="14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L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0"/>
              <w:gridCol w:w="160"/>
              <w:gridCol w:w="240"/>
            </w:tblGrid>
            <w:tr>
              <w:trPr>
                <w:trHeight w:val="160" w:hRule="exact"/>
              </w:trPr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240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pPr>
              <w:spacing w:after="0" w:line="400"/>
            </w:pP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This </w:t>
            </w:r>
            <w:r>
              <w:rPr>
                <w:rFonts w:ascii="Georgia" w:cs="Georgia" w:eastAsia="Georgia" w:hAnsi="Georgia"/>
                <w:b/>
                <w:bCs/>
                <w:color w:val="1F5C33"/>
                <w:sz w:val="23"/>
                <w:szCs w:val="23"/>
                <w:shd w:fill="DFF0E2" w:val="clear"/>
              </w:rPr>
              <w:t xml:space="preserve">makes the reader feel how ordinary the desperation has become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, and that is worse than being told it is terrible.</w:t>
            </w:r>
          </w:p>
        </w:tc>
      </w:tr>
    </w:tbl>
    <w:p>
      <w:r>
        <w:br w:type="page"/>
      </w:r>
    </w:p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Your paragraph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760"/>
        <w:gridCol w:w="9146"/>
      </w:tblGrid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T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560"/>
            </w:tblGrid>
            <w:tr>
              <w:trPr>
                <w:trHeight w:val="160" w:hRule="exact"/>
              </w:trPr>
              <w:tc>
                <w:tcPr>
                  <w:tcW w:type="dxa" w:w="5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645D5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if you get there</w:t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L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0"/>
              <w:gridCol w:w="160"/>
              <w:gridCol w:w="240"/>
            </w:tblGrid>
            <w:tr>
              <w:trPr>
                <w:trHeight w:val="160" w:hRule="exact"/>
              </w:trPr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240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r>
        <w:br w:type="page"/>
      </w:r>
    </w:p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Another paragraph</w:t>
      </w:r>
    </w:p>
    <w:p>
      <w:pPr>
        <w:spacing w:after="100"/>
      </w:pPr>
      <w:r>
        <w:rPr>
          <w:rFonts w:ascii="Calibri" w:cs="Calibri" w:eastAsia="Calibri" w:hAnsi="Calibri"/>
          <w:color w:val="645D54"/>
          <w:sz w:val="18"/>
          <w:szCs w:val="18"/>
        </w:rPr>
        <w:t xml:space="preserve">If you get there.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760"/>
        <w:gridCol w:w="9146"/>
      </w:tblGrid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T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560"/>
            </w:tblGrid>
            <w:tr>
              <w:trPr>
                <w:trHeight w:val="160" w:hRule="exact"/>
              </w:trPr>
              <w:tc>
                <w:tcPr>
                  <w:tcW w:type="dxa" w:w="5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645D5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if you get there</w:t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L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0"/>
              <w:gridCol w:w="160"/>
              <w:gridCol w:w="240"/>
            </w:tblGrid>
            <w:tr>
              <w:trPr>
                <w:trHeight w:val="160" w:hRule="exact"/>
              </w:trPr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240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r>
        <w:br w:type="page"/>
      </w:r>
    </w:p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Conclusion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760"/>
        <w:gridCol w:w="9146"/>
      </w:tblGrid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L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0"/>
              <w:gridCol w:w="160"/>
              <w:gridCol w:w="240"/>
            </w:tblGrid>
            <w:tr>
              <w:trPr>
                <w:trHeight w:val="160" w:hRule="exact"/>
              </w:trPr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240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So The Bone Sparrow shows that … — no new quotes</w:t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How did it go?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2600"/>
        <w:gridCol w:w="4006"/>
        <w:gridCol w:w="1100"/>
        <w:gridCol w:w="1100"/>
        <w:gridCol w:w="1100"/>
      </w:tblGrid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17"/>
                <w:szCs w:val="17"/>
              </w:rPr>
              <w:t xml:space="preserve"/>
            </w:r>
          </w:p>
        </w:tc>
        <w:tc>
          <w:tcPr>
            <w:tcW w:type="dxa" w:w="40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17"/>
                <w:szCs w:val="17"/>
              </w:rPr>
              <w:t xml:space="preserve">NOT YET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17"/>
                <w:szCs w:val="17"/>
              </w:rPr>
              <w:t xml:space="preserve">NEARLY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17"/>
                <w:szCs w:val="17"/>
              </w:rPr>
              <w:t xml:space="preserve">YES</w:t>
            </w:r>
          </w:p>
        </w:tc>
      </w:tr>
      <w:tr>
        <w:trPr>
          <w:trHeight w:val="600" w:hRule="atLeast"/>
        </w:trPr>
        <w:tc>
          <w:tcPr>
            <w:tcW w:type="dxa" w:w="2600"/>
            <w:shd w:fill="D6E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0B447C"/>
                <w:sz w:val="22"/>
                <w:szCs w:val="22"/>
              </w:rPr>
              <w:t xml:space="preserve">My idea</w:t>
            </w:r>
          </w:p>
        </w:tc>
        <w:tc>
          <w:tcPr>
            <w:tcW w:type="dxa" w:w="40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0"/>
                <w:szCs w:val="20"/>
              </w:rPr>
              <w:t xml:space="preserve">I said something about the novel, not just what happens.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2600"/>
            <w:shd w:fill="FAE3C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8A4B12"/>
                <w:sz w:val="22"/>
                <w:szCs w:val="22"/>
              </w:rPr>
              <w:t xml:space="preserve">My verb</w:t>
            </w:r>
          </w:p>
        </w:tc>
        <w:tc>
          <w:tcPr>
            <w:tcW w:type="dxa" w:w="40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0"/>
                <w:szCs w:val="20"/>
              </w:rPr>
              <w:t xml:space="preserve">I used a verb that does the thinking — shows, reveals, suggests.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2600"/>
            <w:shd w:fill="FFF3B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7A5A00"/>
                <w:sz w:val="22"/>
                <w:szCs w:val="22"/>
              </w:rPr>
              <w:t xml:space="preserve">My evidence</w:t>
            </w:r>
          </w:p>
        </w:tc>
        <w:tc>
          <w:tcPr>
            <w:tcW w:type="dxa" w:w="40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0"/>
                <w:szCs w:val="20"/>
              </w:rPr>
              <w:t xml:space="preserve">My quote sits inside my own sentence, and it fits my idea.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2600"/>
            <w:shd w:fill="DFF0E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F5C33"/>
                <w:sz w:val="22"/>
                <w:szCs w:val="22"/>
              </w:rPr>
              <w:t xml:space="preserve">The effect</w:t>
            </w:r>
          </w:p>
        </w:tc>
        <w:tc>
          <w:tcPr>
            <w:tcW w:type="dxa" w:w="40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0"/>
                <w:szCs w:val="20"/>
              </w:rPr>
              <w:t xml:space="preserve">I explained what Fraillon’s writing does to the reader.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2600"/>
            <w:shd w:fill="D6E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0B447C"/>
                <w:sz w:val="22"/>
                <w:szCs w:val="22"/>
              </w:rPr>
              <w:t xml:space="preserve">My paragraph</w:t>
            </w:r>
          </w:p>
        </w:tc>
        <w:tc>
          <w:tcPr>
            <w:tcW w:type="dxa" w:w="40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0"/>
                <w:szCs w:val="20"/>
              </w:rPr>
              <w:t xml:space="preserve">It starts with my idea, and the last sentence links back and says more.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</w:tr>
    </w:tbl>
    <w:p>
      <w:pPr>
        <w:spacing w:after="160"/>
      </w:pPr>
      <w:r>
        <w:rPr>
          <w:rFonts w:ascii="Georgia" w:cs="Georgia" w:eastAsia="Georgia" w:hAnsi="Georgia"/>
          <w:color w:val="1E211F"/>
          <w:sz w:val="22"/>
          <w:szCs w:val="22"/>
        </w:rPr>
        <w:t xml:space="preserve"/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shd w:fill="F6F1E6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9"/>
                <w:szCs w:val="19"/>
              </w:rPr>
              <w:t xml:space="preserve">One thing I will do better next time</w:t>
            </w:r>
          </w:p>
        </w:tc>
      </w:tr>
      <w:tr>
        <w:trPr>
          <w:trHeight w:val="800" w:hRule="atLeast"/>
        </w:trPr>
        <w:tc>
          <w:tcPr>
            <w:tcW w:type="dxa" w:w="9906"/>
            <w:tcMar>
              <w:top w:type="dxa" w:w="100"/>
              <w:left w:type="dxa" w:w="200"/>
              <w:bottom w:type="dxa" w:w="100"/>
              <w:right w:type="dxa" w:w="200"/>
            </w:tcMar>
          </w:tcPr>
          <w:p/>
        </w:tc>
      </w:tr>
    </w:tbl>
    <w:p>
      <w:pPr>
        <w:spacing w:after="160"/>
      </w:pPr>
      <w:r>
        <w:rPr>
          <w:rFonts w:ascii="Georgia" w:cs="Georgia" w:eastAsia="Georgia" w:hAnsi="Georgia"/>
          <w:color w:val="1E211F"/>
          <w:sz w:val="22"/>
          <w:szCs w:val="22"/>
        </w:rPr>
        <w:t xml:space="preserve"/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shd w:fill="F6F1E6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9"/>
                <w:szCs w:val="19"/>
              </w:rPr>
              <w:t xml:space="preserve">Teacher feedback</w:t>
            </w:r>
          </w:p>
        </w:tc>
      </w:tr>
      <w:tr>
        <w:trPr>
          <w:trHeight w:val="1300" w:hRule="atLeast"/>
        </w:trPr>
        <w:tc>
          <w:tcPr>
            <w:tcW w:type="dxa" w:w="9906"/>
            <w:tcMar>
              <w:top w:type="dxa" w:w="100"/>
              <w:left w:type="dxa" w:w="200"/>
              <w:bottom w:type="dxa" w:w="100"/>
              <w:right w:type="dxa" w:w="200"/>
            </w:tcMar>
          </w:tcPr>
          <w:p/>
        </w:tc>
      </w:tr>
    </w:tbl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E211F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2026-09-09T10:22:23.029Z</dcterms:created>
  <dcterms:modified xsi:type="dcterms:W3CDTF">2026-09-09T10:22:23.029Z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