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906"/>
      </w:tblGrid>
      <w:tr>
        <w:tc>
          <w:tcPr>
            <w:tcW w:type="dxa" w:w="990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750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40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40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tabs>
          <w:tab w:val="right" w:pos="9906"/>
        </w:tabs>
        <w:spacing w:after="120"/>
      </w:pPr>
      <w:r>
        <w:rPr>
          <w:rFonts w:ascii="Georgia" w:cs="Georgia" w:eastAsia="Georgia" w:hAnsi="Georgia"/>
          <w:b/>
          <w:bCs/>
          <w:color w:val="1D3C34"/>
          <w:sz w:val="30"/>
          <w:szCs w:val="30"/>
        </w:rPr>
        <w:t xml:space="preserve">The Bone Sparrow — folio task 1</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show that </w:t>
            </w:r>
            <w:r>
              <w:rPr>
                <w:rFonts w:ascii="Georgia" w:cs="Georgia" w:eastAsia="Georgia" w:hAnsi="Georgia"/>
                <w:b/>
                <w:bCs/>
                <w:color w:val="0B447C"/>
                <w:sz w:val="22"/>
                <w:szCs w:val="22"/>
                <w:shd w:fill="D6EAFC" w:val="clear"/>
              </w:rPr>
              <w:t xml:space="preserve">objects</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family</w:t>
            </w:r>
            <w:r>
              <w:rPr>
                <w:rFonts w:ascii="Georgia" w:cs="Georgia" w:eastAsia="Georgia" w:hAnsi="Georgia"/>
                <w:color w:val="1E211F"/>
                <w:sz w:val="22"/>
                <w:szCs w:val="22"/>
              </w:rPr>
              <w:t xml:space="preserve"> help the characters hold on to who they are?</w:t>
            </w:r>
          </w:p>
          <w:p>
            <w:pPr>
              <w:spacing w:after="0"/>
            </w:pPr>
            <w:r>
              <w:rPr>
                <w:rFonts w:ascii="Calibri" w:cs="Calibri" w:eastAsia="Calibri" w:hAnsi="Calibri"/>
                <w:color w:val="645D54"/>
                <w:sz w:val="18"/>
                <w:szCs w:val="18"/>
              </w:rPr>
              <w:t xml:space="preserve">Posters: Friendship and family</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and the family around him keep him connected to where he comes from. Fraillon suggests that a person’s identity cannot be locked up with them: it is carried in the things they hold and the people who hold on to them.</w:t>
            </w:r>
          </w:p>
        </w:tc>
      </w:tr>
    </w:tbl>
    <w:p>
      <w:pPr>
        <w:spacing w:after="100"/>
      </w:pPr>
      <w:r>
        <w:rPr>
          <w:rFonts w:ascii="Calibri" w:cs="Calibri" w:eastAsia="Calibri" w:hAnsi="Calibri"/>
          <w:color w:val="645D54"/>
          <w:sz w:val="18"/>
          <w:szCs w:val="18"/>
        </w:rPr>
        <w:t xml:space="preserve">The introduction names two things that keep the characters connected: objects and family. Paragraph 1 is objects.</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 relationships between Subhi, Queeny and Maá, Fraillon also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Queeny’s care for Subhi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Even though Eli and Subhi aren’t related, they are like family, suggesting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these family bonds, Fraillon suggests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2</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explore the relationship between </w:t>
            </w:r>
            <w:r>
              <w:rPr>
                <w:rFonts w:ascii="Georgia" w:cs="Georgia" w:eastAsia="Georgia" w:hAnsi="Georgia"/>
                <w:b/>
                <w:bCs/>
                <w:color w:val="0B447C"/>
                <w:sz w:val="22"/>
                <w:szCs w:val="22"/>
                <w:shd w:fill="D6EAFC" w:val="clear"/>
              </w:rPr>
              <w:t xml:space="preserve">freedom</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confinement</w:t>
            </w:r>
            <w:r>
              <w:rPr>
                <w:rFonts w:ascii="Georgia" w:cs="Georgia" w:eastAsia="Georgia" w:hAnsi="Georgia"/>
                <w:color w:val="1E211F"/>
                <w:sz w:val="22"/>
                <w:szCs w:val="22"/>
              </w:rPr>
              <w:t xml:space="preserve"> in The Bone Sparrow?</w:t>
            </w:r>
          </w:p>
          <w:p>
            <w:pPr>
              <w:spacing w:after="0"/>
            </w:pPr>
            <w:r>
              <w:rPr>
                <w:rFonts w:ascii="Calibri" w:cs="Calibri" w:eastAsia="Calibri" w:hAnsi="Calibri"/>
                <w:color w:val="645D54"/>
                <w:sz w:val="18"/>
                <w:szCs w:val="18"/>
              </w:rPr>
              <w:t xml:space="preserve">Posters: Freedom · Imprisonment</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100"/>
      </w:pPr>
      <w:r>
        <w:rPr>
          <w:rFonts w:ascii="Calibri" w:cs="Calibri" w:eastAsia="Calibri" w:hAnsi="Calibri"/>
          <w:color w:val="645D54"/>
          <w:sz w:val="18"/>
          <w:szCs w:val="18"/>
        </w:rPr>
        <w:t xml:space="preserve">The introduction names three claims: the fence between the detained and the free, how Subhi copes with confinement, and how Jimmie experiences freedom. Paragraph 1 is the fence.</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copes with the fence by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At night, “the dirt outside turns into a beautiful ocean” (ch. 1), which shows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Jackets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for Subhi, freedom is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3</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explore the idea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are a form of </w:t>
            </w:r>
            <w:r>
              <w:rPr>
                <w:rFonts w:ascii="Georgia" w:cs="Georgia" w:eastAsia="Georgia" w:hAnsi="Georgia"/>
                <w:b/>
                <w:bCs/>
                <w:color w:val="0B447C"/>
                <w:sz w:val="22"/>
                <w:szCs w:val="22"/>
                <w:shd w:fill="D6EAFC" w:val="clear"/>
              </w:rPr>
              <w:t xml:space="preserve">survival</w:t>
            </w:r>
            <w:r>
              <w:rPr>
                <w:rFonts w:ascii="Georgia" w:cs="Georgia" w:eastAsia="Georgia" w:hAnsi="Georgia"/>
                <w:color w:val="1E211F"/>
                <w:sz w:val="22"/>
                <w:szCs w:val="22"/>
              </w:rPr>
              <w:t xml:space="preserve"> in The Bone Sparrow?</w:t>
            </w:r>
          </w:p>
          <w:p>
            <w:pPr>
              <w:spacing w:after="0"/>
            </w:pPr>
            <w:r>
              <w:rPr>
                <w:rFonts w:ascii="Calibri" w:cs="Calibri" w:eastAsia="Calibri" w:hAnsi="Calibri"/>
                <w:color w:val="645D54"/>
                <w:sz w:val="18"/>
                <w:szCs w:val="18"/>
              </w:rPr>
              <w:t xml:space="preserve">Posters: Storytelling · Imagination</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100"/>
      </w:pPr>
      <w:r>
        <w:rPr>
          <w:rFonts w:ascii="Calibri" w:cs="Calibri" w:eastAsia="Calibri" w:hAnsi="Calibri"/>
          <w:color w:val="645D54"/>
          <w:sz w:val="18"/>
          <w:szCs w:val="18"/>
        </w:rPr>
        <w:t xml:space="preserve">The introduction names three kinds of story: Maá’s, Jimmie’s book, and Subhi’s own. Paragraph 1 is Maá’s stories and Jimmie’s book.</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also tells stories to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imagines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Eli’s whale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stories are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sectPr>
          <w:pgSz w:w="11906" w:h="16838" w:orient="portrait"/>
          <w:pgMar w:top="1000" w:right="1000" w:bottom="1000" w:left="100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483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073"/>
        <w:gridCol w:w="2073"/>
        <w:gridCol w:w="2073"/>
        <w:gridCol w:w="2073"/>
        <w:gridCol w:w="2073"/>
        <w:gridCol w:w="2073"/>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073"/>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2026-09-11T01:00:05.343Z</dcterms:created>
  <dcterms:modified xsi:type="dcterms:W3CDTF">2026-09-11T01:00:05.343Z</dcterms:modified>
</cp:coreProperties>
</file>

<file path=docProps/custom.xml><?xml version="1.0" encoding="utf-8"?>
<Properties xmlns="http://schemas.openxmlformats.org/officeDocument/2006/custom-properties" xmlns:vt="http://schemas.openxmlformats.org/officeDocument/2006/docPropsVTypes"/>
</file>