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help the characters hold on to who they are?</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100"/>
      </w:pPr>
      <w:r>
        <w:rPr>
          <w:rFonts w:ascii="Calibri" w:cs="Calibri" w:eastAsia="Calibri" w:hAnsi="Calibri"/>
          <w:color w:val="645D54"/>
          <w:sz w:val="18"/>
          <w:szCs w:val="18"/>
        </w:rPr>
        <w:t xml:space="preserve">The introduction names three things that keep the characters connected: objects, stories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memories kept alive through storytelling     ☐ the family around Subhi</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Fraillon also presents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Maá’s “Listen Now” stories explore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stories in Jimmie’s book suggest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2026-09-11T00:57:33.033Z</dcterms:created>
  <dcterms:modified xsi:type="dcterms:W3CDTF">2026-09-11T00:57:33.045Z</dcterms:modified>
</cp:coreProperties>
</file>

<file path=docProps/custom.xml><?xml version="1.0" encoding="utf-8"?>
<Properties xmlns="http://schemas.openxmlformats.org/officeDocument/2006/custom-properties" xmlns:vt="http://schemas.openxmlformats.org/officeDocument/2006/docPropsVTypes"/>
</file>