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D3C34"/>
          <w:sz w:val="30"/>
          <w:szCs w:val="30"/>
        </w:rPr>
        <w:t xml:space="preserve">The Bone Sparrow — assessment · option B</w:t>
      </w:r>
    </w:p>
    <w:p>
      <w:pPr>
        <w:spacing w:after="160"/>
      </w:pPr>
      <w:r>
        <w:rPr>
          <w:rFonts w:ascii="Calibri" w:cs="Calibri" w:eastAsia="Calibri" w:hAnsi="Calibri"/>
          <w:color w:val="645D54"/>
          <w:sz w:val="19"/>
          <w:szCs w:val="19"/>
        </w:rPr>
        <w:t xml:space="preserve">One text response, written over two periods</w:t>
      </w:r>
    </w:p>
    <w:p>
      <w:pPr>
        <w:pBdr>
          <w:bottom w:val="single" w:color="1D3C34" w:sz="6"/>
        </w:pBdr>
        <w:spacing w:after="90" w:before="220"/>
      </w:pPr>
      <w:r>
        <w:rPr>
          <w:rFonts w:ascii="Georgia" w:cs="Georgia" w:eastAsia="Georgia" w:hAnsi="Georgia"/>
          <w:b/>
          <w:bCs/>
          <w:color w:val="1D3C34"/>
          <w:sz w:val="23"/>
          <w:szCs w:val="23"/>
        </w:rPr>
        <w:t xml:space="preserve">The task</w:t>
      </w:r>
    </w:p>
    <w:p>
      <w:pPr>
        <w:spacing w:after="110"/>
      </w:pPr>
      <w:r>
        <w:rPr>
          <w:rFonts w:ascii="Georgia" w:cs="Georgia" w:eastAsia="Georgia" w:hAnsi="Georgia"/>
          <w:color w:val="1E211F"/>
          <w:sz w:val="21"/>
          <w:szCs w:val="21"/>
        </w:rPr>
        <w:t xml:space="preserve">Students are given a prompt on the day and write an introduction, one or two body paragraphs and a conclusion. One body paragraph is printed on the paper for them to work from, so what they are assessed on is the paragraph or paragraphs they write themselves.</w:t>
      </w:r>
    </w:p>
    <w:p>
      <w:pPr>
        <w:pBdr>
          <w:bottom w:val="single" w:color="1D3C34" w:sz="6"/>
        </w:pBdr>
        <w:spacing w:after="90" w:before="220"/>
      </w:pPr>
      <w:r>
        <w:rPr>
          <w:rFonts w:ascii="Georgia" w:cs="Georgia" w:eastAsia="Georgia" w:hAnsi="Georgia"/>
          <w:b/>
          <w:bCs/>
          <w:color w:val="1D3C34"/>
          <w:sz w:val="23"/>
          <w:szCs w:val="23"/>
        </w:rPr>
        <w:t xml:space="preserve">Period one — preparation</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Students work through the planning sheet: six prompts, and for each one what three paragraphs could be about, with a piece of evidence each.</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They keep one page of notes — ideas and quotes with chapter numbers — and take it into the writing period.</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The prompt for the task is not revealed. It is one of the six they planned.</w:t>
      </w:r>
    </w:p>
    <w:p>
      <w:pPr>
        <w:pBdr>
          <w:bottom w:val="single" w:color="1D3C34" w:sz="6"/>
        </w:pBdr>
        <w:spacing w:after="90" w:before="220"/>
      </w:pPr>
      <w:r>
        <w:rPr>
          <w:rFonts w:ascii="Georgia" w:cs="Georgia" w:eastAsia="Georgia" w:hAnsi="Georgia"/>
          <w:b/>
          <w:bCs/>
          <w:color w:val="1D3C34"/>
          <w:sz w:val="23"/>
          <w:szCs w:val="23"/>
        </w:rPr>
        <w:t xml:space="preserve">Period two — writing</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The prompt is given at the start of the period.</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The introduction and conclusion are started for them, with gaps — the essay argument (a contention and three claims) has not been taught this unit, so it is not what they are being asked to produce.</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One body paragraph is printed in full. Students write one more, or two for extension.</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Novel, their notes page and the writing wall available. No drafting help from the teacher.</w:t>
      </w:r>
    </w:p>
    <w:p>
      <w:pPr>
        <w:pBdr>
          <w:bottom w:val="single" w:color="1D3C34" w:sz="6"/>
        </w:pBdr>
        <w:spacing w:after="90" w:before="220"/>
      </w:pPr>
      <w:r>
        <w:rPr>
          <w:rFonts w:ascii="Georgia" w:cs="Georgia" w:eastAsia="Georgia" w:hAnsi="Georgia"/>
          <w:b/>
          <w:bCs/>
          <w:color w:val="1D3C34"/>
          <w:sz w:val="23"/>
          <w:szCs w:val="23"/>
        </w:rPr>
        <w:t xml:space="preserve">What is marked</w:t>
      </w:r>
    </w:p>
    <w:p>
      <w:pPr>
        <w:spacing w:after="110"/>
      </w:pPr>
      <w:r>
        <w:rPr>
          <w:rFonts w:ascii="Georgia" w:cs="Georgia" w:eastAsia="Georgia" w:hAnsi="Georgia"/>
          <w:color w:val="1E211F"/>
          <w:sz w:val="21"/>
          <w:szCs w:val="21"/>
        </w:rPr>
        <w:t xml:space="preserve">The body paragraph or paragraphs the student writes. The introduction and conclusion are read for whether they answer the prompt, and are not marked against the criteria.</w:t>
      </w:r>
    </w:p>
    <w:p>
      <w:pPr>
        <w:pBdr>
          <w:bottom w:val="single" w:color="1D3C34" w:sz="6"/>
        </w:pBdr>
        <w:spacing w:after="90" w:before="220"/>
      </w:pPr>
      <w:r>
        <w:rPr>
          <w:rFonts w:ascii="Georgia" w:cs="Georgia" w:eastAsia="Georgia" w:hAnsi="Georgia"/>
          <w:b/>
          <w:bCs/>
          <w:color w:val="1D3C34"/>
          <w:sz w:val="23"/>
          <w:szCs w:val="23"/>
        </w:rPr>
        <w:t xml:space="preserve">Differentiation</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Support — bigger print, one paragraph only, with a theme and a quote to choose from on the page.</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Extension — the printed paragraph gives only the topic and link sentences; the evidence sentences are theirs, and they write two more paragraphs.</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EAL — word list first, shorter sentences, one sentence per line in the frame.</w:t>
      </w:r>
    </w:p>
    <w:p>
      <w:pPr>
        <w:spacing w:after="0"/>
      </w:pPr>
      <w:r>
        <w:br w:type="page"/>
      </w:r>
    </w:p>
    <w:p>
      <w:pPr>
        <w:pBdr>
          <w:bottom w:val="single" w:color="1D3C34" w:sz="6"/>
        </w:pBdr>
        <w:spacing w:after="90" w:before="220"/>
      </w:pPr>
      <w:r>
        <w:rPr>
          <w:rFonts w:ascii="Georgia" w:cs="Georgia" w:eastAsia="Georgia" w:hAnsi="Georgia"/>
          <w:b/>
          <w:bCs/>
          <w:color w:val="1D3C34"/>
          <w:sz w:val="23"/>
          <w:szCs w:val="23"/>
        </w:rPr>
        <w:t xml:space="preserve">Learning intention</w:t>
      </w:r>
    </w:p>
    <w:p>
      <w:pPr>
        <w:spacing w:after="90"/>
      </w:pPr>
      <w:r>
        <w:rPr>
          <w:rFonts w:ascii="Calibri" w:cs="Calibri" w:eastAsia="Calibri" w:hAnsi="Calibri"/>
          <w:color w:val="1E211F"/>
          <w:sz w:val="19"/>
          <w:szCs w:val="19"/>
        </w:rPr>
        <w:t xml:space="preserve">To write an analytical paragraph about The Bone Sparrow: an idea, evidence from the novel, an explanation of what the writing does, and a link back.</w:t>
      </w:r>
    </w:p>
    <w:p>
      <w:pPr>
        <w:spacing w:after="60"/>
      </w:pPr>
      <w:r>
        <w:rPr>
          <w:rFonts w:ascii="Calibri" w:cs="Calibri" w:eastAsia="Calibri" w:hAnsi="Calibri"/>
          <w:b/>
          <w:bCs/>
          <w:color w:val="1E211F"/>
          <w:sz w:val="19"/>
          <w:szCs w:val="19"/>
        </w:rPr>
        <w:t xml:space="preserve">I will be successful when:</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I can state an idea about the novel in a topic sentence.</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I can choose a quote that shows that idea, and put it inside my own sentence.</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I can explain what the writing does to the reader, not just what happens.</w:t>
      </w:r>
    </w:p>
    <w:p>
      <w:pPr>
        <w:spacing w:after="60"/>
        <w:ind w:left="280" w:hanging="180"/>
      </w:pPr>
      <w:r>
        <w:rPr>
          <w:rFonts w:ascii="Calibri" w:cs="Calibri" w:eastAsia="Calibri" w:hAnsi="Calibri"/>
          <w:color w:val="645D54"/>
          <w:sz w:val="19"/>
          <w:szCs w:val="19"/>
        </w:rPr>
        <w:t xml:space="preserve">•   </w:t>
      </w:r>
      <w:r>
        <w:rPr>
          <w:rFonts w:ascii="Calibri" w:cs="Calibri" w:eastAsia="Calibri" w:hAnsi="Calibri"/>
          <w:color w:val="1E211F"/>
          <w:sz w:val="19"/>
          <w:szCs w:val="19"/>
        </w:rPr>
        <w:t xml:space="preserve">I can finish the paragraph by linking both parts back to my idea.</w:t>
      </w:r>
    </w:p>
    <w:p>
      <w:pPr>
        <w:pBdr>
          <w:bottom w:val="single" w:color="1D3C34" w:sz="6"/>
        </w:pBdr>
        <w:spacing w:after="90" w:before="220"/>
      </w:pPr>
      <w:r>
        <w:rPr>
          <w:rFonts w:ascii="Georgia" w:cs="Georgia" w:eastAsia="Georgia" w:hAnsi="Georgia"/>
          <w:b/>
          <w:bCs/>
          <w:color w:val="1D3C34"/>
          <w:sz w:val="23"/>
          <w:szCs w:val="23"/>
        </w:rPr>
        <w:t xml:space="preserve">Criteria</w:t>
      </w:r>
    </w:p>
    <w:p>
      <w:pPr>
        <w:spacing w:after="120"/>
      </w:pPr>
      <w:r>
        <w:rPr>
          <w:rFonts w:ascii="Calibri" w:cs="Calibri" w:eastAsia="Calibri" w:hAnsi="Calibri"/>
          <w:color w:val="645D54"/>
          <w:sz w:val="19"/>
          <w:szCs w:val="19"/>
        </w:rPr>
        <w:t xml:space="preserve">The school’s Learning Continuum, English tab. Level 7 is the expected level for Year 7.</w:t>
      </w:r>
    </w:p>
    <w:tbl>
      <w:tblPr>
        <w:tblW w:type="dxa" w:w="10306"/>
        <w:tblBorders>
          <w:top w:val="single" w:color="C9BFAE" w:sz="6"/>
          <w:left w:val="single" w:color="C9BFAE" w:sz="6"/>
          <w:bottom w:val="single" w:color="C9BFAE" w:sz="6"/>
          <w:right w:val="single" w:color="C9BFAE" w:sz="6"/>
          <w:insideH w:val="single" w:color="auto" w:sz="4"/>
          <w:insideV w:val="single" w:color="auto" w:sz="4"/>
        </w:tblBorders>
      </w:tblPr>
      <w:tblGrid>
        <w:gridCol w:w="2100"/>
        <w:gridCol w:w="2735"/>
        <w:gridCol w:w="2735"/>
        <w:gridCol w:w="2735"/>
      </w:tblGrid>
      <w:tr>
        <w:trPr>
          <w:tblHeader/>
          <w:trHeight w:val="330" w:hRule="atLeast"/>
        </w:trPr>
        <w:tc>
          <w:tcPr>
            <w:tcW w:type="dxa" w:w="2100"/>
            <w:tcMar>
              <w:top w:type="dxa" w:w="70"/>
              <w:left w:type="dxa" w:w="120"/>
              <w:bottom w:type="dxa" w:w="70"/>
              <w:right w:type="dxa" w:w="120"/>
            </w:tcMar>
          </w:tcPr>
          <w:p>
            <w:pPr>
              <w:spacing w:after="0"/>
            </w:pPr>
            <w:r>
              <w:rPr>
                <w:rFonts w:ascii="Calibri" w:cs="Calibri" w:eastAsia="Calibri" w:hAnsi="Calibri"/>
                <w:b/>
                <w:bCs/>
                <w:color w:val="645D54"/>
                <w:sz w:val="17"/>
                <w:szCs w:val="17"/>
              </w:rPr>
              <w:t xml:space="preserve"/>
            </w:r>
          </w:p>
        </w:tc>
        <w:tc>
          <w:tcPr>
            <w:tcW w:type="dxa" w:w="2735"/>
            <w:tcMar>
              <w:top w:type="dxa" w:w="70"/>
              <w:left w:type="dxa" w:w="120"/>
              <w:bottom w:type="dxa" w:w="70"/>
              <w:right w:type="dxa" w:w="120"/>
            </w:tcMar>
          </w:tcPr>
          <w:p>
            <w:pPr>
              <w:spacing w:after="0"/>
            </w:pPr>
            <w:r>
              <w:rPr>
                <w:rFonts w:ascii="Calibri" w:cs="Calibri" w:eastAsia="Calibri" w:hAnsi="Calibri"/>
                <w:b/>
                <w:bCs/>
                <w:color w:val="645D54"/>
                <w:sz w:val="17"/>
                <w:szCs w:val="17"/>
              </w:rPr>
              <w:t xml:space="preserve">LEVEL 6</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b/>
                <w:bCs/>
                <w:color w:val="1D3C34"/>
                <w:sz w:val="17"/>
                <w:szCs w:val="17"/>
              </w:rPr>
              <w:t xml:space="preserve">LEVEL 7 · EXPECTED</w:t>
            </w:r>
          </w:p>
        </w:tc>
        <w:tc>
          <w:tcPr>
            <w:tcW w:type="dxa" w:w="2735"/>
            <w:tcMar>
              <w:top w:type="dxa" w:w="70"/>
              <w:left w:type="dxa" w:w="120"/>
              <w:bottom w:type="dxa" w:w="70"/>
              <w:right w:type="dxa" w:w="120"/>
            </w:tcMar>
          </w:tcPr>
          <w:p>
            <w:pPr>
              <w:spacing w:after="0"/>
            </w:pPr>
            <w:r>
              <w:rPr>
                <w:rFonts w:ascii="Calibri" w:cs="Calibri" w:eastAsia="Calibri" w:hAnsi="Calibri"/>
                <w:b/>
                <w:bCs/>
                <w:color w:val="645D54"/>
                <w:sz w:val="17"/>
                <w:szCs w:val="17"/>
              </w:rPr>
              <w:t xml:space="preserve">LEVEL 8</w:t>
            </w:r>
          </w:p>
        </w:tc>
      </w:tr>
      <w:tr>
        <w:tc>
          <w:tcPr>
            <w:tcW w:type="dxa" w:w="2100"/>
            <w:tcMar>
              <w:top w:type="dxa" w:w="70"/>
              <w:left w:type="dxa" w:w="120"/>
              <w:bottom w:type="dxa" w:w="70"/>
              <w:right w:type="dxa" w:w="120"/>
            </w:tcMar>
          </w:tcPr>
          <w:p>
            <w:pPr>
              <w:spacing w:after="0"/>
            </w:pPr>
            <w:r>
              <w:rPr>
                <w:rFonts w:ascii="Calibri" w:cs="Calibri" w:eastAsia="Calibri" w:hAnsi="Calibri"/>
                <w:b/>
                <w:bCs/>
                <w:color w:val="0B447C"/>
                <w:sz w:val="18"/>
                <w:szCs w:val="18"/>
                <w:shd w:fill="D6EAFC" w:val="clear"/>
              </w:rPr>
              <w:t xml:space="preserve">  The idea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describe the way authors try to influence their audience</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explain how the structure and language used in a text helps influence the audience</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find the author’s point of view in a text and evaluate how credible the text is</w:t>
            </w:r>
          </w:p>
        </w:tc>
      </w:tr>
      <w:tr>
        <w:tc>
          <w:tcPr>
            <w:tcW w:type="dxa" w:w="2100"/>
            <w:tcMar>
              <w:top w:type="dxa" w:w="70"/>
              <w:left w:type="dxa" w:w="120"/>
              <w:bottom w:type="dxa" w:w="70"/>
              <w:right w:type="dxa" w:w="120"/>
            </w:tcMar>
          </w:tcPr>
          <w:p>
            <w:pPr>
              <w:spacing w:after="0"/>
            </w:pPr>
            <w:r>
              <w:rPr>
                <w:rFonts w:ascii="Calibri" w:cs="Calibri" w:eastAsia="Calibri" w:hAnsi="Calibri"/>
                <w:b/>
                <w:bCs/>
                <w:color w:val="6B4E9E"/>
                <w:sz w:val="18"/>
                <w:szCs w:val="18"/>
                <w:shd w:fill="E8DFF6" w:val="clear"/>
              </w:rPr>
              <w:t xml:space="preserve">  Language feature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explain how rhymes can add to descriptions in writing</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explain the meaning of non-literal language in narrative and poetic texts</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explain the effect of descriptions, different sentence types and figurative language</w:t>
            </w:r>
          </w:p>
        </w:tc>
      </w:tr>
      <w:tr>
        <w:tc>
          <w:tcPr>
            <w:tcW w:type="dxa" w:w="2100"/>
            <w:tcMar>
              <w:top w:type="dxa" w:w="70"/>
              <w:left w:type="dxa" w:w="120"/>
              <w:bottom w:type="dxa" w:w="70"/>
              <w:right w:type="dxa" w:w="120"/>
            </w:tcMar>
          </w:tcPr>
          <w:p>
            <w:pPr>
              <w:spacing w:after="0"/>
            </w:pPr>
            <w:r>
              <w:rPr>
                <w:rFonts w:ascii="Calibri" w:cs="Calibri" w:eastAsia="Calibri" w:hAnsi="Calibri"/>
                <w:b/>
                <w:bCs/>
                <w:color w:val="8A4B12"/>
                <w:sz w:val="18"/>
                <w:szCs w:val="18"/>
                <w:shd w:fill="FAE3CF" w:val="clear"/>
              </w:rPr>
              <w:t xml:space="preserve">  Analytical verb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use different types of verbs in my writing (existing, doing, thinking, feeling)</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change my choice of words to be appropriate for spoken and written texts</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change my word choice to alter the tone of written and spoken texts</w:t>
            </w:r>
          </w:p>
        </w:tc>
      </w:tr>
      <w:tr>
        <w:tc>
          <w:tcPr>
            <w:tcW w:type="dxa" w:w="2100"/>
            <w:tcMar>
              <w:top w:type="dxa" w:w="70"/>
              <w:left w:type="dxa" w:w="120"/>
              <w:bottom w:type="dxa" w:w="70"/>
              <w:right w:type="dxa" w:w="120"/>
            </w:tcMar>
          </w:tcPr>
          <w:p>
            <w:pPr>
              <w:spacing w:after="0"/>
            </w:pPr>
            <w:r>
              <w:rPr>
                <w:rFonts w:ascii="Calibri" w:cs="Calibri" w:eastAsia="Calibri" w:hAnsi="Calibri"/>
                <w:b/>
                <w:bCs/>
                <w:color w:val="7A5A00"/>
                <w:sz w:val="18"/>
                <w:szCs w:val="18"/>
                <w:shd w:fill="FFF3B0" w:val="clear"/>
              </w:rPr>
              <w:t xml:space="preserve">  Embedded evidence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include quotes in an explanation with teacher guidance</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explain the relevance of a quote</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embed quotes into sentences</w:t>
            </w:r>
          </w:p>
        </w:tc>
      </w:tr>
      <w:tr>
        <w:tc>
          <w:tcPr>
            <w:tcW w:type="dxa" w:w="2100"/>
            <w:tcMar>
              <w:top w:type="dxa" w:w="70"/>
              <w:left w:type="dxa" w:w="120"/>
              <w:bottom w:type="dxa" w:w="70"/>
              <w:right w:type="dxa" w:w="120"/>
            </w:tcMar>
          </w:tcPr>
          <w:p>
            <w:pPr>
              <w:spacing w:after="0"/>
            </w:pPr>
            <w:r>
              <w:rPr>
                <w:rFonts w:ascii="Calibri" w:cs="Calibri" w:eastAsia="Calibri" w:hAnsi="Calibri"/>
                <w:b/>
                <w:bCs/>
                <w:color w:val="1F5C33"/>
                <w:sz w:val="18"/>
                <w:szCs w:val="18"/>
                <w:shd w:fill="DFF0E2" w:val="clear"/>
              </w:rPr>
              <w:t xml:space="preserve">  Effect on the reader  </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describe how repetition, emphasis and metaphor can influence the way a reader feels</w:t>
            </w:r>
          </w:p>
        </w:tc>
        <w:tc>
          <w:tcPr>
            <w:tcW w:type="dxa" w:w="2735"/>
            <w:shd w:fill="F1EDE3" w:color="auto" w:val="clear"/>
            <w:tcMar>
              <w:top w:type="dxa" w:w="70"/>
              <w:left w:type="dxa" w:w="120"/>
              <w:bottom w:type="dxa" w:w="70"/>
              <w:right w:type="dxa" w:w="120"/>
            </w:tcMar>
          </w:tcPr>
          <w:p>
            <w:pPr>
              <w:spacing w:after="0"/>
            </w:pPr>
            <w:r>
              <w:rPr>
                <w:rFonts w:ascii="Calibri" w:cs="Calibri" w:eastAsia="Calibri" w:hAnsi="Calibri"/>
                <w:color w:val="1E211F"/>
                <w:sz w:val="17"/>
                <w:szCs w:val="17"/>
              </w:rPr>
              <w:t xml:space="preserve">I can use examples from the text to discuss how language helps to create character</w:t>
            </w:r>
          </w:p>
        </w:tc>
        <w:tc>
          <w:tcPr>
            <w:tcW w:type="dxa" w:w="2735"/>
            <w:tcMar>
              <w:top w:type="dxa" w:w="70"/>
              <w:left w:type="dxa" w:w="120"/>
              <w:bottom w:type="dxa" w:w="70"/>
              <w:right w:type="dxa" w:w="120"/>
            </w:tcMar>
          </w:tcPr>
          <w:p>
            <w:pPr>
              <w:spacing w:after="0"/>
            </w:pPr>
            <w:r>
              <w:rPr>
                <w:rFonts w:ascii="Calibri" w:cs="Calibri" w:eastAsia="Calibri" w:hAnsi="Calibri"/>
                <w:color w:val="645D54"/>
                <w:sz w:val="17"/>
                <w:szCs w:val="17"/>
              </w:rPr>
              <w:t xml:space="preserve">I can explain how different types of evidence can add authority to a text</w:t>
            </w:r>
          </w:p>
        </w:tc>
      </w:tr>
    </w:tbl>
    <w:p>
      <w:pPr>
        <w:pBdr>
          <w:bottom w:val="single" w:color="1D3C34" w:sz="6"/>
        </w:pBdr>
        <w:spacing w:after="90" w:before="220"/>
      </w:pPr>
      <w:r>
        <w:rPr>
          <w:rFonts w:ascii="Georgia" w:cs="Georgia" w:eastAsia="Georgia" w:hAnsi="Georgia"/>
          <w:b/>
          <w:bCs/>
          <w:color w:val="1D3C34"/>
          <w:sz w:val="23"/>
          <w:szCs w:val="23"/>
        </w:rPr>
        <w:t xml:space="preserve">What this task does not assess</w:t>
      </w:r>
    </w:p>
    <w:p>
      <w:pPr>
        <w:spacing w:after="110"/>
      </w:pPr>
      <w:r>
        <w:rPr>
          <w:rFonts w:ascii="Georgia" w:cs="Georgia" w:eastAsia="Georgia" w:hAnsi="Georgia"/>
          <w:color w:val="1E211F"/>
          <w:sz w:val="21"/>
          <w:szCs w:val="21"/>
        </w:rPr>
        <w:t xml:space="preserve">Building an essay argument — a contention, three claims, and a conclusion that follows from them. That has not been taught this unit. Students meet the shape of an essay in the paragraph sessions, and the introduction and conclusion on this paper are started for them for that reason. What is marked is the analytical paragraph.</w:t>
      </w:r>
    </w:p>
    <w:sectPr>
      <w:pgSz w:w="11906" w:h="16838" w:orient="portrait"/>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2026-09-09T09:26:44.062Z</dcterms:created>
  <dcterms:modified xsi:type="dcterms:W3CDTF">2026-09-09T09:26:44.062Z</dcterms:modified>
</cp:coreProperties>
</file>

<file path=docProps/custom.xml><?xml version="1.0" encoding="utf-8"?>
<Properties xmlns="http://schemas.openxmlformats.org/officeDocument/2006/custom-properties" xmlns:vt="http://schemas.openxmlformats.org/officeDocument/2006/docPropsVTypes"/>
</file>