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306"/>
        <w:tblBorders>
          <w:top w:val="single" w:color="808080" w:sz="6"/>
          <w:left w:val="single" w:color="808080" w:sz="6"/>
          <w:bottom w:val="single" w:color="808080" w:sz="6"/>
          <w:right w:val="single" w:color="808080" w:sz="6"/>
          <w:insideH w:val="single" w:color="auto" w:sz="4"/>
          <w:insideV w:val="single" w:color="auto" w:sz="4"/>
        </w:tblBorders>
      </w:tblPr>
      <w:tblGrid>
        <w:gridCol w:w="2700"/>
        <w:gridCol w:w="7606"/>
      </w:tblGrid>
      <w:tr>
        <w:trPr>
          <w:tblHeader/>
        </w:trPr>
        <w:tc>
          <w:tcPr>
            <w:tcW w:type="dxa" w:w="2700"/>
            <w:shd w:fill="7030A0" w:color="auto" w:val="clear"/>
            <w:tcMar>
              <w:top w:type="dxa" w:w="90"/>
              <w:left w:type="dxa" w:w="140"/>
              <w:bottom w:type="dxa" w:w="90"/>
              <w:right w:type="dxa" w:w="140"/>
            </w:tcMar>
          </w:tcPr>
          <w:p>
            <w:pPr>
              <w:spacing w:after="60"/>
            </w:pPr>
            <w:r>
              <w:rPr>
                <w:rFonts w:ascii="Calibri" w:cs="Calibri" w:eastAsia="Calibri" w:hAnsi="Calibri"/>
                <w:b/>
                <w:bCs/>
                <w:color w:val="FFC000"/>
                <w:sz w:val="22"/>
                <w:szCs w:val="22"/>
              </w:rPr>
              <w:t xml:space="preserve">Reading The Bone Sparrow</w:t>
            </w:r>
          </w:p>
        </w:tc>
        <w:tc>
          <w:tcPr>
            <w:tcW w:type="dxa" w:w="7606"/>
            <w:shd w:fill="7030A0" w:color="auto" w:val="clear"/>
            <w:tcMar>
              <w:top w:type="dxa" w:w="90"/>
              <w:left w:type="dxa" w:w="140"/>
              <w:bottom w:type="dxa" w:w="90"/>
              <w:right w:type="dxa" w:w="140"/>
            </w:tcMar>
          </w:tcPr>
          <w:p>
            <w:pPr>
              <w:spacing w:after="0"/>
              <w:jc w:val="center"/>
            </w:pPr>
            <w:r>
              <w:rPr>
                <w:rFonts w:ascii="Calibri" w:cs="Calibri" w:eastAsia="Calibri" w:hAnsi="Calibri"/>
                <w:b/>
                <w:bCs/>
                <w:color w:val="FFC000"/>
                <w:sz w:val="22"/>
                <w:szCs w:val="22"/>
              </w:rPr>
              <w:t xml:space="preserve">Analytical writing – CAT folio sitting</w:t>
            </w:r>
          </w:p>
        </w:tc>
      </w:tr>
      <w:tr>
        <w:tc>
          <w:tcPr>
            <w:tcW w:type="dxa" w:w="2700"/>
            <w:shd w:fill="FFFFFF" w:color="auto" w:val="clear"/>
            <w:tcMar>
              <w:top w:type="dxa" w:w="90"/>
              <w:left w:type="dxa" w:w="140"/>
              <w:bottom w:type="dxa" w:w="90"/>
              <w:right w:type="dxa" w:w="140"/>
            </w:tcMar>
          </w:tcPr>
          <w:p>
            <w:pPr>
              <w:spacing w:after="60"/>
            </w:pPr>
            <w:r>
              <w:rPr>
                <w:rFonts w:ascii="Calibri" w:cs="Calibri" w:eastAsia="Calibri" w:hAnsi="Calibri"/>
                <w:b/>
                <w:bCs/>
                <w:color w:val="000000"/>
                <w:sz w:val="22"/>
                <w:szCs w:val="22"/>
              </w:rPr>
              <w:t xml:space="preserve">Learning intention</w:t>
            </w:r>
          </w:p>
        </w:tc>
        <w:tc>
          <w:tcPr>
            <w:tcW w:type="dxa" w:w="7606"/>
            <w:shd w:fill="FFFFFF" w:color="auto" w:val="clear"/>
            <w:tcMar>
              <w:top w:type="dxa" w:w="90"/>
              <w:left w:type="dxa" w:w="140"/>
              <w:bottom w:type="dxa" w:w="90"/>
              <w:right w:type="dxa" w:w="140"/>
            </w:tcMar>
          </w:tcPr>
          <w:p>
            <w:pPr>
              <w:spacing w:after="60"/>
            </w:pPr>
            <w:r>
              <w:rPr>
                <w:rFonts w:ascii="Calibri" w:cs="Calibri" w:eastAsia="Calibri" w:hAnsi="Calibri"/>
                <w:color w:val="000000"/>
                <w:sz w:val="22"/>
                <w:szCs w:val="22"/>
              </w:rPr>
              <w:t xml:space="preserve">We are learning to write an analytical paragraph under test conditions.</w:t>
            </w:r>
          </w:p>
        </w:tc>
      </w:tr>
      <w:tr>
        <w:tc>
          <w:tcPr>
            <w:tcW w:type="dxa" w:w="2700"/>
            <w:shd w:fill="FFFFFF" w:color="auto" w:val="clear"/>
            <w:tcMar>
              <w:top w:type="dxa" w:w="90"/>
              <w:left w:type="dxa" w:w="140"/>
              <w:bottom w:type="dxa" w:w="90"/>
              <w:right w:type="dxa" w:w="140"/>
            </w:tcMar>
          </w:tcPr>
          <w:p>
            <w:pPr>
              <w:spacing w:after="60"/>
            </w:pPr>
            <w:r>
              <w:rPr>
                <w:rFonts w:ascii="Calibri" w:cs="Calibri" w:eastAsia="Calibri" w:hAnsi="Calibri"/>
                <w:b/>
                <w:bCs/>
                <w:color w:val="000000"/>
                <w:sz w:val="22"/>
                <w:szCs w:val="22"/>
              </w:rPr>
              <w:t xml:space="preserve">I will be successful when:</w:t>
            </w:r>
          </w:p>
        </w:tc>
        <w:tc>
          <w:tcPr>
            <w:tcW w:type="dxa" w:w="7606"/>
            <w:shd w:fill="FFFFFF" w:color="auto" w:val="clear"/>
            <w:tcMar>
              <w:top w:type="dxa" w:w="90"/>
              <w:left w:type="dxa" w:w="140"/>
              <w:bottom w:type="dxa" w:w="90"/>
              <w:right w:type="dxa" w:w="140"/>
            </w:tcMar>
          </w:tcPr>
          <w:p>
            <w:pPr>
              <w:spacing w:after="40"/>
              <w:ind w:left="300" w:hanging="200"/>
            </w:pPr>
            <w:r>
              <w:rPr>
                <w:rFonts w:ascii="Calibri" w:cs="Calibri" w:eastAsia="Calibri" w:hAnsi="Calibri"/>
                <w:color w:val="000000"/>
                <w:sz w:val="22"/>
                <w:szCs w:val="22"/>
              </w:rPr>
              <w:t xml:space="preserve">•	</w:t>
            </w:r>
            <w:r>
              <w:rPr>
                <w:rFonts w:ascii="Calibri" w:cs="Calibri" w:eastAsia="Calibri" w:hAnsi="Calibri"/>
                <w:color w:val="000000"/>
                <w:sz w:val="22"/>
                <w:szCs w:val="22"/>
              </w:rPr>
              <w:t xml:space="preserve">I have finished the introduction</w:t>
            </w:r>
          </w:p>
          <w:p>
            <w:pPr>
              <w:spacing w:after="40"/>
              <w:ind w:left="300" w:hanging="200"/>
            </w:pPr>
            <w:r>
              <w:rPr>
                <w:rFonts w:ascii="Calibri" w:cs="Calibri" w:eastAsia="Calibri" w:hAnsi="Calibri"/>
                <w:color w:val="000000"/>
                <w:sz w:val="22"/>
                <w:szCs w:val="22"/>
              </w:rPr>
              <w:t xml:space="preserve">•	</w:t>
            </w:r>
            <w:r>
              <w:rPr>
                <w:rFonts w:ascii="Calibri" w:cs="Calibri" w:eastAsia="Calibri" w:hAnsi="Calibri"/>
                <w:color w:val="000000"/>
                <w:sz w:val="22"/>
                <w:szCs w:val="22"/>
              </w:rPr>
              <w:t xml:space="preserve">I have written a TEEL paragraph of my own with an embedded quote</w:t>
            </w:r>
          </w:p>
          <w:p>
            <w:pPr>
              <w:spacing w:after="40"/>
              <w:ind w:left="300" w:hanging="200"/>
            </w:pPr>
            <w:r>
              <w:rPr>
                <w:rFonts w:ascii="Calibri" w:cs="Calibri" w:eastAsia="Calibri" w:hAnsi="Calibri"/>
                <w:color w:val="000000"/>
                <w:sz w:val="22"/>
                <w:szCs w:val="22"/>
              </w:rPr>
              <w:t xml:space="preserve">•	</w:t>
            </w:r>
            <w:r>
              <w:rPr>
                <w:rFonts w:ascii="Calibri" w:cs="Calibri" w:eastAsia="Calibri" w:hAnsi="Calibri"/>
                <w:color w:val="000000"/>
                <w:sz w:val="22"/>
                <w:szCs w:val="22"/>
              </w:rPr>
              <w:t xml:space="preserve">I have self scored my paragraph</w:t>
            </w:r>
          </w:p>
        </w:tc>
      </w:tr>
      <w:tr>
        <w:tc>
          <w:tcPr>
            <w:tcW w:type="dxa" w:w="2700"/>
            <w:shd w:fill="F4B6B6" w:color="auto" w:val="clear"/>
            <w:tcMar>
              <w:top w:type="dxa" w:w="90"/>
              <w:left w:type="dxa" w:w="140"/>
              <w:bottom w:type="dxa" w:w="90"/>
              <w:right w:type="dxa" w:w="140"/>
            </w:tcMar>
          </w:tcPr>
          <w:p>
            <w:pPr>
              <w:spacing w:after="60"/>
            </w:pPr>
            <w:r>
              <w:rPr>
                <w:rFonts w:ascii="Calibri" w:cs="Calibri" w:eastAsia="Calibri" w:hAnsi="Calibri"/>
                <w:b/>
                <w:bCs/>
                <w:color w:val="000000"/>
                <w:sz w:val="22"/>
                <w:szCs w:val="22"/>
              </w:rPr>
              <w:t xml:space="preserve">Develop and Discover</w:t>
            </w:r>
          </w:p>
        </w:tc>
        <w:tc>
          <w:tcPr>
            <w:tcW w:type="dxa" w:w="7606"/>
            <w:shd w:fill="FCE4E4" w:color="auto" w:val="clear"/>
            <w:tcMar>
              <w:top w:type="dxa" w:w="90"/>
              <w:left w:type="dxa" w:w="140"/>
              <w:bottom w:type="dxa" w:w="90"/>
              <w:right w:type="dxa" w:w="140"/>
            </w:tcMar>
          </w:tcPr>
          <w:p>
            <w:pPr>
              <w:spacing w:after="60"/>
            </w:pPr>
            <w:r>
              <w:rPr>
                <w:rFonts w:ascii="Calibri" w:cs="Calibri" w:eastAsia="Calibri" w:hAnsi="Calibri"/>
                <w:color w:val="000000"/>
                <w:sz w:val="22"/>
                <w:szCs w:val="22"/>
              </w:rPr>
              <w:t xml:space="preserve">Teacher to explain the test conditions. On the table: novel, dictionary, </w:t>
            </w:r>
            <w:hyperlink w:history="1" r:id="rIddtlo6mws3aj1umqauwh16">
              <w:r>
                <w:rPr>
                  <w:rFonts w:ascii="Calibri" w:cs="Calibri" w:eastAsia="Calibri" w:hAnsi="Calibri"/>
                  <w:color w:val="0563C1"/>
                  <w:sz w:val="22"/>
                  <w:szCs w:val="22"/>
                  <w:u w:val="single"/>
                </w:rPr>
                <w:t xml:space="preserve">quote-hunt sheet</w:t>
              </w:r>
            </w:hyperlink>
            <w:r>
              <w:rPr>
                <w:rFonts w:ascii="Calibri" w:cs="Calibri" w:eastAsia="Calibri" w:hAnsi="Calibri"/>
                <w:color w:val="000000"/>
                <w:sz w:val="22"/>
                <w:szCs w:val="22"/>
              </w:rPr>
              <w:t xml:space="preserve">, one page of notes. No pre-written paragraphs or essays. 40 minutes. No help with drafting.</w:t>
            </w:r>
          </w:p>
          <w:p>
            <w:pPr>
              <w:spacing w:after="0"/>
            </w:pPr>
            <w:r>
              <w:rPr>
                <w:rFonts w:ascii="Calibri" w:cs="Calibri" w:eastAsia="Calibri" w:hAnsi="Calibri"/>
                <w:color w:val="000000"/>
                <w:sz w:val="22"/>
                <w:szCs w:val="22"/>
              </w:rPr>
              <w:t xml:space="preserve">Hand out the task: two sheets, four pages. This lesson runs three times, one task each. Task sheet, cover and rubric are in the same file: </w:t>
            </w:r>
            <w:hyperlink w:history="1" r:id="rIdwn0ushyzlo82cs9l4gk1x">
              <w:r>
                <w:rPr>
                  <w:rFonts w:ascii="Calibri" w:cs="Calibri" w:eastAsia="Calibri" w:hAnsi="Calibri"/>
                  <w:color w:val="0563C1"/>
                  <w:sz w:val="22"/>
                  <w:szCs w:val="22"/>
                  <w:u w:val="single"/>
                </w:rPr>
                <w:t xml:space="preserve">idea colours</w:t>
              </w:r>
            </w:hyperlink>
            <w:r>
              <w:rPr>
                <w:rFonts w:ascii="Calibri" w:cs="Calibri" w:eastAsia="Calibri" w:hAnsi="Calibri"/>
                <w:color w:val="000000"/>
                <w:sz w:val="22"/>
                <w:szCs w:val="22"/>
              </w:rPr>
              <w:t xml:space="preserve"> or </w:t>
            </w:r>
            <w:hyperlink w:history="1" r:id="rIdyxjdbiws2avvvngbmttbh">
              <w:r>
                <w:rPr>
                  <w:rFonts w:ascii="Calibri" w:cs="Calibri" w:eastAsia="Calibri" w:hAnsi="Calibri"/>
                  <w:color w:val="0563C1"/>
                  <w:sz w:val="22"/>
                  <w:szCs w:val="22"/>
                  <w:u w:val="single"/>
                </w:rPr>
                <w:t xml:space="preserve">one colour per sentence</w:t>
              </w:r>
            </w:hyperlink>
            <w:r>
              <w:rPr>
                <w:rFonts w:ascii="Calibri" w:cs="Calibri" w:eastAsia="Calibri" w:hAnsi="Calibri"/>
                <w:color w:val="000000"/>
                <w:sz w:val="22"/>
                <w:szCs w:val="22"/>
              </w:rPr>
              <w:t xml:space="preserve">.</w:t>
            </w:r>
          </w:p>
        </w:tc>
      </w:tr>
      <w:tr>
        <w:tc>
          <w:tcPr>
            <w:tcW w:type="dxa" w:w="2700"/>
            <w:shd w:fill="9DC3E6" w:color="auto" w:val="clear"/>
            <w:tcMar>
              <w:top w:type="dxa" w:w="90"/>
              <w:left w:type="dxa" w:w="140"/>
              <w:bottom w:type="dxa" w:w="90"/>
              <w:right w:type="dxa" w:w="140"/>
            </w:tcMar>
          </w:tcPr>
          <w:p>
            <w:pPr>
              <w:spacing w:after="60"/>
            </w:pPr>
            <w:r>
              <w:rPr>
                <w:rFonts w:ascii="Calibri" w:cs="Calibri" w:eastAsia="Calibri" w:hAnsi="Calibri"/>
                <w:b/>
                <w:bCs/>
                <w:color w:val="000000"/>
                <w:sz w:val="22"/>
                <w:szCs w:val="22"/>
              </w:rPr>
              <w:t xml:space="preserve">Apply</w:t>
            </w:r>
          </w:p>
        </w:tc>
        <w:tc>
          <w:tcPr>
            <w:tcW w:type="dxa" w:w="7606"/>
            <w:shd w:fill="DEEBF7" w:color="auto" w:val="clear"/>
            <w:tcMar>
              <w:top w:type="dxa" w:w="90"/>
              <w:left w:type="dxa" w:w="140"/>
              <w:bottom w:type="dxa" w:w="90"/>
              <w:right w:type="dxa" w:w="140"/>
            </w:tcMar>
          </w:tcPr>
          <w:p>
            <w:pPr>
              <w:spacing w:after="60"/>
            </w:pPr>
            <w:r>
              <w:rPr>
                <w:rFonts w:ascii="Calibri" w:cs="Calibri" w:eastAsia="Calibri" w:hAnsi="Calibri"/>
                <w:color w:val="000000"/>
                <w:sz w:val="22"/>
                <w:szCs w:val="22"/>
              </w:rPr>
              <w:t xml:space="preserve">Students complete the booklet:</w:t>
            </w:r>
          </w:p>
          <w:p>
            <w:pPr>
              <w:spacing w:after="40"/>
              <w:ind w:left="300" w:hanging="200"/>
            </w:pPr>
            <w:r>
              <w:rPr>
                <w:rFonts w:ascii="Calibri" w:cs="Calibri" w:eastAsia="Calibri" w:hAnsi="Calibri"/>
                <w:color w:val="000000"/>
                <w:sz w:val="22"/>
                <w:szCs w:val="22"/>
              </w:rPr>
              <w:t xml:space="preserve">•	</w:t>
            </w:r>
            <w:r>
              <w:rPr>
                <w:rFonts w:ascii="Calibri" w:cs="Calibri" w:eastAsia="Calibri" w:hAnsi="Calibri"/>
                <w:color w:val="000000"/>
                <w:sz w:val="22"/>
                <w:szCs w:val="22"/>
              </w:rPr>
              <w:t xml:space="preserve">Finish the introduction</w:t>
            </w:r>
          </w:p>
          <w:p>
            <w:pPr>
              <w:spacing w:after="40"/>
              <w:ind w:left="300" w:hanging="200"/>
            </w:pPr>
            <w:r>
              <w:rPr>
                <w:rFonts w:ascii="Calibri" w:cs="Calibri" w:eastAsia="Calibri" w:hAnsi="Calibri"/>
                <w:color w:val="000000"/>
                <w:sz w:val="22"/>
                <w:szCs w:val="22"/>
              </w:rPr>
              <w:t xml:space="preserve">•	</w:t>
            </w:r>
            <w:r>
              <w:rPr>
                <w:rFonts w:ascii="Calibri" w:cs="Calibri" w:eastAsia="Calibri" w:hAnsi="Calibri"/>
                <w:color w:val="000000"/>
                <w:sz w:val="22"/>
                <w:szCs w:val="22"/>
              </w:rPr>
              <w:t xml:space="preserve">Read paragraph 1</w:t>
            </w:r>
          </w:p>
          <w:p>
            <w:pPr>
              <w:spacing w:after="40"/>
              <w:ind w:left="300" w:hanging="200"/>
            </w:pPr>
            <w:r>
              <w:rPr>
                <w:rFonts w:ascii="Calibri" w:cs="Calibri" w:eastAsia="Calibri" w:hAnsi="Calibri"/>
                <w:color w:val="000000"/>
                <w:sz w:val="22"/>
                <w:szCs w:val="22"/>
              </w:rPr>
              <w:t xml:space="preserve">•	</w:t>
            </w:r>
            <w:r>
              <w:rPr>
                <w:rFonts w:ascii="Calibri" w:cs="Calibri" w:eastAsia="Calibri" w:hAnsi="Calibri"/>
                <w:color w:val="000000"/>
                <w:sz w:val="22"/>
                <w:szCs w:val="22"/>
              </w:rPr>
              <w:t xml:space="preserve">Write paragraph 2</w:t>
            </w:r>
          </w:p>
          <w:p>
            <w:pPr>
              <w:spacing w:after="40"/>
              <w:ind w:left="300" w:hanging="200"/>
            </w:pPr>
            <w:r>
              <w:rPr>
                <w:rFonts w:ascii="Calibri" w:cs="Calibri" w:eastAsia="Calibri" w:hAnsi="Calibri"/>
                <w:color w:val="000000"/>
                <w:sz w:val="22"/>
                <w:szCs w:val="22"/>
              </w:rPr>
              <w:t xml:space="preserve">•	</w:t>
            </w:r>
            <w:r>
              <w:rPr>
                <w:rFonts w:ascii="Calibri" w:cs="Calibri" w:eastAsia="Calibri" w:hAnsi="Calibri"/>
                <w:color w:val="000000"/>
                <w:sz w:val="22"/>
                <w:szCs w:val="22"/>
              </w:rPr>
              <w:t xml:space="preserve">Finish the conclusion</w:t>
            </w:r>
          </w:p>
        </w:tc>
      </w:tr>
      <w:tr>
        <w:tc>
          <w:tcPr>
            <w:tcW w:type="dxa" w:w="2700"/>
            <w:shd w:fill="9DC3E6" w:color="auto" w:val="clear"/>
            <w:tcMar>
              <w:top w:type="dxa" w:w="90"/>
              <w:left w:type="dxa" w:w="140"/>
              <w:bottom w:type="dxa" w:w="90"/>
              <w:right w:type="dxa" w:w="140"/>
            </w:tcMar>
          </w:tcPr>
          <w:p>
            <w:pPr>
              <w:spacing w:after="60"/>
            </w:pPr>
            <w:r>
              <w:rPr>
                <w:rFonts w:ascii="Calibri" w:cs="Calibri" w:eastAsia="Calibri" w:hAnsi="Calibri"/>
                <w:b/>
                <w:bCs/>
                <w:color w:val="000000"/>
                <w:sz w:val="22"/>
                <w:szCs w:val="22"/>
              </w:rPr>
              <w:t xml:space="preserve">Explore and extend</w:t>
            </w:r>
          </w:p>
        </w:tc>
        <w:tc>
          <w:tcPr>
            <w:tcW w:type="dxa" w:w="7606"/>
            <w:shd w:fill="DEEBF7" w:color="auto" w:val="clear"/>
            <w:tcMar>
              <w:top w:type="dxa" w:w="90"/>
              <w:left w:type="dxa" w:w="140"/>
              <w:bottom w:type="dxa" w:w="90"/>
              <w:right w:type="dxa" w:w="140"/>
            </w:tcMar>
          </w:tcPr>
          <w:p>
            <w:pPr>
              <w:spacing w:after="60"/>
            </w:pPr>
            <w:r>
              <w:rPr>
                <w:rFonts w:ascii="Calibri" w:cs="Calibri" w:eastAsia="Calibri" w:hAnsi="Calibri"/>
                <w:color w:val="000000"/>
                <w:sz w:val="22"/>
                <w:szCs w:val="22"/>
              </w:rPr>
              <w:t xml:space="preserve">Students write paragraph 3, or a third piece of evidence in paragraph 2.</w:t>
            </w:r>
          </w:p>
        </w:tc>
      </w:tr>
      <w:tr>
        <w:tc>
          <w:tcPr>
            <w:tcW w:type="dxa" w:w="2700"/>
            <w:shd w:fill="FFE699" w:color="auto" w:val="clear"/>
            <w:tcMar>
              <w:top w:type="dxa" w:w="90"/>
              <w:left w:type="dxa" w:w="140"/>
              <w:bottom w:type="dxa" w:w="90"/>
              <w:right w:type="dxa" w:w="140"/>
            </w:tcMar>
          </w:tcPr>
          <w:p>
            <w:pPr>
              <w:spacing w:after="60"/>
            </w:pPr>
            <w:r>
              <w:rPr>
                <w:rFonts w:ascii="Calibri" w:cs="Calibri" w:eastAsia="Calibri" w:hAnsi="Calibri"/>
                <w:b/>
                <w:bCs/>
                <w:color w:val="000000"/>
                <w:sz w:val="22"/>
                <w:szCs w:val="22"/>
              </w:rPr>
              <w:t xml:space="preserve">Review and reflect:</w:t>
            </w:r>
          </w:p>
        </w:tc>
        <w:tc>
          <w:tcPr>
            <w:tcW w:type="dxa" w:w="7606"/>
            <w:shd w:fill="FFF2CC" w:color="auto" w:val="clear"/>
            <w:tcMar>
              <w:top w:type="dxa" w:w="90"/>
              <w:left w:type="dxa" w:w="140"/>
              <w:bottom w:type="dxa" w:w="90"/>
              <w:right w:type="dxa" w:w="140"/>
            </w:tcMar>
          </w:tcPr>
          <w:p>
            <w:pPr>
              <w:spacing w:after="60"/>
            </w:pPr>
            <w:r>
              <w:rPr>
                <w:rFonts w:ascii="Calibri" w:cs="Calibri" w:eastAsia="Calibri" w:hAnsi="Calibri"/>
                <w:color w:val="000000"/>
                <w:sz w:val="22"/>
                <w:szCs w:val="22"/>
              </w:rPr>
              <w:t xml:space="preserve">Students self score on the last page of the booklet and write one thing to do better next time. Teacher feedback goes in the box below it before the next sitting.</w:t>
            </w:r>
          </w:p>
        </w:tc>
      </w:tr>
      <w:tr>
        <w:tc>
          <w:tcPr>
            <w:tcW w:type="dxa" w:w="2700"/>
            <w:shd w:fill="FFFFFF" w:color="auto" w:val="clear"/>
            <w:tcMar>
              <w:top w:type="dxa" w:w="90"/>
              <w:left w:type="dxa" w:w="140"/>
              <w:bottom w:type="dxa" w:w="90"/>
              <w:right w:type="dxa" w:w="140"/>
            </w:tcMar>
          </w:tcPr>
          <w:p>
            <w:pPr>
              <w:spacing w:after="60"/>
            </w:pPr>
            <w:r>
              <w:rPr>
                <w:rFonts w:ascii="Calibri" w:cs="Calibri" w:eastAsia="Calibri" w:hAnsi="Calibri"/>
                <w:b/>
                <w:bCs/>
                <w:color w:val="000000"/>
                <w:sz w:val="22"/>
                <w:szCs w:val="22"/>
              </w:rPr>
              <w:t xml:space="preserve">You will need</w:t>
            </w:r>
          </w:p>
        </w:tc>
        <w:tc>
          <w:tcPr>
            <w:tcW w:type="dxa" w:w="7606"/>
            <w:shd w:fill="FFFFFF" w:color="auto" w:val="clear"/>
            <w:tcMar>
              <w:top w:type="dxa" w:w="90"/>
              <w:left w:type="dxa" w:w="140"/>
              <w:bottom w:type="dxa" w:w="90"/>
              <w:right w:type="dxa" w:w="140"/>
            </w:tcMar>
          </w:tcPr>
          <w:p>
            <w:pPr>
              <w:spacing w:after="60"/>
            </w:pPr>
            <w:r>
              <w:rPr>
                <w:rFonts w:ascii="Calibri" w:cs="Calibri" w:eastAsia="Calibri" w:hAnsi="Calibri"/>
                <w:color w:val="000000"/>
                <w:sz w:val="22"/>
                <w:szCs w:val="22"/>
              </w:rPr>
              <w:t xml:space="preserve">Your copy of </w:t>
            </w:r>
            <w:r>
              <w:rPr>
                <w:rFonts w:ascii="Calibri" w:cs="Calibri" w:eastAsia="Calibri" w:hAnsi="Calibri"/>
                <w:i/>
                <w:iCs/>
                <w:color w:val="000000"/>
                <w:sz w:val="22"/>
                <w:szCs w:val="22"/>
              </w:rPr>
              <w:t xml:space="preserve">The Bone Sparrow</w:t>
            </w:r>
          </w:p>
          <w:p>
            <w:pPr>
              <w:spacing w:after="60"/>
            </w:pPr>
            <w:r>
              <w:rPr>
                <w:rFonts w:ascii="Calibri" w:cs="Calibri" w:eastAsia="Calibri" w:hAnsi="Calibri"/>
                <w:color w:val="000000"/>
                <w:sz w:val="22"/>
                <w:szCs w:val="22"/>
              </w:rPr>
              <w:t xml:space="preserve">Dictionary</w:t>
            </w:r>
          </w:p>
          <w:p>
            <w:pPr>
              <w:spacing w:after="60"/>
            </w:pPr>
            <w:hyperlink w:history="1" r:id="rIdvsmm92q3y0xs_nfqkbvsq">
              <w:r>
                <w:rPr>
                  <w:rFonts w:ascii="Calibri" w:cs="Calibri" w:eastAsia="Calibri" w:hAnsi="Calibri"/>
                  <w:color w:val="0563C1"/>
                  <w:sz w:val="22"/>
                  <w:szCs w:val="22"/>
                  <w:u w:val="single"/>
                </w:rPr>
                <w:t xml:space="preserve">Quote-hunt sheet</w:t>
              </w:r>
            </w:hyperlink>
          </w:p>
          <w:p>
            <w:pPr>
              <w:spacing w:after="60"/>
            </w:pPr>
            <w:r>
              <w:rPr>
                <w:rFonts w:ascii="Calibri" w:cs="Calibri" w:eastAsia="Calibri" w:hAnsi="Calibri"/>
                <w:color w:val="000000"/>
                <w:sz w:val="22"/>
                <w:szCs w:val="22"/>
              </w:rPr>
              <w:t xml:space="preserve">One page of notes</w:t>
            </w:r>
          </w:p>
          <w:p>
            <w:pPr>
              <w:spacing w:after="0"/>
            </w:pPr>
            <w:hyperlink w:history="1" r:id="rIdels7hom866a9vecw3pcpy">
              <w:r>
                <w:rPr>
                  <w:rFonts w:ascii="Calibri" w:cs="Calibri" w:eastAsia="Calibri" w:hAnsi="Calibri"/>
                  <w:color w:val="0563C1"/>
                  <w:sz w:val="22"/>
                  <w:szCs w:val="22"/>
                  <w:u w:val="single"/>
                </w:rPr>
                <w:t xml:space="preserve">CAT folio, idea colours</w:t>
              </w:r>
            </w:hyperlink>
            <w:r>
              <w:rPr>
                <w:rFonts w:ascii="Calibri" w:cs="Calibri" w:eastAsia="Calibri" w:hAnsi="Calibri"/>
                <w:color w:val="000000"/>
                <w:sz w:val="22"/>
                <w:szCs w:val="22"/>
              </w:rPr>
              <w:t xml:space="preserve">  ·  </w:t>
            </w:r>
            <w:hyperlink w:history="1" r:id="rIdqrm98bml9sv9p4rcbhks-">
              <w:r>
                <w:rPr>
                  <w:rFonts w:ascii="Calibri" w:cs="Calibri" w:eastAsia="Calibri" w:hAnsi="Calibri"/>
                  <w:color w:val="0563C1"/>
                  <w:sz w:val="22"/>
                  <w:szCs w:val="22"/>
                  <w:u w:val="single"/>
                </w:rPr>
                <w:t xml:space="preserve">one colour per sentence</w:t>
              </w:r>
            </w:hyperlink>
          </w:p>
        </w:tc>
      </w:tr>
    </w:tbl>
    <w:sectPr>
      <w:pgSz w:w="11906" w:h="16838"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tlo6mws3aj1umqauwh16" Type="http://schemas.openxmlformats.org/officeDocument/2006/relationships/hyperlink" Target="https://liaminhawai-cmd.github.io/Bone-Sparrow/BoneSparrow-quote-hunt.docx" TargetMode="External"/><Relationship Id="rIdwn0ushyzlo82cs9l4gk1x" Type="http://schemas.openxmlformats.org/officeDocument/2006/relationships/hyperlink" Target="https://liaminhawai-cmd.github.io/Bone-Sparrow/BoneSparrow-CAT-folio-ideas.docx" TargetMode="External"/><Relationship Id="rIdyxjdbiws2avvvngbmttbh" Type="http://schemas.openxmlformats.org/officeDocument/2006/relationships/hyperlink" Target="https://liaminhawai-cmd.github.io/Bone-Sparrow/BoneSparrow-CAT-folio-sentences.docx" TargetMode="External"/><Relationship Id="rIdvsmm92q3y0xs_nfqkbvsq" Type="http://schemas.openxmlformats.org/officeDocument/2006/relationships/hyperlink" Target="https://liaminhawai-cmd.github.io/Bone-Sparrow/BoneSparrow-quote-hunt.docx" TargetMode="External"/><Relationship Id="rIdels7hom866a9vecw3pcpy" Type="http://schemas.openxmlformats.org/officeDocument/2006/relationships/hyperlink" Target="https://liaminhawai-cmd.github.io/Bone-Sparrow/BoneSparrow-CAT-folio-ideas.docx" TargetMode="External"/><Relationship Id="rIdqrm98bml9sv9p4rcbhks-" Type="http://schemas.openxmlformats.org/officeDocument/2006/relationships/hyperlink" Target="https://liaminhawai-cmd.github.io/Bone-Sparrow/BoneSparrow-CAT-folio-sentences.docx"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2026-09-11T09:18:24.952Z</dcterms:created>
  <dcterms:modified xsi:type="dcterms:W3CDTF">2026-09-11T09:18:24.952Z</dcterms:modified>
</cp:coreProperties>
</file>

<file path=docProps/custom.xml><?xml version="1.0" encoding="utf-8"?>
<Properties xmlns="http://schemas.openxmlformats.org/officeDocument/2006/custom-properties" xmlns:vt="http://schemas.openxmlformats.org/officeDocument/2006/docPropsVTypes"/>
</file>