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12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folio task 1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‘But reading is important.’ (p39) Discuss how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  <w:shd w:fill="D6EAFC" w:val="clear"/>
              </w:rPr>
              <w:t xml:space="preserve">stories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  <w:shd w:fill="D6EAFC" w:val="clear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are important for characters in The Bone Sparrow.</w:t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Introduction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447C"/>
          <w:sz w:val="20"/>
          <w:szCs w:val="20"/>
          <w:shd w:fill="D6EAFC" w:val="clear"/>
        </w:rPr>
        <w:t xml:space="preserve">  idea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A4B12"/>
          <w:sz w:val="20"/>
          <w:szCs w:val="20"/>
          <w:shd w:fill="FAE3CF" w:val="clear"/>
        </w:rPr>
        <w:t xml:space="preserve">  verb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7A5A00"/>
          <w:sz w:val="20"/>
          <w:szCs w:val="20"/>
          <w:shd w:fill="FFF3B0" w:val="clear"/>
        </w:rPr>
        <w:t xml:space="preserve">  evidence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F5C33"/>
          <w:sz w:val="20"/>
          <w:szCs w:val="20"/>
          <w:shd w:fill="DFF0E2" w:val="clear"/>
        </w:rPr>
        <w:t xml:space="preserve">  purpose  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Stories and imagination matter to the characters in The Bone Sparrow because they are the one thing the camp cannot take off them.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Fraillon shows this first through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  <w:shd w:fill="D6EAFC" w:val="clear"/>
              </w:rPr>
              <w:t xml:space="preserve">the way a story can change how Subhi feels even though nothing around him has changed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She also shows it through</w:t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16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and through</w:t>
            </w: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     if you get there</w:t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The model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T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0"/>
            </w:tblGrid>
            <w:tr>
              <w:trPr>
                <w:trHeight w:val="160" w:hRule="exact"/>
              </w:trPr>
              <w:tc>
                <w:tcPr>
                  <w:tcW w:type="dxa" w:w="5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Stories cannot get Subhi out of the camp, but they change how he feels inside it.</w:t>
            </w:r>
          </w:p>
        </w:tc>
      </w:tr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When Jimmie brings her mother’s book, </w:t>
            </w:r>
            <w:r>
              <w:rPr>
                <w:rFonts w:ascii="Georgia" w:cs="Georgia" w:eastAsia="Georgia" w:hAnsi="Georgia"/>
                <w:b/>
                <w:bCs/>
                <w:color w:val="7A5A00"/>
                <w:sz w:val="23"/>
                <w:szCs w:val="23"/>
                <w:shd w:fill="FFF3B0" w:val="clear"/>
              </w:rPr>
              <w:t xml:space="preserve">“knowing that Jimmie has a whole real book in her hands gives me a sort of brave that I haven’t felt since Eli got taken.”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 This </w:t>
            </w:r>
            <w:r>
              <w:rPr>
                <w:rFonts w:ascii="Georgia" w:cs="Georgia" w:eastAsia="Georgia" w:hAnsi="Georgia"/>
                <w:b/>
                <w:bCs/>
                <w:color w:val="8A4B12"/>
                <w:sz w:val="23"/>
                <w:szCs w:val="23"/>
                <w:shd w:fill="FAE3CF" w:val="clear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 that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a story gives Subhi back a courage he had lost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, which </w:t>
            </w:r>
            <w:r>
              <w:rPr>
                <w:rFonts w:ascii="Georgia" w:cs="Georgia" w:eastAsia="Georgia" w:hAnsi="Georgia"/>
                <w:b/>
                <w:bCs/>
                <w:color w:val="1F5C33"/>
                <w:sz w:val="23"/>
                <w:szCs w:val="23"/>
                <w:shd w:fill="DFF0E2" w:val="clear"/>
              </w:rPr>
              <w:t xml:space="preserve">makes the reader see that being brave is something a story can hand you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</w:t>
            </w:r>
          </w:p>
        </w:tc>
      </w:tr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At night the ground outside his tent </w:t>
            </w:r>
            <w:r>
              <w:rPr>
                <w:rFonts w:ascii="Georgia" w:cs="Georgia" w:eastAsia="Georgia" w:hAnsi="Georgia"/>
                <w:b/>
                <w:bCs/>
                <w:color w:val="7A5A00"/>
                <w:sz w:val="23"/>
                <w:szCs w:val="23"/>
                <w:shd w:fill="FFF3B0" w:val="clear"/>
              </w:rPr>
              <w:t xml:space="preserve">“turns into a beautiful ocean”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 This </w:t>
            </w:r>
            <w:r>
              <w:rPr>
                <w:rFonts w:ascii="Georgia" w:cs="Georgia" w:eastAsia="Georgia" w:hAnsi="Georgia"/>
                <w:b/>
                <w:bCs/>
                <w:color w:val="8A4B12"/>
                <w:sz w:val="23"/>
                <w:szCs w:val="23"/>
                <w:shd w:fill="FAE3CF" w:val="clear"/>
              </w:rPr>
              <w:t xml:space="preserve">suggests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 that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nothing about the camp has changed, only what Subhi is able to see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, which </w:t>
            </w:r>
            <w:r>
              <w:rPr>
                <w:rFonts w:ascii="Georgia" w:cs="Georgia" w:eastAsia="Georgia" w:hAnsi="Georgia"/>
                <w:b/>
                <w:bCs/>
                <w:color w:val="1F5C33"/>
                <w:sz w:val="23"/>
                <w:szCs w:val="23"/>
                <w:shd w:fill="DFF0E2" w:val="clear"/>
              </w:rPr>
              <w:t xml:space="preserve">makes the reader understand why he holds on to the Night Sea so tightly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</w:t>
            </w:r>
          </w:p>
        </w:tc>
      </w:tr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So stories and imagination never unlock the fence: they give Subhi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courage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 and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somewhere to go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, and that is </w:t>
            </w:r>
            <w:r>
              <w:rPr>
                <w:rFonts w:ascii="Georgia" w:cs="Georgia" w:eastAsia="Georgia" w:hAnsi="Georgia"/>
                <w:b/>
                <w:bCs/>
                <w:color w:val="1F5C33"/>
                <w:sz w:val="23"/>
                <w:szCs w:val="23"/>
                <w:shd w:fill="DFF0E2" w:val="clear"/>
              </w:rPr>
              <w:t xml:space="preserve">what keeps him going when nothing outside him changes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Your paragraph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T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0"/>
            </w:tblGrid>
            <w:tr>
              <w:trPr>
                <w:trHeight w:val="160" w:hRule="exact"/>
              </w:trPr>
              <w:tc>
                <w:tcPr>
                  <w:tcW w:type="dxa" w:w="5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645D5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if you get there</w:t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Another paragraph</w:t>
      </w:r>
    </w:p>
    <w:p>
      <w:pPr>
        <w:spacing w:after="100"/>
      </w:pPr>
      <w:r>
        <w:rPr>
          <w:rFonts w:ascii="Calibri" w:cs="Calibri" w:eastAsia="Calibri" w:hAnsi="Calibri"/>
          <w:color w:val="645D54"/>
          <w:sz w:val="18"/>
          <w:szCs w:val="18"/>
        </w:rPr>
        <w:t xml:space="preserve">If you get there.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T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0"/>
            </w:tblGrid>
            <w:tr>
              <w:trPr>
                <w:trHeight w:val="160" w:hRule="exact"/>
              </w:trPr>
              <w:tc>
                <w:tcPr>
                  <w:tcW w:type="dxa" w:w="5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645D5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if you get there</w:t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Conclusion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So The Bone Sparrow shows that … — no new quotes</w:t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How did it go?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2600"/>
        <w:gridCol w:w="4006"/>
        <w:gridCol w:w="1100"/>
        <w:gridCol w:w="1100"/>
        <w:gridCol w:w="11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/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>NOT YET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>NEARLY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>YES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D6E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</w:rPr>
              <w:t xml:space="preserve">My idea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 said something about the novel, not just what happens.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AE3C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8A4B12"/>
                <w:sz w:val="22"/>
                <w:szCs w:val="22"/>
              </w:rPr>
              <w:t xml:space="preserve">My verb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 used a verb that does the thinking — shows, reveals, suggests.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FF3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7A5A00"/>
                <w:sz w:val="22"/>
                <w:szCs w:val="22"/>
              </w:rPr>
              <w:t xml:space="preserve">My evidence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My quote sits inside my own sentence, and it fits my idea.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DFF0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F5C33"/>
                <w:sz w:val="22"/>
                <w:szCs w:val="22"/>
              </w:rPr>
              <w:t xml:space="preserve">The effect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 explained what Fraillon’s writing does to the reader.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D6E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</w:rPr>
              <w:t xml:space="preserve">My paragraph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It starts with my idea, and the last sentence links back and says more.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Georgia" w:cs="Georgia" w:eastAsia="Georgia" w:hAnsi="Georgia"/>
          <w:color w:val="1E211F"/>
          <w:sz w:val="22"/>
          <w:szCs w:val="22"/>
        </w:rPr>
        <w:t xml:space="preserve"/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9"/>
                <w:szCs w:val="19"/>
              </w:rPr>
              <w:t xml:space="preserve">One thing I will do better next time</w:t>
            </w:r>
          </w:p>
        </w:tc>
      </w:tr>
      <w:tr>
        <w:trPr>
          <w:trHeight w:val="900" w:hRule="atLeast"/>
        </w:trPr>
        <w:tc>
          <w:tcPr>
            <w:tcW w:type="dxa" w:w="9906"/>
            <w:tcMar>
              <w:top w:type="dxa" w:w="100"/>
              <w:left w:type="dxa" w:w="200"/>
              <w:bottom w:type="dxa" w:w="100"/>
              <w:right w:type="dxa" w:w="200"/>
            </w:tcMar>
          </w:tcPr>
          <w:p/>
        </w:tc>
      </w:tr>
    </w:tbl>
    <w:p>
      <w:pPr>
        <w:spacing w:after="120"/>
      </w:pPr>
      <w:r>
        <w:rPr>
          <w:rFonts w:ascii="Georgia" w:cs="Georgia" w:eastAsia="Georgia" w:hAnsi="Georgia"/>
          <w:color w:val="1E211F"/>
          <w:sz w:val="22"/>
          <w:szCs w:val="22"/>
        </w:rPr>
        <w:t xml:space="preserve"/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9"/>
                <w:szCs w:val="19"/>
              </w:rPr>
              <w:t xml:space="preserve">Teacher feedback</w:t>
            </w:r>
          </w:p>
        </w:tc>
      </w:tr>
      <w:tr>
        <w:trPr>
          <w:trHeight w:val="1500" w:hRule="atLeast"/>
        </w:trPr>
        <w:tc>
          <w:tcPr>
            <w:tcW w:type="dxa" w:w="9906"/>
            <w:tcMar>
              <w:top w:type="dxa" w:w="100"/>
              <w:left w:type="dxa" w:w="200"/>
              <w:bottom w:type="dxa" w:w="100"/>
              <w:right w:type="dxa" w:w="200"/>
            </w:tcMar>
          </w:tcPr>
          <w:p/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2026-09-09T11:28:00.247Z</dcterms:created>
  <dcterms:modified xsi:type="dcterms:W3CDTF">2026-09-09T11:28:00.499Z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