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9917A"/>
                <w:sz w:val="21"/>
                <w:szCs w:val="21"/>
              </w:rPr>
              <w:t xml:space="preserve">Fraillon shows this first through the objects he keeps.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The bone sparrow necklace is an object that keeps the characters connected to their past.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In Jimmie’s story, Mirka gives Oto the necklace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Subhi’s coin works the same way: Queeny tells him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objects, Fraillon suggests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9917A"/>
                <w:sz w:val="21"/>
                <w:szCs w:val="21"/>
              </w:rPr>
              <w:t xml:space="preserve">Fraillon shows this first through the fence between the people inside the centre and the people outside it.</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Fraillon uses the fence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Subhi admits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Jimmie is the one who brings the outside in: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By putting the two of them on opposite sides of the same fence, Fraillon suggests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9917A"/>
                <w:sz w:val="21"/>
                <w:szCs w:val="21"/>
              </w:rPr>
              <w:t xml:space="preserve">Fraillon shows this first through the stories Maá tells and the book Jimmie carries.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Stories are how the characters in the centre keep going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Maá’s “Listen Now” stories are the thing Subhi remembers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When Jimmie brings her mother’s book, Subhi feels “a sort of brave that I haven’t felt since Eli got taken” (ch. 10)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stories, Fraillon suggests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2026-09-11T09:03:17.942Z</dcterms:created>
  <dcterms:modified xsi:type="dcterms:W3CDTF">2026-09-11T09:03:17.942Z</dcterms:modified>
</cp:coreProperties>
</file>

<file path=docProps/custom.xml><?xml version="1.0" encoding="utf-8"?>
<Properties xmlns="http://schemas.openxmlformats.org/officeDocument/2006/custom-properties" xmlns:vt="http://schemas.openxmlformats.org/officeDocument/2006/docPropsVTypes"/>
</file>