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Text Response</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B</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In one period you write a three paragraph response to a prompt about The Bone Sparrow. The first paragraph is already written for you and the introduction and conclusion are started, sentence by sentence. You write the second and third paragraphs.</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One period to prepare your notes, in the lesson before.</w:t>
      </w:r>
    </w:p>
    <w:p>
      <w:pPr>
        <w:spacing w:after="80"/>
        <w:ind w:left="400" w:hanging="220"/>
      </w:pPr>
      <w:r>
        <w:rPr>
          <w:rFonts w:ascii="Arial" w:cs="Arial" w:eastAsia="Arial" w:hAnsi="Arial"/>
          <w:sz w:val="24"/>
          <w:szCs w:val="24"/>
        </w:rPr>
        <w:t xml:space="preserve">•	One period to write. You will be told when there are ten minutes left.</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Your teacher does not help you draft.</w:t>
      </w:r>
    </w:p>
    <w:p>
      <w:pPr>
        <w:spacing w:after="80"/>
        <w:ind w:left="400" w:hanging="220"/>
      </w:pPr>
      <w:r>
        <w:rPr>
          <w:rFonts w:ascii="Arial" w:cs="Arial" w:eastAsia="Arial" w:hAnsi="Arial"/>
          <w:sz w:val="24"/>
          <w:szCs w:val="24"/>
        </w:rPr>
        <w:t xml:space="preserve">•	On your desk: your copy of the novel, one page of your own notes, and the analytical writing wall.</w:t>
      </w:r>
    </w:p>
    <w:p>
      <w:pPr>
        <w:spacing w:after="80"/>
        <w:ind w:left="400" w:hanging="220"/>
      </w:pPr>
      <w:r>
        <w:rPr>
          <w:rFonts w:ascii="Arial" w:cs="Arial" w:eastAsia="Arial" w:hAnsi="Arial"/>
          <w:sz w:val="24"/>
          <w:szCs w:val="24"/>
        </w:rPr>
        <w:t xml:space="preserve">•	The prompt is given at the start of the period. It is one of the three below.</w:t>
      </w:r>
    </w:p>
    <w:p>
      <w:pPr>
        <w:spacing w:after="80" w:before="220"/>
      </w:pPr>
      <w:r>
        <w:rPr>
          <w:rFonts w:ascii="Arial" w:cs="Arial" w:eastAsia="Arial" w:hAnsi="Arial"/>
          <w:b/>
          <w:bCs/>
          <w:sz w:val="26"/>
          <w:szCs w:val="26"/>
        </w:rPr>
        <w:t xml:space="preserve">What is on the paper:</w:t>
      </w:r>
    </w:p>
    <w:p>
      <w:pPr>
        <w:spacing w:after="80"/>
        <w:ind w:left="400" w:hanging="220"/>
      </w:pPr>
      <w:r>
        <w:rPr>
          <w:rFonts w:ascii="Arial" w:cs="Arial" w:eastAsia="Arial" w:hAnsi="Arial"/>
          <w:sz w:val="24"/>
          <w:szCs w:val="24"/>
        </w:rPr>
        <w:t xml:space="preserve">•	An introduction with the big idea sentence written and the ideas left blank.</w:t>
      </w:r>
    </w:p>
    <w:p>
      <w:pPr>
        <w:spacing w:after="80"/>
        <w:ind w:left="400" w:hanging="220"/>
      </w:pPr>
      <w:r>
        <w:rPr>
          <w:rFonts w:ascii="Arial" w:cs="Arial" w:eastAsia="Arial" w:hAnsi="Arial"/>
          <w:sz w:val="24"/>
          <w:szCs w:val="24"/>
        </w:rPr>
        <w:t xml:space="preserve">•	Paragraph 1, written in full.</w:t>
      </w:r>
    </w:p>
    <w:p>
      <w:pPr>
        <w:spacing w:after="80"/>
        <w:ind w:left="400" w:hanging="220"/>
      </w:pPr>
      <w:r>
        <w:rPr>
          <w:rFonts w:ascii="Arial" w:cs="Arial" w:eastAsia="Arial" w:hAnsi="Arial"/>
          <w:sz w:val="24"/>
          <w:szCs w:val="24"/>
        </w:rPr>
        <w:t xml:space="preserve">•	Frames for paragraphs 2 and 3 — topic sentence, evidence, explanation, link.</w:t>
      </w:r>
    </w:p>
    <w:p>
      <w:pPr>
        <w:spacing w:after="80"/>
        <w:ind w:left="400" w:hanging="220"/>
      </w:pPr>
      <w:r>
        <w:rPr>
          <w:rFonts w:ascii="Arial" w:cs="Arial" w:eastAsia="Arial" w:hAnsi="Arial"/>
          <w:sz w:val="24"/>
          <w:szCs w:val="24"/>
        </w:rPr>
        <w:t xml:space="preserve">•	A conclusion with the first words of each sentence given.</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Name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paragraphs 2 and 3.</w:t>
      </w:r>
      <w:r>
        <w:rPr>
          <w:rFonts w:ascii="Arial" w:cs="Arial" w:eastAsia="Arial" w:hAnsi="Arial"/>
          <w:sz w:val="24"/>
          <w:szCs w:val="24"/>
        </w:rPr>
        <w:t xml:space="preserve">  One idea each. Paragraph 1 shows you the shape.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Finish the conclusion.</w:t>
      </w:r>
      <w:r>
        <w:rPr>
          <w:rFonts w:ascii="Arial" w:cs="Arial" w:eastAsia="Arial" w:hAnsi="Arial"/>
          <w:sz w:val="24"/>
          <w:szCs w:val="24"/>
        </w:rPr>
        <w:t xml:space="preserve">  Put your two ideas back together. No new quotes.</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pPr>
      <w:r>
        <w:rPr>
          <w:rFonts w:ascii="Arial" w:cs="Arial" w:eastAsia="Arial" w:hAnsi="Arial"/>
          <w:b/>
          <w:bCs/>
          <w:sz w:val="32"/>
          <w:szCs w:val="32"/>
        </w:rPr>
        <w:t xml:space="preserve">The prompts</w:t>
      </w:r>
    </w:p>
    <w:p>
      <w:pPr>
        <w:spacing w:after="200"/>
      </w:pPr>
      <w:r>
        <w:rPr>
          <w:rFonts w:ascii="Arial" w:cs="Arial" w:eastAsia="Arial" w:hAnsi="Arial"/>
          <w:color w:val="595959"/>
          <w:sz w:val="24"/>
          <w:szCs w:val="24"/>
        </w:rPr>
        <w:t xml:space="preserve">Prepare for all three. One of them will be the prompt on the day.</w:t>
      </w:r>
    </w:p>
    <w:p>
      <w:pPr>
        <w:spacing w:after="220"/>
        <w:ind w:left="400" w:hanging="400"/>
      </w:pPr>
      <w:r>
        <w:rPr>
          <w:rFonts w:ascii="Arial" w:cs="Arial" w:eastAsia="Arial" w:hAnsi="Arial"/>
          <w:b/>
          <w:bCs/>
          <w:sz w:val="24"/>
          <w:szCs w:val="24"/>
        </w:rPr>
        <w:t xml:space="preserve">1.	</w:t>
      </w:r>
      <w:r>
        <w:rPr>
          <w:rFonts w:ascii="Arial" w:cs="Arial" w:eastAsia="Arial" w:hAnsi="Arial"/>
          <w:sz w:val="25"/>
          <w:szCs w:val="25"/>
        </w:rPr>
        <w:t xml:space="preserve">‘But reading is important.’ (p39) Discuss how stories and imagination are important for characters in The Bone Sparrow.</w:t>
      </w:r>
    </w:p>
    <w:p>
      <w:pPr>
        <w:spacing w:after="220"/>
        <w:ind w:left="400" w:hanging="400"/>
      </w:pPr>
      <w:r>
        <w:rPr>
          <w:rFonts w:ascii="Arial" w:cs="Arial" w:eastAsia="Arial" w:hAnsi="Arial"/>
          <w:b/>
          <w:bCs/>
          <w:sz w:val="24"/>
          <w:szCs w:val="24"/>
        </w:rPr>
        <w:t xml:space="preserve">2.	</w:t>
      </w:r>
      <w:r>
        <w:rPr>
          <w:rFonts w:ascii="Arial" w:cs="Arial" w:eastAsia="Arial" w:hAnsi="Arial"/>
          <w:sz w:val="25"/>
          <w:szCs w:val="25"/>
        </w:rPr>
        <w:t xml:space="preserve">‘Soon they’ll see that living in here isn’t living at all…’ (p108) Discuss the living conditions for characters inside and outside the centre.</w:t>
      </w:r>
    </w:p>
    <w:p>
      <w:pPr>
        <w:spacing w:after="220"/>
        <w:ind w:left="400" w:hanging="400"/>
      </w:pPr>
      <w:r>
        <w:rPr>
          <w:rFonts w:ascii="Arial" w:cs="Arial" w:eastAsia="Arial" w:hAnsi="Arial"/>
          <w:b/>
          <w:bCs/>
          <w:sz w:val="24"/>
          <w:szCs w:val="24"/>
        </w:rPr>
        <w:t xml:space="preserve">3.	</w:t>
      </w:r>
      <w:r>
        <w:rPr>
          <w:rFonts w:ascii="Arial" w:cs="Arial" w:eastAsia="Arial" w:hAnsi="Arial"/>
          <w:sz w:val="25"/>
          <w:szCs w:val="25"/>
        </w:rPr>
        <w:t xml:space="preserve">The Bone Sparrow explores themes of family and friendship. Discuss.</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p>
            <w:pPr>
              <w:spacing w:after="0"/>
            </w:pPr>
            <w:r>
              <w:rPr>
                <w:rFonts w:ascii="Arial" w:cs="Arial" w:eastAsia="Arial" w:hAnsi="Arial"/>
                <w:color w:val="595959"/>
                <w:sz w:val="15"/>
                <w:szCs w:val="15"/>
              </w:rPr>
              <w:t xml:space="preserve">Emerging</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p>
            <w:pPr>
              <w:spacing w:after="0"/>
            </w:pPr>
            <w:r>
              <w:rPr>
                <w:rFonts w:ascii="Arial" w:cs="Arial" w:eastAsia="Arial" w:hAnsi="Arial"/>
                <w:color w:val="595959"/>
                <w:sz w:val="15"/>
                <w:szCs w:val="15"/>
              </w:rPr>
              <w:t xml:space="preserve">Working towards</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 · expected at Year 7</w:t>
            </w:r>
          </w:p>
          <w:p>
            <w:pPr>
              <w:spacing w:after="0"/>
            </w:pPr>
            <w:r>
              <w:rPr>
                <w:rFonts w:ascii="Arial" w:cs="Arial" w:eastAsia="Arial" w:hAnsi="Arial"/>
                <w:color w:val="595959"/>
                <w:sz w:val="15"/>
                <w:szCs w:val="15"/>
              </w:rPr>
              <w:t xml:space="preserve">At the standard</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p>
            <w:pPr>
              <w:spacing w:after="0"/>
            </w:pPr>
            <w:r>
              <w:rPr>
                <w:rFonts w:ascii="Arial" w:cs="Arial" w:eastAsia="Arial" w:hAnsi="Arial"/>
                <w:color w:val="595959"/>
                <w:sz w:val="15"/>
                <w:szCs w:val="15"/>
              </w:rPr>
              <w:t xml:space="preserve">Above</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p>
            <w:pPr>
              <w:spacing w:after="0"/>
            </w:pPr>
            <w:r>
              <w:rPr>
                <w:rFonts w:ascii="Arial" w:cs="Arial" w:eastAsia="Arial" w:hAnsi="Arial"/>
                <w:color w:val="595959"/>
                <w:sz w:val="15"/>
                <w:szCs w:val="15"/>
              </w:rPr>
              <w:t xml:space="preserve">Well above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Understanding language devices</w:t>
            </w:r>
          </w:p>
          <w:p>
            <w:pPr>
              <w:spacing w:after="0"/>
            </w:pPr>
            <w:r>
              <w:rPr>
                <w:rFonts w:ascii="Arial" w:cs="Arial" w:eastAsia="Arial" w:hAnsi="Arial"/>
                <w:color w:val="595959"/>
                <w:sz w:val="16"/>
                <w:szCs w:val="16"/>
              </w:rPr>
              <w:t xml:space="preserve">what Fraillon has done with the words</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meaning of different similes and metaphors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rhymes can add to descriptions in writing</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the meaning of non-literal language in narrative and poetic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the effect of descriptions, different sentence types and figurative language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analyse the way writing techniques work together to convey ideas and feelings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p>
            <w:pPr>
              <w:spacing w:after="0"/>
            </w:pPr>
            <w:r>
              <w:rPr>
                <w:rFonts w:ascii="Arial" w:cs="Arial" w:eastAsia="Arial" w:hAnsi="Arial"/>
                <w:color w:val="595959"/>
                <w:sz w:val="15"/>
                <w:szCs w:val="15"/>
              </w:rPr>
              <w:t xml:space="preserve">Describe</w:t>
            </w:r>
          </w:p>
        </w:tc>
        <w:tc>
          <w:tcPr>
            <w:tcW w:type="dxa" w:w="309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C3 · expected at Year 7</w:t>
            </w:r>
          </w:p>
          <w:p>
            <w:pPr>
              <w:spacing w:after="0"/>
            </w:pPr>
            <w:r>
              <w:rPr>
                <w:rFonts w:ascii="Arial" w:cs="Arial" w:eastAsia="Arial" w:hAnsi="Arial"/>
                <w:color w:val="595959"/>
                <w:sz w:val="15"/>
                <w:szCs w:val="15"/>
              </w:rPr>
              <w:t xml:space="preserve">Explain</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p>
            <w:pPr>
              <w:spacing w:after="0"/>
            </w:pPr>
            <w:r>
              <w:rPr>
                <w:rFonts w:ascii="Arial" w:cs="Arial" w:eastAsia="Arial" w:hAnsi="Arial"/>
                <w:color w:val="595959"/>
                <w:sz w:val="15"/>
                <w:szCs w:val="15"/>
              </w:rPr>
              <w:t xml:space="preserve">Analyse</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p>
            <w:pPr>
              <w:spacing w:after="0"/>
            </w:pPr>
            <w:r>
              <w:rPr>
                <w:rFonts w:ascii="Arial" w:cs="Arial" w:eastAsia="Arial" w:hAnsi="Arial"/>
                <w:color w:val="595959"/>
                <w:sz w:val="15"/>
                <w:szCs w:val="15"/>
              </w:rPr>
              <w:t xml:space="preserve">Interpret</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Skill focus</w:t>
            </w:r>
          </w:p>
          <w:p>
            <w:pPr>
              <w:spacing w:after="0"/>
            </w:pPr>
            <w:r>
              <w:rPr>
                <w:rFonts w:ascii="Arial" w:cs="Arial" w:eastAsia="Arial" w:hAnsi="Arial"/>
                <w:color w:val="595959"/>
                <w:sz w:val="16"/>
                <w:szCs w:val="16"/>
              </w:rPr>
              <w:t xml:space="preserve">what the writing is doing</w:t>
            </w:r>
          </w:p>
          <w:p>
            <w:pPr>
              <w:spacing w:after="0"/>
            </w:pPr>
            <w:r>
              <w:rPr>
                <w:rFonts w:ascii="Arial" w:cs="Arial" w:eastAsia="Arial" w:hAnsi="Arial"/>
                <w:color w:val="808080"/>
                <w:sz w:val="14"/>
                <w:szCs w:val="14"/>
              </w:rPr>
              <w:t xml:space="preserve">EAL analytical writing WAGOLL</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Say what happens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Explain effect or meaning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Link language choices to ideas or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Link literary, structural and stylistic features, to messages, values, and creator’s intents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Summary</w:t>
            </w:r>
          </w:p>
          <w:p>
            <w:pPr>
              <w:spacing w:after="0"/>
            </w:pPr>
            <w:r>
              <w:rPr>
                <w:rFonts w:ascii="Arial" w:cs="Arial" w:eastAsia="Arial" w:hAnsi="Arial"/>
                <w:color w:val="595959"/>
                <w:sz w:val="16"/>
                <w:szCs w:val="16"/>
              </w:rPr>
              <w:t xml:space="preserve">the ideas in the novel</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Extract main ideas from texts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Explain main ideas and plot developments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 appropriate language to identify and infer ideas, themes, and plot details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precise and appropriate language to explore interconnected ideas and values presented in the text, including discussion of character, setting and other aspects of the text</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Evidence</w:t>
            </w:r>
          </w:p>
          <w:p>
            <w:pPr>
              <w:spacing w:after="0"/>
            </w:pPr>
            <w:r>
              <w:rPr>
                <w:rFonts w:ascii="Arial" w:cs="Arial" w:eastAsia="Arial" w:hAnsi="Arial"/>
                <w:color w:val="595959"/>
                <w:sz w:val="16"/>
                <w:szCs w:val="16"/>
              </w:rPr>
              <w:t xml:space="preserve">the quote, and what it is doing there</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 quotes to link to ideas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Use metalanguage, and quotes to support ideas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Embed evidence and use appropriate metalanguage to discuss. Make clear links to themes and ideas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Embeds relevant textual evidence to explain how the author has conveyed ideas in the text presented in response to the topic</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purpose</w:t>
            </w:r>
          </w:p>
          <w:p>
            <w:pPr>
              <w:spacing w:after="0"/>
            </w:pPr>
            <w:r>
              <w:rPr>
                <w:rFonts w:ascii="Arial" w:cs="Arial" w:eastAsia="Arial" w:hAnsi="Arial"/>
                <w:color w:val="595959"/>
                <w:sz w:val="16"/>
                <w:szCs w:val="16"/>
              </w:rPr>
              <w:t xml:space="preserve">what Fraillon is doing to the reader</w:t>
            </w:r>
          </w:p>
          <w:p>
            <w:pPr>
              <w:spacing w:after="0"/>
            </w:pPr>
            <w:r>
              <w:rPr>
                <w:rFonts w:ascii="Arial" w:cs="Arial" w:eastAsia="Arial" w:hAnsi="Arial"/>
                <w:color w:val="808080"/>
                <w:sz w:val="14"/>
                <w:szCs w:val="14"/>
              </w:rPr>
              <w:t xml:space="preserve">EAL reading rubric</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Identify common text types and features</w:t>
            </w:r>
          </w:p>
        </w:tc>
        <w:tc>
          <w:tcPr>
            <w:tcW w:type="dxa" w:w="309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Identify the main purpose of the text and describe text features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 how specific text features relate to the purpose. Make inferences about the author’s intent</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 and examine how structures, language features and vocabulary choices relate to the purpose. Make inferences about the author’s complex and nuanced ideas</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Skill focus quoted from the EAL analytical writing WAGOLL; the other rows from the EAL reading rubric, C levels.</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B</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Paragraphs 2 and 3. The printed paragraph, the introduction and the conclusion are read for whether they answer the prompt, and are not marked against the rubric.</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bigger print, one paragraph only, with a theme and a quote to choose from on the page.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the printed paragraph gives only the topic and link sentences; the evidence sentences are theirs, and they write a second paragraph.</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Four of the five rows are Reading and Viewing, and are what the analytical writing wall already teaches. Text structure and organisation is the one Writing row, added because the wall is a ladder of sentences and this task asks for a paragraph. The analytical verb is not a row of its own: it is how the effect gets explained, so it is marked inside Evaluating texts.</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 which is why the introduction and conclusion are started for the students and are not marked against the rubric.</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2026-09-09T10:00:47.724Z</dcterms:created>
  <dcterms:modified xsi:type="dcterms:W3CDTF">2026-09-09T10:00:47.724Z</dcterms:modified>
</cp:coreProperties>
</file>

<file path=docProps/custom.xml><?xml version="1.0" encoding="utf-8"?>
<Properties xmlns="http://schemas.openxmlformats.org/officeDocument/2006/custom-properties" xmlns:vt="http://schemas.openxmlformats.org/officeDocument/2006/docPropsVTypes"/>
</file>