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10322"/>
      </w:tblGrid>
      <w:tr>
        <w:tc>
          <w:tcPr>
            <w:tcW w:type="dxa" w:w="10322"/>
            <w:tcBorders>
              <w:top w:val="none" w:color="FFFFFF" w:sz="0"/>
              <w:left w:val="none" w:color="FFFFFF" w:sz="0"/>
              <w:bottom w:val="none" w:color="FFFFFF" w:sz="0"/>
              <w:right w:val="none" w:color="FFFFFF" w:sz="0"/>
            </w:tcBorders>
            <w:shd w:fill="8C072D" w:val="clear"/>
            <w:tcMar>
              <w:top w:type="dxa" w:w="100"/>
              <w:left w:type="dxa" w:w="160"/>
              <w:bottom w:type="dxa" w:w="100"/>
              <w:right w:type="dxa" w:w="160"/>
            </w:tcMar>
          </w:tcPr>
          <w:p>
            <w:pPr>
              <w:spacing w:after="0"/>
            </w:pPr>
            <w:r>
              <w:rPr>
                <w:rFonts w:ascii="Aptos" w:cs="Aptos" w:eastAsia="Aptos" w:hAnsi="Aptos"/>
                <w:b/>
                <w:bCs/>
                <w:color w:val="FFFFFF"/>
                <w:sz w:val="34"/>
                <w:szCs w:val="34"/>
              </w:rPr>
              <w:t xml:space="preserve">Cohesion in Non-Fiction</w:t>
            </w:r>
            <w:r>
              <w:rPr>
                <w:rFonts w:ascii="Aptos" w:cs="Aptos" w:eastAsia="Aptos" w:hAnsi="Aptos"/>
                <w:i/>
                <w:iCs/>
                <w:color w:val="F0C0CC"/>
                <w:sz w:val="26"/>
                <w:szCs w:val="26"/>
              </w:rPr>
              <w:t xml:space="preserve">   —   five strategies for texts that hold together</w:t>
            </w:r>
          </w:p>
        </w:tc>
      </w:tr>
    </w:tbl>
    <w:p>
      <w:pPr>
        <w:spacing w:after="60"/>
      </w:pPr>
      <w:r>
        <w:rPr>
          <w:rFonts w:ascii="Aptos" w:cs="Aptos" w:eastAsia="Aptos" w:hAnsi="Aptos"/>
          <w:color w:val="111111"/>
          <w:sz w:val="18"/>
          <w:szCs w:val="18"/>
        </w:rPr>
        <w:t xml:space="preserve"/>
      </w:r>
    </w:p>
    <w:p>
      <w:pPr>
        <w:spacing w:after="100"/>
      </w:pPr>
      <w:r>
        <w:rPr>
          <w:rFonts w:ascii="Aptos" w:cs="Aptos" w:eastAsia="Aptos" w:hAnsi="Aptos"/>
          <w:color w:val="111111"/>
          <w:sz w:val="18"/>
          <w:szCs w:val="18"/>
        </w:rPr>
        <w:t xml:space="preserve">A cohesive text does not just stay on topic — it </w:t>
      </w:r>
      <w:r>
        <w:rPr>
          <w:rFonts w:ascii="Aptos" w:cs="Aptos" w:eastAsia="Aptos" w:hAnsi="Aptos"/>
          <w:b/>
          <w:bCs/>
          <w:color w:val="111111"/>
          <w:sz w:val="18"/>
          <w:szCs w:val="18"/>
        </w:rPr>
        <w:t xml:space="preserve">moves with intention</w:t>
      </w:r>
      <w:r>
        <w:rPr>
          <w:rFonts w:ascii="Aptos" w:cs="Aptos" w:eastAsia="Aptos" w:hAnsi="Aptos"/>
          <w:color w:val="111111"/>
          <w:sz w:val="18"/>
          <w:szCs w:val="18"/>
        </w:rPr>
        <w:t xml:space="preserve">. Each of the five strategies below addresses a different dimension of cohesion. Each includes a </w:t>
      </w:r>
      <w:r>
        <w:rPr>
          <w:rFonts w:ascii="Aptos" w:cs="Aptos" w:eastAsia="Aptos" w:hAnsi="Aptos"/>
          <w:b/>
          <w:bCs/>
          <w:color w:val="8C072D"/>
          <w:sz w:val="18"/>
          <w:szCs w:val="18"/>
        </w:rPr>
        <w:t xml:space="preserve">signal</w:t>
      </w:r>
      <w:r>
        <w:rPr>
          <w:rFonts w:ascii="Aptos" w:cs="Aptos" w:eastAsia="Aptos" w:hAnsi="Aptos"/>
          <w:color w:val="111111"/>
          <w:sz w:val="18"/>
          <w:szCs w:val="18"/>
        </w:rPr>
        <w:t xml:space="preserve"> — a diagnostic you can apply to a draft — and a </w:t>
      </w:r>
      <w:r>
        <w:rPr>
          <w:rFonts w:ascii="Aptos" w:cs="Aptos" w:eastAsia="Aptos" w:hAnsi="Aptos"/>
          <w:b/>
          <w:bCs/>
          <w:color w:val="111111"/>
          <w:sz w:val="18"/>
          <w:szCs w:val="18"/>
        </w:rPr>
        <w:t xml:space="preserve">fix</w:t>
      </w:r>
      <w:r>
        <w:rPr>
          <w:rFonts w:ascii="Aptos" w:cs="Aptos" w:eastAsia="Aptos" w:hAnsi="Aptos"/>
          <w:color w:val="111111"/>
          <w:sz w:val="18"/>
          <w:szCs w:val="18"/>
        </w:rPr>
        <w:t xml:space="preserve"> — a concrete revision move.</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5051"/>
        <w:gridCol w:w="220"/>
        <w:gridCol w:w="5051"/>
      </w:tblGrid>
      <w:tr>
        <w:tc>
          <w:tcPr>
            <w:tcW w:type="dxa" w:w="5051"/>
            <w:tcBorders>
              <w:top w:val="none" w:color="FFFFFF" w:sz="0"/>
              <w:left w:val="none" w:color="FFFFFF" w:sz="0"/>
              <w:bottom w:val="none" w:color="FFFFFF" w:sz="0"/>
              <w:right w:val="none" w:color="FFFFFF" w:sz="0"/>
            </w:tcBorders>
            <w:shd w:fill="FFFFFF" w:val="clear"/>
            <w:tcMar>
              <w:top w:type="dxa" w:w="80"/>
              <w:left w:type="dxa" w:w="80"/>
              <w:bottom w:type="dxa" w:w="40"/>
              <w:right w:type="dxa" w:w="80"/>
            </w:tcMar>
          </w:tcPr>
          <w:p>
            <w:pPr>
              <w:spacing w:after="50"/>
            </w:pPr>
            <w:r>
              <w:rPr>
                <w:rFonts w:ascii="Aptos" w:cs="Aptos" w:eastAsia="Aptos" w:hAnsi="Aptos"/>
                <w:b/>
                <w:bCs/>
                <w:color w:val="8C072D"/>
                <w:sz w:val="20"/>
                <w:szCs w:val="20"/>
              </w:rPr>
              <w:t xml:space="preserve">1 — The echo structure</w:t>
            </w:r>
          </w:p>
          <w:p>
            <w:pPr>
              <w:spacing w:after="60"/>
            </w:pPr>
            <w:r>
              <w:rPr>
                <w:rFonts w:ascii="Aptos" w:cs="Aptos" w:eastAsia="Aptos" w:hAnsi="Aptos"/>
                <w:b w:val="false"/>
                <w:bCs w:val="false"/>
                <w:i w:val="false"/>
                <w:iCs w:val="false"/>
                <w:color w:val="555555"/>
                <w:sz w:val="18"/>
                <w:szCs w:val="18"/>
              </w:rPr>
              <w:t xml:space="preserve">A cohesive text does not just end — it </w:t>
            </w:r>
            <w:r>
              <w:rPr>
                <w:rFonts w:ascii="Aptos" w:cs="Aptos" w:eastAsia="Aptos" w:hAnsi="Aptos"/>
                <w:b/>
                <w:bCs/>
                <w:i w:val="false"/>
                <w:iCs w:val="false"/>
                <w:color w:val="111111"/>
                <w:sz w:val="18"/>
                <w:szCs w:val="18"/>
              </w:rPr>
              <w:t xml:space="preserve">returns</w:t>
            </w:r>
            <w:r>
              <w:rPr>
                <w:rFonts w:ascii="Aptos" w:cs="Aptos" w:eastAsia="Aptos" w:hAnsi="Aptos"/>
                <w:b w:val="false"/>
                <w:bCs w:val="false"/>
                <w:i w:val="false"/>
                <w:iCs w:val="false"/>
                <w:color w:val="555555"/>
                <w:sz w:val="18"/>
                <w:szCs w:val="18"/>
              </w:rPr>
              <w:t xml:space="preserve">. Identify one image, phrase, or idea from your opening and bring it back, transformed, at the close. This is not repetition: it is return with difference. The opening plants something; the ending reveals what it grew into.</w:t>
            </w:r>
          </w:p>
          <w:tbl>
            <w:tblPr>
              <w:tblW w:type="dxa" w:w="4891"/>
              <w:tblBorders>
                <w:top w:val="single" w:color="auto" w:sz="4"/>
                <w:left w:val="single" w:color="auto" w:sz="4"/>
                <w:bottom w:val="single" w:color="auto" w:sz="4"/>
                <w:right w:val="single" w:color="auto" w:sz="4"/>
                <w:insideH w:val="single" w:color="auto" w:sz="4"/>
                <w:insideV w:val="single" w:color="auto" w:sz="4"/>
              </w:tblBorders>
            </w:tblPr>
            <w:tblGrid>
              <w:gridCol w:w="4891"/>
            </w:tblGrid>
            <w:tr>
              <w:tc>
                <w:tcPr>
                  <w:tcW w:type="dxa" w:w="4891"/>
                  <w:tcBorders>
                    <w:top w:val="none" w:color="FFFFFF" w:sz="0"/>
                    <w:left w:val="single" w:color="8C072D" w:sz="12"/>
                    <w:bottom w:val="none" w:color="FFFFFF" w:sz="0"/>
                    <w:right w:val="none" w:color="FFFFFF" w:sz="0"/>
                  </w:tcBorders>
                  <w:shd w:fill="F9EEF2" w:val="clear"/>
                  <w:tcMar>
                    <w:top w:type="dxa" w:w="40"/>
                    <w:left w:type="dxa" w:w="120"/>
                    <w:bottom w:type="dxa" w:w="40"/>
                    <w:right w:type="dxa" w:w="80"/>
                  </w:tcMar>
                </w:tcPr>
                <w:p>
                  <w:pPr>
                    <w:spacing w:after="0"/>
                  </w:pPr>
                  <w:r>
                    <w:rPr>
                      <w:rFonts w:ascii="Aptos" w:cs="Aptos" w:eastAsia="Aptos" w:hAnsi="Aptos"/>
                      <w:b/>
                      <w:bCs/>
                      <w:color w:val="8C072D"/>
                      <w:sz w:val="18"/>
                      <w:szCs w:val="18"/>
                    </w:rPr>
                    <w:t xml:space="preserve">Signal: </w:t>
                  </w:r>
                  <w:r>
                    <w:rPr>
                      <w:rFonts w:ascii="Aptos" w:cs="Aptos" w:eastAsia="Aptos" w:hAnsi="Aptos"/>
                      <w:i/>
                      <w:iCs/>
                      <w:color w:val="555555"/>
                      <w:sz w:val="18"/>
                      <w:szCs w:val="18"/>
                    </w:rPr>
                    <w:t xml:space="preserve">You read the opening and closing paragraphs and they feel like they belong to different texts.</w:t>
                  </w:r>
                </w:p>
              </w:tc>
            </w:tr>
          </w:tbl>
          <w:p>
            <w:pPr>
              <w:spacing w:after="40"/>
            </w:pPr>
            <w:r>
              <w:rPr>
                <w:rFonts w:ascii="Aptos" w:cs="Aptos" w:eastAsia="Aptos" w:hAnsi="Aptos"/>
                <w:color w:val="111111"/>
                <w:sz w:val="18"/>
                <w:szCs w:val="18"/>
              </w:rPr>
              <w:t xml:space="preserve"/>
            </w:r>
          </w:p>
          <w:tbl>
            <w:tblPr>
              <w:tblW w:type="dxa" w:w="4891"/>
              <w:tblBorders>
                <w:top w:val="single" w:color="auto" w:sz="4"/>
                <w:left w:val="single" w:color="auto" w:sz="4"/>
                <w:bottom w:val="single" w:color="auto" w:sz="4"/>
                <w:right w:val="single" w:color="auto" w:sz="4"/>
                <w:insideH w:val="single" w:color="auto" w:sz="4"/>
                <w:insideV w:val="single" w:color="auto" w:sz="4"/>
              </w:tblBorders>
            </w:tblPr>
            <w:tblGrid>
              <w:gridCol w:w="4891"/>
            </w:tblGrid>
            <w:tr>
              <w:tc>
                <w:tcPr>
                  <w:tcW w:type="dxa" w:w="4891"/>
                  <w:tcBorders>
                    <w:top w:val="none" w:color="FFFFFF" w:sz="0"/>
                    <w:left w:val="single" w:color="888888" w:sz="8"/>
                    <w:bottom w:val="none" w:color="FFFFFF" w:sz="0"/>
                    <w:right w:val="none" w:color="FFFFFF" w:sz="0"/>
                  </w:tcBorders>
                  <w:shd w:fill="F5F5F5" w:val="clear"/>
                  <w:tcMar>
                    <w:top w:type="dxa" w:w="40"/>
                    <w:left w:type="dxa" w:w="120"/>
                    <w:bottom w:type="dxa" w:w="40"/>
                    <w:right w:type="dxa" w:w="80"/>
                  </w:tcMar>
                </w:tcPr>
                <w:p>
                  <w:pPr>
                    <w:spacing w:after="0"/>
                  </w:pPr>
                  <w:r>
                    <w:rPr>
                      <w:rFonts w:ascii="Aptos" w:cs="Aptos" w:eastAsia="Aptos" w:hAnsi="Aptos"/>
                      <w:b/>
                      <w:bCs/>
                      <w:color w:val="111111"/>
                      <w:sz w:val="18"/>
                      <w:szCs w:val="18"/>
                    </w:rPr>
                    <w:t xml:space="preserve">Fix: </w:t>
                  </w:r>
                  <w:r>
                    <w:rPr>
                      <w:rFonts w:ascii="Aptos" w:cs="Aptos" w:eastAsia="Aptos" w:hAnsi="Aptos"/>
                      <w:i/>
                      <w:iCs/>
                      <w:color w:val="555555"/>
                      <w:sz w:val="18"/>
                      <w:szCs w:val="18"/>
                    </w:rPr>
                    <w:t xml:space="preserve">Isolate your opening image or phrase. Rewrite your final paragraph so it consciously picks that element up — changed by everything the text has done in between.</w:t>
                  </w:r>
                </w:p>
              </w:tc>
            </w:tr>
          </w:tbl>
          <w:p>
            <w:pPr>
              <w:spacing w:after="60"/>
            </w:pPr>
            <w:r>
              <w:rPr>
                <w:rFonts w:ascii="Aptos" w:cs="Aptos" w:eastAsia="Aptos" w:hAnsi="Aptos"/>
                <w:color w:val="111111"/>
                <w:sz w:val="18"/>
                <w:szCs w:val="18"/>
              </w:rPr>
              <w:t xml:space="preserve"/>
            </w:r>
          </w:p>
        </w:tc>
        <w:tc>
          <w:tcPr>
            <w:tcW w:type="dxa" w:w="22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pPr>
            <w:r>
              <w:rPr>
                <w:rFonts w:ascii="Aptos" w:cs="Aptos" w:eastAsia="Aptos" w:hAnsi="Aptos"/>
                <w:color w:val="111111"/>
                <w:sz w:val="18"/>
                <w:szCs w:val="18"/>
              </w:rPr>
              <w:t xml:space="preserve"/>
            </w:r>
          </w:p>
        </w:tc>
        <w:tc>
          <w:tcPr>
            <w:tcW w:type="dxa" w:w="5051"/>
            <w:tcBorders>
              <w:top w:val="none" w:color="FFFFFF" w:sz="0"/>
              <w:left w:val="none" w:color="FFFFFF" w:sz="0"/>
              <w:bottom w:val="none" w:color="FFFFFF" w:sz="0"/>
              <w:right w:val="none" w:color="FFFFFF" w:sz="0"/>
            </w:tcBorders>
            <w:shd w:fill="FFFFFF" w:val="clear"/>
            <w:tcMar>
              <w:top w:type="dxa" w:w="80"/>
              <w:left w:type="dxa" w:w="80"/>
              <w:bottom w:type="dxa" w:w="40"/>
              <w:right w:type="dxa" w:w="80"/>
            </w:tcMar>
          </w:tcPr>
          <w:p>
            <w:pPr>
              <w:spacing w:after="50"/>
            </w:pPr>
            <w:r>
              <w:rPr>
                <w:rFonts w:ascii="Aptos" w:cs="Aptos" w:eastAsia="Aptos" w:hAnsi="Aptos"/>
                <w:b/>
                <w:bCs/>
                <w:color w:val="8C072D"/>
                <w:sz w:val="20"/>
                <w:szCs w:val="20"/>
              </w:rPr>
              <w:t xml:space="preserve">2 — Transition as thinking</w:t>
            </w:r>
          </w:p>
          <w:p>
            <w:pPr>
              <w:spacing w:after="60"/>
            </w:pPr>
            <w:r>
              <w:rPr>
                <w:rFonts w:ascii="Aptos" w:cs="Aptos" w:eastAsia="Aptos" w:hAnsi="Aptos"/>
                <w:b w:val="false"/>
                <w:bCs w:val="false"/>
                <w:i w:val="false"/>
                <w:iCs w:val="false"/>
                <w:color w:val="555555"/>
                <w:sz w:val="18"/>
                <w:szCs w:val="18"/>
              </w:rPr>
              <w:t xml:space="preserve">Weak transitions are connective tissue: </w:t>
            </w:r>
            <w:r>
              <w:rPr>
                <w:rFonts w:ascii="Aptos" w:cs="Aptos" w:eastAsia="Aptos" w:hAnsi="Aptos"/>
                <w:b w:val="false"/>
                <w:bCs w:val="false"/>
                <w:i/>
                <w:iCs/>
                <w:color w:val="555555"/>
                <w:sz w:val="18"/>
                <w:szCs w:val="18"/>
              </w:rPr>
              <w:t xml:space="preserve">furthermore, however, in addition</w:t>
            </w:r>
            <w:r>
              <w:rPr>
                <w:rFonts w:ascii="Aptos" w:cs="Aptos" w:eastAsia="Aptos" w:hAnsi="Aptos"/>
                <w:b w:val="false"/>
                <w:bCs w:val="false"/>
                <w:i w:val="false"/>
                <w:iCs w:val="false"/>
                <w:color w:val="555555"/>
                <w:sz w:val="18"/>
                <w:szCs w:val="18"/>
              </w:rPr>
              <w:t xml:space="preserve">. Strong transitions are </w:t>
            </w:r>
            <w:r>
              <w:rPr>
                <w:rFonts w:ascii="Aptos" w:cs="Aptos" w:eastAsia="Aptos" w:hAnsi="Aptos"/>
                <w:b/>
                <w:bCs/>
                <w:i w:val="false"/>
                <w:iCs w:val="false"/>
                <w:color w:val="111111"/>
                <w:sz w:val="18"/>
                <w:szCs w:val="18"/>
              </w:rPr>
              <w:t xml:space="preserve">acts of reasoning</w:t>
            </w:r>
            <w:r>
              <w:rPr>
                <w:rFonts w:ascii="Aptos" w:cs="Aptos" w:eastAsia="Aptos" w:hAnsi="Aptos"/>
                <w:b w:val="false"/>
                <w:bCs w:val="false"/>
                <w:i w:val="false"/>
                <w:iCs w:val="false"/>
                <w:color w:val="555555"/>
                <w:sz w:val="18"/>
                <w:szCs w:val="18"/>
              </w:rPr>
              <w:t xml:space="preserve">. Each paragraph makes a small claim; the opening of the next either develops it, complicates it, or shifts the scale (from close to wide, or from wide to close). The transition is the moment the reader sees you thinking.</w:t>
            </w:r>
          </w:p>
          <w:tbl>
            <w:tblPr>
              <w:tblW w:type="dxa" w:w="4891"/>
              <w:tblBorders>
                <w:top w:val="single" w:color="auto" w:sz="4"/>
                <w:left w:val="single" w:color="auto" w:sz="4"/>
                <w:bottom w:val="single" w:color="auto" w:sz="4"/>
                <w:right w:val="single" w:color="auto" w:sz="4"/>
                <w:insideH w:val="single" w:color="auto" w:sz="4"/>
                <w:insideV w:val="single" w:color="auto" w:sz="4"/>
              </w:tblBorders>
            </w:tblPr>
            <w:tblGrid>
              <w:gridCol w:w="4891"/>
            </w:tblGrid>
            <w:tr>
              <w:tc>
                <w:tcPr>
                  <w:tcW w:type="dxa" w:w="4891"/>
                  <w:tcBorders>
                    <w:top w:val="none" w:color="FFFFFF" w:sz="0"/>
                    <w:left w:val="single" w:color="8C072D" w:sz="12"/>
                    <w:bottom w:val="none" w:color="FFFFFF" w:sz="0"/>
                    <w:right w:val="none" w:color="FFFFFF" w:sz="0"/>
                  </w:tcBorders>
                  <w:shd w:fill="F9EEF2" w:val="clear"/>
                  <w:tcMar>
                    <w:top w:type="dxa" w:w="40"/>
                    <w:left w:type="dxa" w:w="120"/>
                    <w:bottom w:type="dxa" w:w="40"/>
                    <w:right w:type="dxa" w:w="80"/>
                  </w:tcMar>
                </w:tcPr>
                <w:p>
                  <w:pPr>
                    <w:spacing w:after="0"/>
                  </w:pPr>
                  <w:r>
                    <w:rPr>
                      <w:rFonts w:ascii="Aptos" w:cs="Aptos" w:eastAsia="Aptos" w:hAnsi="Aptos"/>
                      <w:b/>
                      <w:bCs/>
                      <w:color w:val="8C072D"/>
                      <w:sz w:val="18"/>
                      <w:szCs w:val="18"/>
                    </w:rPr>
                    <w:t xml:space="preserve">Signal: </w:t>
                  </w:r>
                  <w:r>
                    <w:rPr>
                      <w:rFonts w:ascii="Aptos" w:cs="Aptos" w:eastAsia="Aptos" w:hAnsi="Aptos"/>
                      <w:i/>
                      <w:iCs/>
                      <w:color w:val="555555"/>
                      <w:sz w:val="18"/>
                      <w:szCs w:val="18"/>
                    </w:rPr>
                    <w:t xml:space="preserve">Paragraphs feel like a list rather than an argument or exploration. The reader cannot see why each section comes where it does.</w:t>
                  </w:r>
                </w:p>
              </w:tc>
            </w:tr>
          </w:tbl>
          <w:p>
            <w:pPr>
              <w:spacing w:after="40"/>
            </w:pPr>
            <w:r>
              <w:rPr>
                <w:rFonts w:ascii="Aptos" w:cs="Aptos" w:eastAsia="Aptos" w:hAnsi="Aptos"/>
                <w:color w:val="111111"/>
                <w:sz w:val="18"/>
                <w:szCs w:val="18"/>
              </w:rPr>
              <w:t xml:space="preserve"/>
            </w:r>
          </w:p>
          <w:tbl>
            <w:tblPr>
              <w:tblW w:type="dxa" w:w="4891"/>
              <w:tblBorders>
                <w:top w:val="single" w:color="auto" w:sz="4"/>
                <w:left w:val="single" w:color="auto" w:sz="4"/>
                <w:bottom w:val="single" w:color="auto" w:sz="4"/>
                <w:right w:val="single" w:color="auto" w:sz="4"/>
                <w:insideH w:val="single" w:color="auto" w:sz="4"/>
                <w:insideV w:val="single" w:color="auto" w:sz="4"/>
              </w:tblBorders>
            </w:tblPr>
            <w:tblGrid>
              <w:gridCol w:w="4891"/>
            </w:tblGrid>
            <w:tr>
              <w:tc>
                <w:tcPr>
                  <w:tcW w:type="dxa" w:w="4891"/>
                  <w:tcBorders>
                    <w:top w:val="none" w:color="FFFFFF" w:sz="0"/>
                    <w:left w:val="single" w:color="888888" w:sz="8"/>
                    <w:bottom w:val="none" w:color="FFFFFF" w:sz="0"/>
                    <w:right w:val="none" w:color="FFFFFF" w:sz="0"/>
                  </w:tcBorders>
                  <w:shd w:fill="F5F5F5" w:val="clear"/>
                  <w:tcMar>
                    <w:top w:type="dxa" w:w="40"/>
                    <w:left w:type="dxa" w:w="120"/>
                    <w:bottom w:type="dxa" w:w="40"/>
                    <w:right w:type="dxa" w:w="80"/>
                  </w:tcMar>
                </w:tcPr>
                <w:p>
                  <w:pPr>
                    <w:spacing w:after="0"/>
                  </w:pPr>
                  <w:r>
                    <w:rPr>
                      <w:rFonts w:ascii="Aptos" w:cs="Aptos" w:eastAsia="Aptos" w:hAnsi="Aptos"/>
                      <w:b/>
                      <w:bCs/>
                      <w:color w:val="111111"/>
                      <w:sz w:val="18"/>
                      <w:szCs w:val="18"/>
                    </w:rPr>
                    <w:t xml:space="preserve">Fix: </w:t>
                  </w:r>
                  <w:r>
                    <w:rPr>
                      <w:rFonts w:ascii="Aptos" w:cs="Aptos" w:eastAsia="Aptos" w:hAnsi="Aptos"/>
                      <w:i/>
                      <w:iCs/>
                      <w:color w:val="555555"/>
                      <w:sz w:val="18"/>
                      <w:szCs w:val="18"/>
                    </w:rPr>
                    <w:t xml:space="preserve">Write the last sentence of each paragraph and the first sentence of the next side by side. Ask: what is the logical or associative move between them? If you cannot name it, rewrite one of them.</w:t>
                  </w:r>
                </w:p>
              </w:tc>
            </w:tr>
          </w:tbl>
          <w:p>
            <w:pPr>
              <w:spacing w:after="60"/>
            </w:pPr>
            <w:r>
              <w:rPr>
                <w:rFonts w:ascii="Aptos" w:cs="Aptos" w:eastAsia="Aptos" w:hAnsi="Aptos"/>
                <w:color w:val="111111"/>
                <w:sz w:val="18"/>
                <w:szCs w:val="18"/>
              </w:rPr>
              <w:t xml:space="preserve"/>
            </w:r>
          </w:p>
        </w:tc>
      </w:tr>
      <w:tr>
        <w:tc>
          <w:tcPr>
            <w:tcW w:type="dxa" w:w="5051"/>
            <w:tcBorders>
              <w:top w:val="single" w:color="E0B0BC" w:sz="4"/>
              <w:left w:val="none" w:color="FFFFFF" w:sz="0"/>
              <w:bottom w:val="none" w:color="FFFFFF" w:sz="0"/>
              <w:right w:val="none" w:color="FFFFFF" w:sz="0"/>
            </w:tcBorders>
            <w:shd w:fill="FFFFFF" w:val="clear"/>
            <w:tcMar>
              <w:top w:type="dxa" w:w="0"/>
              <w:left w:type="dxa" w:w="0"/>
              <w:bottom w:type="dxa" w:w="0"/>
              <w:right w:type="dxa" w:w="0"/>
            </w:tcMar>
          </w:tcPr>
          <w:p>
            <w:pPr>
              <w:spacing w:after="0"/>
            </w:pPr>
            <w:r>
              <w:rPr>
                <w:rFonts w:ascii="Aptos" w:cs="Aptos" w:eastAsia="Aptos" w:hAnsi="Aptos"/>
                <w:color w:val="111111"/>
                <w:sz w:val="18"/>
                <w:szCs w:val="18"/>
              </w:rPr>
              <w:t xml:space="preserve"/>
            </w:r>
          </w:p>
        </w:tc>
        <w:tc>
          <w:tcPr>
            <w:tcW w:type="dxa" w:w="22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pPr>
            <w:r>
              <w:rPr>
                <w:rFonts w:ascii="Aptos" w:cs="Aptos" w:eastAsia="Aptos" w:hAnsi="Aptos"/>
                <w:color w:val="111111"/>
                <w:sz w:val="18"/>
                <w:szCs w:val="18"/>
              </w:rPr>
              <w:t xml:space="preserve"/>
            </w:r>
          </w:p>
        </w:tc>
        <w:tc>
          <w:tcPr>
            <w:tcW w:type="dxa" w:w="5051"/>
            <w:tcBorders>
              <w:top w:val="single" w:color="E0B0BC" w:sz="4"/>
              <w:left w:val="none" w:color="FFFFFF" w:sz="0"/>
              <w:bottom w:val="none" w:color="FFFFFF" w:sz="0"/>
              <w:right w:val="none" w:color="FFFFFF" w:sz="0"/>
            </w:tcBorders>
            <w:shd w:fill="FFFFFF" w:val="clear"/>
            <w:tcMar>
              <w:top w:type="dxa" w:w="0"/>
              <w:left w:type="dxa" w:w="0"/>
              <w:bottom w:type="dxa" w:w="0"/>
              <w:right w:type="dxa" w:w="0"/>
            </w:tcMar>
          </w:tcPr>
          <w:p>
            <w:pPr>
              <w:spacing w:after="0"/>
            </w:pPr>
            <w:r>
              <w:rPr>
                <w:rFonts w:ascii="Aptos" w:cs="Aptos" w:eastAsia="Aptos" w:hAnsi="Aptos"/>
                <w:color w:val="111111"/>
                <w:sz w:val="18"/>
                <w:szCs w:val="18"/>
              </w:rPr>
              <w:t xml:space="preserve"/>
            </w:r>
          </w:p>
        </w:tc>
      </w:tr>
      <w:tr>
        <w:tc>
          <w:tcPr>
            <w:tcW w:type="dxa" w:w="5051"/>
            <w:tcBorders>
              <w:top w:val="none" w:color="FFFFFF" w:sz="0"/>
              <w:left w:val="none" w:color="FFFFFF" w:sz="0"/>
              <w:bottom w:val="none" w:color="FFFFFF" w:sz="0"/>
              <w:right w:val="none" w:color="FFFFFF" w:sz="0"/>
            </w:tcBorders>
            <w:shd w:fill="FFFFFF" w:val="clear"/>
            <w:tcMar>
              <w:top w:type="dxa" w:w="80"/>
              <w:left w:type="dxa" w:w="80"/>
              <w:bottom w:type="dxa" w:w="40"/>
              <w:right w:type="dxa" w:w="80"/>
            </w:tcMar>
          </w:tcPr>
          <w:p>
            <w:pPr>
              <w:spacing w:after="50"/>
            </w:pPr>
            <w:r>
              <w:rPr>
                <w:rFonts w:ascii="Aptos" w:cs="Aptos" w:eastAsia="Aptos" w:hAnsi="Aptos"/>
                <w:b/>
                <w:bCs/>
                <w:color w:val="8C072D"/>
                <w:sz w:val="20"/>
                <w:szCs w:val="20"/>
              </w:rPr>
              <w:t xml:space="preserve">3 — The zoom</w:t>
            </w:r>
          </w:p>
          <w:p>
            <w:pPr>
              <w:spacing w:after="60"/>
            </w:pPr>
            <w:r>
              <w:rPr>
                <w:rFonts w:ascii="Aptos" w:cs="Aptos" w:eastAsia="Aptos" w:hAnsi="Aptos"/>
                <w:b w:val="false"/>
                <w:bCs w:val="false"/>
                <w:i w:val="false"/>
                <w:iCs w:val="false"/>
                <w:color w:val="555555"/>
                <w:sz w:val="18"/>
                <w:szCs w:val="18"/>
              </w:rPr>
              <w:t xml:space="preserve">Non-fiction coheres when it moves deliberately between </w:t>
            </w:r>
            <w:r>
              <w:rPr>
                <w:rFonts w:ascii="Aptos" w:cs="Aptos" w:eastAsia="Aptos" w:hAnsi="Aptos"/>
                <w:b/>
                <w:bCs/>
                <w:i w:val="false"/>
                <w:iCs w:val="false"/>
                <w:color w:val="111111"/>
                <w:sz w:val="18"/>
                <w:szCs w:val="18"/>
              </w:rPr>
              <w:t xml:space="preserve">close</w:t>
            </w:r>
            <w:r>
              <w:rPr>
                <w:rFonts w:ascii="Aptos" w:cs="Aptos" w:eastAsia="Aptos" w:hAnsi="Aptos"/>
                <w:b w:val="false"/>
                <w:bCs w:val="false"/>
                <w:i w:val="false"/>
                <w:iCs w:val="false"/>
                <w:color w:val="555555"/>
                <w:sz w:val="18"/>
                <w:szCs w:val="18"/>
              </w:rPr>
              <w:t xml:space="preserve"> (specific, sensory, personal, anecdotal) and </w:t>
            </w:r>
            <w:r>
              <w:rPr>
                <w:rFonts w:ascii="Aptos" w:cs="Aptos" w:eastAsia="Aptos" w:hAnsi="Aptos"/>
                <w:b/>
                <w:bCs/>
                <w:i w:val="false"/>
                <w:iCs w:val="false"/>
                <w:color w:val="111111"/>
                <w:sz w:val="18"/>
                <w:szCs w:val="18"/>
              </w:rPr>
              <w:t xml:space="preserve">wide</w:t>
            </w:r>
            <w:r>
              <w:rPr>
                <w:rFonts w:ascii="Aptos" w:cs="Aptos" w:eastAsia="Aptos" w:hAnsi="Aptos"/>
                <w:b w:val="false"/>
                <w:bCs w:val="false"/>
                <w:i w:val="false"/>
                <w:iCs w:val="false"/>
                <w:color w:val="555555"/>
                <w:sz w:val="18"/>
                <w:szCs w:val="18"/>
              </w:rPr>
              <w:t xml:space="preserve"> (social, cultural, historical, reflective). Neither scale sustains itself: close without wide is anecdote; wide without close is abstraction. The zoom transition — the sentence that links a moment to its significance — is often the most important sentence in the text.</w:t>
            </w:r>
          </w:p>
          <w:tbl>
            <w:tblPr>
              <w:tblW w:type="dxa" w:w="4891"/>
              <w:tblBorders>
                <w:top w:val="single" w:color="auto" w:sz="4"/>
                <w:left w:val="single" w:color="auto" w:sz="4"/>
                <w:bottom w:val="single" w:color="auto" w:sz="4"/>
                <w:right w:val="single" w:color="auto" w:sz="4"/>
                <w:insideH w:val="single" w:color="auto" w:sz="4"/>
                <w:insideV w:val="single" w:color="auto" w:sz="4"/>
              </w:tblBorders>
            </w:tblPr>
            <w:tblGrid>
              <w:gridCol w:w="4891"/>
            </w:tblGrid>
            <w:tr>
              <w:tc>
                <w:tcPr>
                  <w:tcW w:type="dxa" w:w="4891"/>
                  <w:tcBorders>
                    <w:top w:val="none" w:color="FFFFFF" w:sz="0"/>
                    <w:left w:val="single" w:color="8C072D" w:sz="12"/>
                    <w:bottom w:val="none" w:color="FFFFFF" w:sz="0"/>
                    <w:right w:val="none" w:color="FFFFFF" w:sz="0"/>
                  </w:tcBorders>
                  <w:shd w:fill="F9EEF2" w:val="clear"/>
                  <w:tcMar>
                    <w:top w:type="dxa" w:w="40"/>
                    <w:left w:type="dxa" w:w="120"/>
                    <w:bottom w:type="dxa" w:w="40"/>
                    <w:right w:type="dxa" w:w="80"/>
                  </w:tcMar>
                </w:tcPr>
                <w:p>
                  <w:pPr>
                    <w:spacing w:after="0"/>
                  </w:pPr>
                  <w:r>
                    <w:rPr>
                      <w:rFonts w:ascii="Aptos" w:cs="Aptos" w:eastAsia="Aptos" w:hAnsi="Aptos"/>
                      <w:b/>
                      <w:bCs/>
                      <w:color w:val="8C072D"/>
                      <w:sz w:val="18"/>
                      <w:szCs w:val="18"/>
                    </w:rPr>
                    <w:t xml:space="preserve">Signal: </w:t>
                  </w:r>
                  <w:r>
                    <w:rPr>
                      <w:rFonts w:ascii="Aptos" w:cs="Aptos" w:eastAsia="Aptos" w:hAnsi="Aptos"/>
                      <w:i/>
                      <w:iCs/>
                      <w:color w:val="555555"/>
                      <w:sz w:val="18"/>
                      <w:szCs w:val="18"/>
                    </w:rPr>
                    <w:t xml:space="preserve">A run of four or more paragraphs at the same level — either all personal detail or all general claim — with no movement between them.</w:t>
                  </w:r>
                </w:p>
              </w:tc>
            </w:tr>
          </w:tbl>
          <w:p>
            <w:pPr>
              <w:spacing w:after="40"/>
            </w:pPr>
            <w:r>
              <w:rPr>
                <w:rFonts w:ascii="Aptos" w:cs="Aptos" w:eastAsia="Aptos" w:hAnsi="Aptos"/>
                <w:color w:val="111111"/>
                <w:sz w:val="18"/>
                <w:szCs w:val="18"/>
              </w:rPr>
              <w:t xml:space="preserve"/>
            </w:r>
          </w:p>
          <w:tbl>
            <w:tblPr>
              <w:tblW w:type="dxa" w:w="4891"/>
              <w:tblBorders>
                <w:top w:val="single" w:color="auto" w:sz="4"/>
                <w:left w:val="single" w:color="auto" w:sz="4"/>
                <w:bottom w:val="single" w:color="auto" w:sz="4"/>
                <w:right w:val="single" w:color="auto" w:sz="4"/>
                <w:insideH w:val="single" w:color="auto" w:sz="4"/>
                <w:insideV w:val="single" w:color="auto" w:sz="4"/>
              </w:tblBorders>
            </w:tblPr>
            <w:tblGrid>
              <w:gridCol w:w="4891"/>
            </w:tblGrid>
            <w:tr>
              <w:tc>
                <w:tcPr>
                  <w:tcW w:type="dxa" w:w="4891"/>
                  <w:tcBorders>
                    <w:top w:val="none" w:color="FFFFFF" w:sz="0"/>
                    <w:left w:val="single" w:color="888888" w:sz="8"/>
                    <w:bottom w:val="none" w:color="FFFFFF" w:sz="0"/>
                    <w:right w:val="none" w:color="FFFFFF" w:sz="0"/>
                  </w:tcBorders>
                  <w:shd w:fill="F5F5F5" w:val="clear"/>
                  <w:tcMar>
                    <w:top w:type="dxa" w:w="40"/>
                    <w:left w:type="dxa" w:w="120"/>
                    <w:bottom w:type="dxa" w:w="40"/>
                    <w:right w:type="dxa" w:w="80"/>
                  </w:tcMar>
                </w:tcPr>
                <w:p>
                  <w:pPr>
                    <w:spacing w:after="0"/>
                  </w:pPr>
                  <w:r>
                    <w:rPr>
                      <w:rFonts w:ascii="Aptos" w:cs="Aptos" w:eastAsia="Aptos" w:hAnsi="Aptos"/>
                      <w:b/>
                      <w:bCs/>
                      <w:color w:val="111111"/>
                      <w:sz w:val="18"/>
                      <w:szCs w:val="18"/>
                    </w:rPr>
                    <w:t xml:space="preserve">Fix: </w:t>
                  </w:r>
                  <w:r>
                    <w:rPr>
                      <w:rFonts w:ascii="Aptos" w:cs="Aptos" w:eastAsia="Aptos" w:hAnsi="Aptos"/>
                      <w:i/>
                      <w:iCs/>
                      <w:color w:val="555555"/>
                      <w:sz w:val="18"/>
                      <w:szCs w:val="18"/>
                    </w:rPr>
                    <w:t xml:space="preserve">Label each paragraph C (close) or W (wide). Find the longest same-level run. Write one zoom transition sentence that connects the last paragraph of the run to the scale you need to move toward.</w:t>
                  </w:r>
                </w:p>
              </w:tc>
            </w:tr>
          </w:tbl>
          <w:p>
            <w:pPr>
              <w:spacing w:after="60"/>
            </w:pPr>
            <w:r>
              <w:rPr>
                <w:rFonts w:ascii="Aptos" w:cs="Aptos" w:eastAsia="Aptos" w:hAnsi="Aptos"/>
                <w:color w:val="111111"/>
                <w:sz w:val="18"/>
                <w:szCs w:val="18"/>
              </w:rPr>
              <w:t xml:space="preserve"/>
            </w:r>
          </w:p>
        </w:tc>
        <w:tc>
          <w:tcPr>
            <w:tcW w:type="dxa" w:w="22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pPr>
            <w:r>
              <w:rPr>
                <w:rFonts w:ascii="Aptos" w:cs="Aptos" w:eastAsia="Aptos" w:hAnsi="Aptos"/>
                <w:color w:val="111111"/>
                <w:sz w:val="18"/>
                <w:szCs w:val="18"/>
              </w:rPr>
              <w:t xml:space="preserve"/>
            </w:r>
          </w:p>
        </w:tc>
        <w:tc>
          <w:tcPr>
            <w:tcW w:type="dxa" w:w="5051"/>
            <w:tcBorders>
              <w:top w:val="none" w:color="FFFFFF" w:sz="0"/>
              <w:left w:val="none" w:color="FFFFFF" w:sz="0"/>
              <w:bottom w:val="none" w:color="FFFFFF" w:sz="0"/>
              <w:right w:val="none" w:color="FFFFFF" w:sz="0"/>
            </w:tcBorders>
            <w:shd w:fill="FFFFFF" w:val="clear"/>
            <w:tcMar>
              <w:top w:type="dxa" w:w="80"/>
              <w:left w:type="dxa" w:w="80"/>
              <w:bottom w:type="dxa" w:w="40"/>
              <w:right w:type="dxa" w:w="80"/>
            </w:tcMar>
          </w:tcPr>
          <w:p>
            <w:pPr>
              <w:spacing w:after="50"/>
            </w:pPr>
            <w:r>
              <w:rPr>
                <w:rFonts w:ascii="Aptos" w:cs="Aptos" w:eastAsia="Aptos" w:hAnsi="Aptos"/>
                <w:b/>
                <w:bCs/>
                <w:color w:val="8C072D"/>
                <w:sz w:val="20"/>
                <w:szCs w:val="20"/>
              </w:rPr>
              <w:t xml:space="preserve">4 — Sustained register</w:t>
            </w:r>
          </w:p>
          <w:p>
            <w:pPr>
              <w:spacing w:after="60"/>
            </w:pPr>
            <w:r>
              <w:rPr>
                <w:rFonts w:ascii="Aptos" w:cs="Aptos" w:eastAsia="Aptos" w:hAnsi="Aptos"/>
                <w:b w:val="false"/>
                <w:bCs w:val="false"/>
                <w:i w:val="false"/>
                <w:iCs w:val="false"/>
                <w:color w:val="555555"/>
                <w:sz w:val="18"/>
                <w:szCs w:val="18"/>
              </w:rPr>
              <w:t xml:space="preserve">Register is the level of formality and the relationship it implies with the reader. A cohesive text does not lurch between registers without intention. This does not mean uniformity: voice can shift between intimate and analytical, colloquial and formal — but the shifts must be </w:t>
            </w:r>
            <w:r>
              <w:rPr>
                <w:rFonts w:ascii="Aptos" w:cs="Aptos" w:eastAsia="Aptos" w:hAnsi="Aptos"/>
                <w:b/>
                <w:bCs/>
                <w:i w:val="false"/>
                <w:iCs w:val="false"/>
                <w:color w:val="111111"/>
                <w:sz w:val="18"/>
                <w:szCs w:val="18"/>
              </w:rPr>
              <w:t xml:space="preserve">earned</w:t>
            </w:r>
            <w:r>
              <w:rPr>
                <w:rFonts w:ascii="Aptos" w:cs="Aptos" w:eastAsia="Aptos" w:hAnsi="Aptos"/>
                <w:b w:val="false"/>
                <w:bCs w:val="false"/>
                <w:i w:val="false"/>
                <w:iCs w:val="false"/>
                <w:color w:val="555555"/>
                <w:sz w:val="18"/>
                <w:szCs w:val="18"/>
              </w:rPr>
              <w:t xml:space="preserve"> by what the text is doing at that moment.</w:t>
            </w:r>
          </w:p>
          <w:tbl>
            <w:tblPr>
              <w:tblW w:type="dxa" w:w="4891"/>
              <w:tblBorders>
                <w:top w:val="single" w:color="auto" w:sz="4"/>
                <w:left w:val="single" w:color="auto" w:sz="4"/>
                <w:bottom w:val="single" w:color="auto" w:sz="4"/>
                <w:right w:val="single" w:color="auto" w:sz="4"/>
                <w:insideH w:val="single" w:color="auto" w:sz="4"/>
                <w:insideV w:val="single" w:color="auto" w:sz="4"/>
              </w:tblBorders>
            </w:tblPr>
            <w:tblGrid>
              <w:gridCol w:w="4891"/>
            </w:tblGrid>
            <w:tr>
              <w:tc>
                <w:tcPr>
                  <w:tcW w:type="dxa" w:w="4891"/>
                  <w:tcBorders>
                    <w:top w:val="none" w:color="FFFFFF" w:sz="0"/>
                    <w:left w:val="single" w:color="8C072D" w:sz="12"/>
                    <w:bottom w:val="none" w:color="FFFFFF" w:sz="0"/>
                    <w:right w:val="none" w:color="FFFFFF" w:sz="0"/>
                  </w:tcBorders>
                  <w:shd w:fill="F9EEF2" w:val="clear"/>
                  <w:tcMar>
                    <w:top w:type="dxa" w:w="40"/>
                    <w:left w:type="dxa" w:w="120"/>
                    <w:bottom w:type="dxa" w:w="40"/>
                    <w:right w:type="dxa" w:w="80"/>
                  </w:tcMar>
                </w:tcPr>
                <w:p>
                  <w:pPr>
                    <w:spacing w:after="0"/>
                  </w:pPr>
                  <w:r>
                    <w:rPr>
                      <w:rFonts w:ascii="Aptos" w:cs="Aptos" w:eastAsia="Aptos" w:hAnsi="Aptos"/>
                      <w:b/>
                      <w:bCs/>
                      <w:color w:val="8C072D"/>
                      <w:sz w:val="18"/>
                      <w:szCs w:val="18"/>
                    </w:rPr>
                    <w:t xml:space="preserve">Signal: </w:t>
                  </w:r>
                  <w:r>
                    <w:rPr>
                      <w:rFonts w:ascii="Aptos" w:cs="Aptos" w:eastAsia="Aptos" w:hAnsi="Aptos"/>
                      <w:i/>
                      <w:iCs/>
                      <w:color w:val="555555"/>
                      <w:sz w:val="18"/>
                      <w:szCs w:val="18"/>
                    </w:rPr>
                    <w:t xml:space="preserve">A sentence that sounds like a different writer appeared mid-paragraph, or a sudden drop into slang in an otherwise formal piece — or the reverse.</w:t>
                  </w:r>
                </w:p>
              </w:tc>
            </w:tr>
          </w:tbl>
          <w:p>
            <w:pPr>
              <w:spacing w:after="40"/>
            </w:pPr>
            <w:r>
              <w:rPr>
                <w:rFonts w:ascii="Aptos" w:cs="Aptos" w:eastAsia="Aptos" w:hAnsi="Aptos"/>
                <w:color w:val="111111"/>
                <w:sz w:val="18"/>
                <w:szCs w:val="18"/>
              </w:rPr>
              <w:t xml:space="preserve"/>
            </w:r>
          </w:p>
          <w:tbl>
            <w:tblPr>
              <w:tblW w:type="dxa" w:w="4891"/>
              <w:tblBorders>
                <w:top w:val="single" w:color="auto" w:sz="4"/>
                <w:left w:val="single" w:color="auto" w:sz="4"/>
                <w:bottom w:val="single" w:color="auto" w:sz="4"/>
                <w:right w:val="single" w:color="auto" w:sz="4"/>
                <w:insideH w:val="single" w:color="auto" w:sz="4"/>
                <w:insideV w:val="single" w:color="auto" w:sz="4"/>
              </w:tblBorders>
            </w:tblPr>
            <w:tblGrid>
              <w:gridCol w:w="4891"/>
            </w:tblGrid>
            <w:tr>
              <w:tc>
                <w:tcPr>
                  <w:tcW w:type="dxa" w:w="4891"/>
                  <w:tcBorders>
                    <w:top w:val="none" w:color="FFFFFF" w:sz="0"/>
                    <w:left w:val="single" w:color="888888" w:sz="8"/>
                    <w:bottom w:val="none" w:color="FFFFFF" w:sz="0"/>
                    <w:right w:val="none" w:color="FFFFFF" w:sz="0"/>
                  </w:tcBorders>
                  <w:shd w:fill="F5F5F5" w:val="clear"/>
                  <w:tcMar>
                    <w:top w:type="dxa" w:w="40"/>
                    <w:left w:type="dxa" w:w="120"/>
                    <w:bottom w:type="dxa" w:w="40"/>
                    <w:right w:type="dxa" w:w="80"/>
                  </w:tcMar>
                </w:tcPr>
                <w:p>
                  <w:pPr>
                    <w:spacing w:after="0"/>
                  </w:pPr>
                  <w:r>
                    <w:rPr>
                      <w:rFonts w:ascii="Aptos" w:cs="Aptos" w:eastAsia="Aptos" w:hAnsi="Aptos"/>
                      <w:b/>
                      <w:bCs/>
                      <w:color w:val="111111"/>
                      <w:sz w:val="18"/>
                      <w:szCs w:val="18"/>
                    </w:rPr>
                    <w:t xml:space="preserve">Fix: </w:t>
                  </w:r>
                  <w:r>
                    <w:rPr>
                      <w:rFonts w:ascii="Aptos" w:cs="Aptos" w:eastAsia="Aptos" w:hAnsi="Aptos"/>
                      <w:i/>
                      <w:iCs/>
                      <w:color w:val="555555"/>
                      <w:sz w:val="18"/>
                      <w:szCs w:val="18"/>
                    </w:rPr>
                    <w:t xml:space="preserve">Read the text aloud. Mark every moment where the register shifts. Ask: is this shift doing something — signalling a change in scale, a turn, a moment of intimacy? If not, revise toward consistency.</w:t>
                  </w:r>
                </w:p>
              </w:tc>
            </w:tr>
          </w:tbl>
          <w:p>
            <w:pPr>
              <w:spacing w:after="60"/>
            </w:pPr>
            <w:r>
              <w:rPr>
                <w:rFonts w:ascii="Aptos" w:cs="Aptos" w:eastAsia="Aptos" w:hAnsi="Aptos"/>
                <w:color w:val="111111"/>
                <w:sz w:val="18"/>
                <w:szCs w:val="18"/>
              </w:rPr>
              <w:t xml:space="preserve"/>
            </w:r>
          </w:p>
        </w:tc>
      </w:tr>
    </w:tbl>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10322"/>
      </w:tblGrid>
      <w:tr>
        <w:tc>
          <w:tcPr>
            <w:tcW w:type="dxa" w:w="10322"/>
            <w:tcBorders>
              <w:top w:val="single" w:color="E0B0BC" w:sz="4"/>
              <w:left w:val="none" w:color="FFFFFF" w:sz="0"/>
              <w:bottom w:val="none" w:color="FFFFFF" w:sz="0"/>
              <w:right w:val="none" w:color="FFFFFF" w:sz="0"/>
            </w:tcBorders>
            <w:shd w:fill="FFFFFF" w:val="clear"/>
            <w:tcMar>
              <w:top w:type="dxa" w:w="0"/>
              <w:left w:type="dxa" w:w="0"/>
              <w:bottom w:type="dxa" w:w="0"/>
              <w:right w:type="dxa" w:w="0"/>
            </w:tcMar>
          </w:tcPr>
          <w:p>
            <w:pPr>
              <w:spacing w:after="0"/>
            </w:pPr>
            <w:r>
              <w:rPr>
                <w:rFonts w:ascii="Aptos" w:cs="Aptos" w:eastAsia="Aptos" w:hAnsi="Aptos"/>
                <w:color w:val="111111"/>
                <w:sz w:val="18"/>
                <w:szCs w:val="18"/>
              </w:rPr>
              <w:t xml:space="preserve"/>
            </w:r>
          </w:p>
        </w:tc>
      </w:tr>
      <w:tr>
        <w:tc>
          <w:tcPr>
            <w:tcW w:type="dxa" w:w="10322"/>
            <w:tcBorders>
              <w:top w:val="none" w:color="FFFFFF" w:sz="0"/>
              <w:left w:val="none" w:color="FFFFFF" w:sz="0"/>
              <w:bottom w:val="none" w:color="FFFFFF" w:sz="0"/>
              <w:right w:val="none" w:color="FFFFFF" w:sz="0"/>
            </w:tcBorders>
            <w:shd w:fill="FFFFFF" w:val="clear"/>
            <w:tcMar>
              <w:top w:type="dxa" w:w="80"/>
              <w:left w:type="dxa" w:w="80"/>
              <w:bottom w:type="dxa" w:w="40"/>
              <w:right w:type="dxa" w:w="80"/>
            </w:tcMar>
          </w:tcPr>
          <w:p>
            <w:pPr>
              <w:spacing w:after="50"/>
            </w:pPr>
            <w:r>
              <w:rPr>
                <w:rFonts w:ascii="Aptos" w:cs="Aptos" w:eastAsia="Aptos" w:hAnsi="Aptos"/>
                <w:b/>
                <w:bCs/>
                <w:color w:val="8C072D"/>
                <w:sz w:val="20"/>
                <w:szCs w:val="20"/>
              </w:rPr>
              <w:t xml:space="preserve">5 — Voice as structure</w:t>
            </w:r>
          </w:p>
          <w:tbl>
            <w:tblPr>
              <w:tblW w:type="dxa" w:w="10162"/>
              <w:tblBorders>
                <w:top w:val="single" w:color="auto" w:sz="4"/>
                <w:left w:val="single" w:color="auto" w:sz="4"/>
                <w:bottom w:val="single" w:color="auto" w:sz="4"/>
                <w:right w:val="single" w:color="auto" w:sz="4"/>
                <w:insideH w:val="single" w:color="auto" w:sz="4"/>
                <w:insideV w:val="single" w:color="auto" w:sz="4"/>
              </w:tblBorders>
            </w:tblPr>
            <w:tblGrid>
              <w:gridCol w:w="4981"/>
              <w:gridCol w:w="200"/>
              <w:gridCol w:w="4981"/>
            </w:tblGrid>
            <w:tr>
              <w:tc>
                <w:tcPr>
                  <w:tcW w:type="dxa" w:w="4981"/>
                  <w:tcBorders>
                    <w:top w:val="none" w:color="FFFFFF" w:sz="0"/>
                    <w:left w:val="none" w:color="FFFFFF" w:sz="0"/>
                    <w:bottom w:val="none" w:color="FFFFFF" w:sz="0"/>
                    <w:right w:val="none" w:color="FFFFFF" w:sz="0"/>
                  </w:tcBorders>
                  <w:shd w:fill="FFFFFF" w:val="clear"/>
                  <w:tcMar>
                    <w:top w:type="dxa" w:w="0"/>
                    <w:left w:type="dxa" w:w="0"/>
                    <w:bottom w:type="dxa" w:w="0"/>
                    <w:right w:type="dxa" w:w="60"/>
                  </w:tcMar>
                </w:tcPr>
                <w:p>
                  <w:pPr>
                    <w:spacing w:after="60"/>
                  </w:pPr>
                  <w:r>
                    <w:rPr>
                      <w:rFonts w:ascii="Aptos" w:cs="Aptos" w:eastAsia="Aptos" w:hAnsi="Aptos"/>
                      <w:color w:val="111111"/>
                      <w:sz w:val="18"/>
                      <w:szCs w:val="18"/>
                    </w:rPr>
                    <w:t xml:space="preserve">In non-fiction, voice is not just style — it is a structural commitment. The reader forms an implicit contract with the speaker on the first page. A consistent perspective, syntax pattern, and relationship to the material holds the text together even across formal shifts in scale or register. When voice becomes inconsistent, the reader loses their sense of who is guiding them — and the text loses its sense of a single intelligence at work.</w:t>
                  </w:r>
                </w:p>
                <w:tbl>
                  <w:tblPr>
                    <w:tblW w:type="dxa" w:w="4981"/>
                    <w:tblBorders>
                      <w:top w:val="single" w:color="auto" w:sz="4"/>
                      <w:left w:val="single" w:color="auto" w:sz="4"/>
                      <w:bottom w:val="single" w:color="auto" w:sz="4"/>
                      <w:right w:val="single" w:color="auto" w:sz="4"/>
                      <w:insideH w:val="single" w:color="auto" w:sz="4"/>
                      <w:insideV w:val="single" w:color="auto" w:sz="4"/>
                    </w:tblBorders>
                  </w:tblPr>
                  <w:tblGrid>
                    <w:gridCol w:w="4981"/>
                  </w:tblGrid>
                  <w:tr>
                    <w:tc>
                      <w:tcPr>
                        <w:tcW w:type="dxa" w:w="4981"/>
                        <w:tcBorders>
                          <w:top w:val="none" w:color="FFFFFF" w:sz="0"/>
                          <w:left w:val="single" w:color="8C072D" w:sz="12"/>
                          <w:bottom w:val="none" w:color="FFFFFF" w:sz="0"/>
                          <w:right w:val="none" w:color="FFFFFF" w:sz="0"/>
                        </w:tcBorders>
                        <w:shd w:fill="F9EEF2" w:val="clear"/>
                        <w:tcMar>
                          <w:top w:type="dxa" w:w="40"/>
                          <w:left w:type="dxa" w:w="120"/>
                          <w:bottom w:type="dxa" w:w="40"/>
                          <w:right w:type="dxa" w:w="80"/>
                        </w:tcMar>
                      </w:tcPr>
                      <w:p>
                        <w:pPr>
                          <w:spacing w:after="0"/>
                        </w:pPr>
                        <w:r>
                          <w:rPr>
                            <w:rFonts w:ascii="Aptos" w:cs="Aptos" w:eastAsia="Aptos" w:hAnsi="Aptos"/>
                            <w:b/>
                            <w:bCs/>
                            <w:color w:val="8C072D"/>
                            <w:sz w:val="18"/>
                            <w:szCs w:val="18"/>
                          </w:rPr>
                          <w:t xml:space="preserve">Signal: </w:t>
                        </w:r>
                        <w:r>
                          <w:rPr>
                            <w:rFonts w:ascii="Aptos" w:cs="Aptos" w:eastAsia="Aptos" w:hAnsi="Aptos"/>
                            <w:i/>
                            <w:iCs/>
                            <w:color w:val="555555"/>
                            <w:sz w:val="18"/>
                            <w:szCs w:val="18"/>
                          </w:rPr>
                          <w:t xml:space="preserve">The text reads differently in different sections — not because the content changes, but because the speaker seems to change.</w:t>
                        </w:r>
                      </w:p>
                    </w:tc>
                  </w:tr>
                </w:tbl>
                <w:p/>
              </w:tc>
              <w:tc>
                <w:tcPr>
                  <w:tcW w:type="dxa" w:w="2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pPr>
                  <w:r>
                    <w:rPr>
                      <w:rFonts w:ascii="Aptos" w:cs="Aptos" w:eastAsia="Aptos" w:hAnsi="Aptos"/>
                      <w:color w:val="111111"/>
                      <w:sz w:val="18"/>
                      <w:szCs w:val="18"/>
                    </w:rPr>
                    <w:t xml:space="preserve"/>
                  </w:r>
                </w:p>
              </w:tc>
              <w:tc>
                <w:tcPr>
                  <w:tcW w:type="dxa" w:w="4981"/>
                  <w:tcBorders>
                    <w:top w:val="none" w:color="FFFFFF" w:sz="0"/>
                    <w:left w:val="none" w:color="FFFFFF" w:sz="0"/>
                    <w:bottom w:val="none" w:color="FFFFFF" w:sz="0"/>
                    <w:right w:val="none" w:color="FFFFFF" w:sz="0"/>
                  </w:tcBorders>
                  <w:shd w:fill="FFFFFF" w:val="clear"/>
                  <w:tcMar>
                    <w:top w:type="dxa" w:w="0"/>
                    <w:left w:type="dxa" w:w="60"/>
                    <w:bottom w:type="dxa" w:w="0"/>
                    <w:right w:type="dxa" w:w="0"/>
                  </w:tcMar>
                </w:tcPr>
                <w:tbl>
                  <w:tblPr>
                    <w:tblW w:type="dxa" w:w="4981"/>
                    <w:tblBorders>
                      <w:top w:val="single" w:color="auto" w:sz="4"/>
                      <w:left w:val="single" w:color="auto" w:sz="4"/>
                      <w:bottom w:val="single" w:color="auto" w:sz="4"/>
                      <w:right w:val="single" w:color="auto" w:sz="4"/>
                      <w:insideH w:val="single" w:color="auto" w:sz="4"/>
                      <w:insideV w:val="single" w:color="auto" w:sz="4"/>
                    </w:tblBorders>
                  </w:tblPr>
                  <w:tblGrid>
                    <w:gridCol w:w="4981"/>
                  </w:tblGrid>
                  <w:tr>
                    <w:tc>
                      <w:tcPr>
                        <w:tcW w:type="dxa" w:w="4981"/>
                        <w:tcBorders>
                          <w:top w:val="none" w:color="FFFFFF" w:sz="0"/>
                          <w:left w:val="single" w:color="888888" w:sz="8"/>
                          <w:bottom w:val="none" w:color="FFFFFF" w:sz="0"/>
                          <w:right w:val="none" w:color="FFFFFF" w:sz="0"/>
                        </w:tcBorders>
                        <w:shd w:fill="F5F5F5" w:val="clear"/>
                        <w:tcMar>
                          <w:top w:type="dxa" w:w="40"/>
                          <w:left w:type="dxa" w:w="120"/>
                          <w:bottom w:type="dxa" w:w="40"/>
                          <w:right w:type="dxa" w:w="80"/>
                        </w:tcMar>
                      </w:tcPr>
                      <w:p>
                        <w:pPr>
                          <w:spacing w:after="0"/>
                        </w:pPr>
                        <w:r>
                          <w:rPr>
                            <w:rFonts w:ascii="Aptos" w:cs="Aptos" w:eastAsia="Aptos" w:hAnsi="Aptos"/>
                            <w:b/>
                            <w:bCs/>
                            <w:color w:val="111111"/>
                            <w:sz w:val="18"/>
                            <w:szCs w:val="18"/>
                          </w:rPr>
                          <w:t xml:space="preserve">Fix: </w:t>
                        </w:r>
                        <w:r>
                          <w:rPr>
                            <w:rFonts w:ascii="Aptos" w:cs="Aptos" w:eastAsia="Aptos" w:hAnsi="Aptos"/>
                            <w:i/>
                            <w:iCs/>
                            <w:color w:val="555555"/>
                            <w:sz w:val="18"/>
                            <w:szCs w:val="18"/>
                          </w:rPr>
                          <w:t xml:space="preserve">Identify the two or three syntactic habits that define your voice in the strongest passage. Read a weaker passage and revise toward those habits — not copying the sentences, but restoring the speaker.</w:t>
                        </w:r>
                      </w:p>
                    </w:tc>
                  </w:tr>
                </w:tbl>
                <w:p/>
              </w:tc>
            </w:tr>
          </w:tbl>
          <w:p/>
        </w:tc>
      </w:tr>
    </w:tbl>
    <w:sectPr>
      <w:pgSz w:w="11906" w:h="16838" w:orient="portrait"/>
      <w:pgMar w:top="792" w:right="792" w:bottom="792" w:left="7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DD71352A75C946BB20F54B03F82ED8" ma:contentTypeVersion="3" ma:contentTypeDescription="Create a new document." ma:contentTypeScope="" ma:versionID="315bef5393da02ff7bc35706e700838a">
  <xsd:schema xmlns:xsd="http://www.w3.org/2001/XMLSchema" xmlns:xs="http://www.w3.org/2001/XMLSchema" xmlns:p="http://schemas.microsoft.com/office/2006/metadata/properties" xmlns:ns2="4cbcb5a7-ad30-44dd-8fe0-28a40b313a95" targetNamespace="http://schemas.microsoft.com/office/2006/metadata/properties" ma:root="true" ma:fieldsID="422e011a5d13e18529d318e279d76ba2" ns2:_="">
    <xsd:import namespace="4cbcb5a7-ad30-44dd-8fe0-28a40b313a9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bcb5a7-ad30-44dd-8fe0-28a40b313a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F64B74-44EA-4495-8754-119B594E05D2}"/>
</file>

<file path=customXml/itemProps2.xml><?xml version="1.0" encoding="utf-8"?>
<ds:datastoreItem xmlns:ds="http://schemas.openxmlformats.org/officeDocument/2006/customXml" ds:itemID="{365D9B10-91CF-432E-9633-84B0321BAB15}"/>
</file>

<file path=customXml/itemProps3.xml><?xml version="1.0" encoding="utf-8"?>
<ds:datastoreItem xmlns:ds="http://schemas.openxmlformats.org/officeDocument/2006/customXml" ds:itemID="{A38A6235-2C9E-40AF-B806-F09C3F0DBC2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2026-05-04T23:27:05Z</dcterms:created>
  <dcterms:modified xsi:type="dcterms:W3CDTF">2026-05-04T23:27:05Z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0x010100F6DD71352A75C946BB20F54B03F82ED8</vt:lpwstr>
  </property>
</Properties>
</file>