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5BB2B" w14:textId="6E919E5D" w:rsidR="00F67AFF" w:rsidRDefault="00C43C2B" w:rsidP="00D858C9">
      <w:pPr>
        <w:pStyle w:val="Heading1"/>
        <w:spacing w:before="0"/>
      </w:pPr>
      <w:r>
        <w:t xml:space="preserve">What’s so wrong with </w:t>
      </w:r>
      <w:r w:rsidRPr="00CC57A1">
        <w:rPr>
          <w:i/>
          <w:iCs/>
        </w:rPr>
        <w:t>utilise</w:t>
      </w:r>
      <w:r>
        <w:t>?</w:t>
      </w:r>
    </w:p>
    <w:p w14:paraId="38177CEC" w14:textId="72B1958D" w:rsidR="00C43C2B" w:rsidRDefault="00416859">
      <w:r w:rsidRPr="00416859">
        <w:t xml:space="preserve">George Orwell (1946) once famously wrote that good </w:t>
      </w:r>
      <w:r>
        <w:t>writing</w:t>
      </w:r>
      <w:r w:rsidRPr="00416859">
        <w:t xml:space="preserve"> should be like a window-pane</w:t>
      </w:r>
      <w:r>
        <w:t xml:space="preserve"> –</w:t>
      </w:r>
      <w:r w:rsidRPr="00416859">
        <w:t xml:space="preserve"> transparent</w:t>
      </w:r>
      <w:r>
        <w:t xml:space="preserve"> </w:t>
      </w:r>
      <w:r w:rsidRPr="00416859">
        <w:t>to the reader and reflecting meaning without the smears of poor construction or the cloudiness of jargon.</w:t>
      </w:r>
    </w:p>
    <w:p w14:paraId="137CD150" w14:textId="02FC51DD" w:rsidR="007A697F" w:rsidRDefault="007A697F">
      <w:r>
        <w:t>In short, good writing is clear and efficient.</w:t>
      </w:r>
    </w:p>
    <w:p w14:paraId="56367697" w14:textId="6DD9311F" w:rsidR="007A697F" w:rsidRDefault="009A45E0">
      <w:r>
        <w:t xml:space="preserve">The word </w:t>
      </w:r>
      <w:r>
        <w:rPr>
          <w:i/>
          <w:iCs/>
        </w:rPr>
        <w:t>utilise</w:t>
      </w:r>
      <w:r>
        <w:t xml:space="preserve"> is neither.</w:t>
      </w:r>
    </w:p>
    <w:p w14:paraId="0FAED4E7" w14:textId="66EBC80D" w:rsidR="000452BD" w:rsidRDefault="000452BD">
      <w:r>
        <w:t xml:space="preserve">Students (and </w:t>
      </w:r>
      <w:r w:rsidR="00371C6B">
        <w:t xml:space="preserve">older people) tend to use it when they instinctively feel like their writing isn’t sophisticated enough. In that sense, it’s a sign that you’re feeling insecure about your expression. Using the word is like </w:t>
      </w:r>
      <w:r w:rsidR="00BA4604">
        <w:t>running</w:t>
      </w:r>
      <w:r w:rsidR="00371C6B">
        <w:t xml:space="preserve"> a highlighter over the sentence</w:t>
      </w:r>
      <w:r w:rsidR="00BA4604">
        <w:t>, drawing attention to the fact that you’re not sure about what you want to say.</w:t>
      </w:r>
    </w:p>
    <w:p w14:paraId="3EF0E330" w14:textId="1DEB04AA" w:rsidR="00BA4604" w:rsidRDefault="00BA4604">
      <w:r>
        <w:t>Here’s three explanations, each with some advice on how better to fix it.</w:t>
      </w:r>
    </w:p>
    <w:p w14:paraId="1EC5E4D7" w14:textId="2553A1F5" w:rsidR="00BA4604" w:rsidRDefault="00BA4604" w:rsidP="00BA4604">
      <w:pPr>
        <w:pStyle w:val="ListParagraph"/>
        <w:numPr>
          <w:ilvl w:val="0"/>
          <w:numId w:val="1"/>
        </w:numPr>
      </w:pPr>
      <w:r>
        <w:rPr>
          <w:i/>
          <w:iCs/>
        </w:rPr>
        <w:t>Utilise</w:t>
      </w:r>
      <w:r>
        <w:t xml:space="preserve"> isn’t a perfect </w:t>
      </w:r>
      <w:r w:rsidR="001E5BC4">
        <w:t xml:space="preserve">synonym for </w:t>
      </w:r>
      <w:r w:rsidR="001E5BC4" w:rsidRPr="001E5BC4">
        <w:rPr>
          <w:i/>
          <w:iCs/>
        </w:rPr>
        <w:t>use</w:t>
      </w:r>
      <w:r w:rsidR="001E5BC4">
        <w:t xml:space="preserve">. </w:t>
      </w:r>
      <w:r w:rsidR="00C047D0">
        <w:t xml:space="preserve">It’s a more technical word that means “to take advantage of that which is available.” </w:t>
      </w:r>
      <w:r w:rsidR="00AA0B4E">
        <w:t>If you were given ten words that you had to include in a paragraph, then you would be utilising those ten words as best you c</w:t>
      </w:r>
      <w:r w:rsidR="00780F69">
        <w:t xml:space="preserve">ould. This is not the same as choosing a word, idea, language device </w:t>
      </w:r>
      <w:r w:rsidR="00D131FC">
        <w:t>etc to place in a sentence.</w:t>
      </w:r>
    </w:p>
    <w:p w14:paraId="797ECC7E" w14:textId="5EEB5825" w:rsidR="001E5BC4" w:rsidRDefault="00D131FC" w:rsidP="00B4098F">
      <w:pPr>
        <w:ind w:left="720"/>
      </w:pPr>
      <w:r>
        <w:t xml:space="preserve">At least some of you have just googled the definition of the word, and you’ll want to prove me wrong. </w:t>
      </w:r>
      <w:r>
        <w:rPr>
          <w:i/>
          <w:iCs/>
        </w:rPr>
        <w:t>Look sir, the dictionary says that it means the same as “use”</w:t>
      </w:r>
      <w:r>
        <w:t xml:space="preserve">. Yes. That’s how dictionaries work – they describe the way people use the word. But what’s more important </w:t>
      </w:r>
      <w:r w:rsidR="006C105F">
        <w:t>is that you think critically about your own writing in order to communicate as clearly and effectively as you can.</w:t>
      </w:r>
    </w:p>
    <w:p w14:paraId="10031A94" w14:textId="77777777" w:rsidR="00B4098F" w:rsidRDefault="00B4098F" w:rsidP="00B4098F">
      <w:pPr>
        <w:ind w:left="720"/>
      </w:pPr>
    </w:p>
    <w:p w14:paraId="520C02C9" w14:textId="4F5AE680" w:rsidR="000452BD" w:rsidRDefault="00B4098F" w:rsidP="000452BD">
      <w:pPr>
        <w:pStyle w:val="ListParagraph"/>
        <w:numPr>
          <w:ilvl w:val="0"/>
          <w:numId w:val="1"/>
        </w:numPr>
      </w:pPr>
      <w:r w:rsidRPr="77E5AE02">
        <w:rPr>
          <w:i/>
          <w:iCs/>
        </w:rPr>
        <w:t xml:space="preserve">Even if </w:t>
      </w:r>
      <w:r>
        <w:t xml:space="preserve">we consider </w:t>
      </w:r>
      <w:r w:rsidRPr="77E5AE02">
        <w:rPr>
          <w:i/>
          <w:iCs/>
        </w:rPr>
        <w:t>u</w:t>
      </w:r>
      <w:r w:rsidR="000452BD" w:rsidRPr="77E5AE02">
        <w:rPr>
          <w:i/>
          <w:iCs/>
        </w:rPr>
        <w:t xml:space="preserve">tilise </w:t>
      </w:r>
      <w:r>
        <w:t>to be</w:t>
      </w:r>
      <w:r w:rsidR="000452BD">
        <w:t xml:space="preserve"> a more complicated way of saying </w:t>
      </w:r>
      <w:r w:rsidR="000452BD" w:rsidRPr="77E5AE02">
        <w:rPr>
          <w:i/>
          <w:iCs/>
        </w:rPr>
        <w:t>use</w:t>
      </w:r>
      <w:r w:rsidR="000452BD">
        <w:t xml:space="preserve">, </w:t>
      </w:r>
      <w:r>
        <w:t>then</w:t>
      </w:r>
      <w:r w:rsidR="000452BD">
        <w:t xml:space="preserve"> it </w:t>
      </w:r>
      <w:r>
        <w:t>still</w:t>
      </w:r>
      <w:r w:rsidR="000452BD">
        <w:t xml:space="preserve"> doesn't add any extra meaning. When writing or speaking, it's usually best to choose simple, clear words that make your message easy to understand.</w:t>
      </w:r>
    </w:p>
    <w:p w14:paraId="462B9F8E" w14:textId="03C5BE10" w:rsidR="000452BD" w:rsidRDefault="000452BD" w:rsidP="000452BD">
      <w:pPr>
        <w:ind w:left="720"/>
      </w:pPr>
      <w:r>
        <w:t>For example:</w:t>
      </w:r>
      <w:r w:rsidR="00B4098F">
        <w:t xml:space="preserve"> </w:t>
      </w:r>
      <w:r>
        <w:t>Instead of saying, "I will utilise this tool," you can simply say, "I will use this tool."</w:t>
      </w:r>
      <w:r w:rsidR="00B4098F">
        <w:t xml:space="preserve"> </w:t>
      </w:r>
    </w:p>
    <w:p w14:paraId="32E5DD27" w14:textId="1294F07E" w:rsidR="009A45E0" w:rsidRDefault="000452BD" w:rsidP="000452BD">
      <w:pPr>
        <w:ind w:left="720"/>
      </w:pPr>
      <w:r>
        <w:t>"Utilise" can come across as overly formal or pretentious, especially in school essays or everyday communication. Your goal should be clarity and simplicity—teachers and readers will appreciate that more than fancy-sounding words.</w:t>
      </w:r>
    </w:p>
    <w:p w14:paraId="420FF115" w14:textId="77777777" w:rsidR="00B4098F" w:rsidRDefault="00B4098F" w:rsidP="000452BD">
      <w:pPr>
        <w:ind w:left="720"/>
      </w:pPr>
    </w:p>
    <w:p w14:paraId="083F67C7" w14:textId="0FC98C94" w:rsidR="00E54084" w:rsidRDefault="00B4098F" w:rsidP="00DA1CB0">
      <w:pPr>
        <w:pStyle w:val="ListParagraph"/>
        <w:numPr>
          <w:ilvl w:val="0"/>
          <w:numId w:val="1"/>
        </w:numPr>
      </w:pPr>
      <w:r>
        <w:t xml:space="preserve">You </w:t>
      </w:r>
      <w:r w:rsidR="00B56E39">
        <w:t xml:space="preserve">are correct, in the sense that you’ve noticed that your writing doesn’t quite feel sophisticated enough. The problem is just that you’ve reached for the wrong solution! </w:t>
      </w:r>
    </w:p>
    <w:p w14:paraId="3FDC0DAE" w14:textId="7ECE7310" w:rsidR="00DA1CB0" w:rsidRDefault="00DA1CB0" w:rsidP="00DA1CB0">
      <w:pPr>
        <w:ind w:left="720"/>
      </w:pPr>
      <w:r>
        <w:t xml:space="preserve">Simply swapping the verb for a different verb isn’t going to fix the </w:t>
      </w:r>
      <w:r w:rsidR="005754F0">
        <w:t xml:space="preserve">fundamental issue. And fundamental issues require fundamental knowledge. </w:t>
      </w:r>
    </w:p>
    <w:p w14:paraId="4C1468DB" w14:textId="49105DDD" w:rsidR="00DA1CB0" w:rsidRDefault="006C5BE5" w:rsidP="00DA1CB0">
      <w:pPr>
        <w:ind w:left="720"/>
      </w:pPr>
      <w:r>
        <w:t>All sentences</w:t>
      </w:r>
      <w:r w:rsidR="00523C5C">
        <w:t xml:space="preserve"> in an essay need a </w:t>
      </w:r>
      <w:r w:rsidR="00523C5C" w:rsidRPr="77E5AE02">
        <w:rPr>
          <w:b/>
          <w:bCs/>
          <w:color w:val="9F3F21"/>
        </w:rPr>
        <w:t>subject</w:t>
      </w:r>
      <w:r w:rsidR="00523C5C" w:rsidRPr="77E5AE02">
        <w:rPr>
          <w:color w:val="C00000"/>
        </w:rPr>
        <w:t xml:space="preserve"> </w:t>
      </w:r>
      <w:r w:rsidR="00523C5C">
        <w:t xml:space="preserve">and a </w:t>
      </w:r>
      <w:r w:rsidR="00523C5C" w:rsidRPr="77E5AE02">
        <w:rPr>
          <w:b/>
          <w:bCs/>
          <w:color w:val="30A284"/>
        </w:rPr>
        <w:t>verb</w:t>
      </w:r>
      <w:r w:rsidR="00523C5C">
        <w:t>.</w:t>
      </w:r>
    </w:p>
    <w:p w14:paraId="65776BA9" w14:textId="301BB54E" w:rsidR="00DC090C" w:rsidRDefault="00DC090C" w:rsidP="002C7CFA">
      <w:pPr>
        <w:ind w:left="1440"/>
      </w:pPr>
      <w:r w:rsidRPr="002C7CFA">
        <w:rPr>
          <w:i/>
          <w:iCs/>
          <w:color w:val="C00000"/>
        </w:rPr>
        <w:t xml:space="preserve">Kenny G </w:t>
      </w:r>
      <w:r w:rsidRPr="002C7CFA">
        <w:rPr>
          <w:i/>
          <w:iCs/>
          <w:color w:val="30A284"/>
        </w:rPr>
        <w:t xml:space="preserve">used </w:t>
      </w:r>
      <w:r w:rsidRPr="002C7CFA">
        <w:rPr>
          <w:i/>
          <w:iCs/>
        </w:rPr>
        <w:t xml:space="preserve">the soprano saxophone </w:t>
      </w:r>
      <w:r w:rsidR="002C7CFA" w:rsidRPr="002C7CFA">
        <w:rPr>
          <w:i/>
          <w:iCs/>
        </w:rPr>
        <w:t>with</w:t>
      </w:r>
      <w:r w:rsidRPr="002C7CFA">
        <w:rPr>
          <w:i/>
          <w:iCs/>
        </w:rPr>
        <w:t xml:space="preserve"> mind-numbing </w:t>
      </w:r>
      <w:r w:rsidR="002C7CFA" w:rsidRPr="002C7CFA">
        <w:rPr>
          <w:i/>
          <w:iCs/>
        </w:rPr>
        <w:t>regularity.</w:t>
      </w:r>
    </w:p>
    <w:p w14:paraId="7A90FDEB" w14:textId="7D91040D" w:rsidR="002C7CFA" w:rsidRDefault="002C7CFA" w:rsidP="00DA1CB0">
      <w:pPr>
        <w:ind w:left="720"/>
      </w:pPr>
      <w:r>
        <w:t xml:space="preserve">Changing </w:t>
      </w:r>
      <w:r w:rsidRPr="00F40679">
        <w:rPr>
          <w:i/>
          <w:iCs/>
          <w:color w:val="30A284"/>
        </w:rPr>
        <w:t>used</w:t>
      </w:r>
      <w:r w:rsidRPr="00F40679">
        <w:rPr>
          <w:color w:val="30A284"/>
        </w:rPr>
        <w:t xml:space="preserve"> </w:t>
      </w:r>
      <w:r>
        <w:t xml:space="preserve">to </w:t>
      </w:r>
      <w:r w:rsidRPr="00F40679">
        <w:rPr>
          <w:i/>
          <w:iCs/>
          <w:color w:val="30A284"/>
        </w:rPr>
        <w:t>utilised</w:t>
      </w:r>
      <w:r w:rsidRPr="00F40679">
        <w:rPr>
          <w:color w:val="30A284"/>
        </w:rPr>
        <w:t xml:space="preserve"> </w:t>
      </w:r>
      <w:r>
        <w:t xml:space="preserve">isn’t going to make it a better sentence. Changing it to </w:t>
      </w:r>
      <w:r w:rsidR="00F40679" w:rsidRPr="00F40679">
        <w:rPr>
          <w:i/>
          <w:iCs/>
          <w:color w:val="30A284"/>
        </w:rPr>
        <w:t>played</w:t>
      </w:r>
      <w:r w:rsidR="00F40679" w:rsidRPr="00F40679">
        <w:rPr>
          <w:color w:val="30A284"/>
        </w:rPr>
        <w:t xml:space="preserve"> </w:t>
      </w:r>
      <w:r w:rsidR="00F40679">
        <w:t xml:space="preserve">is more accurate and specific, but </w:t>
      </w:r>
      <w:r w:rsidR="00CF09EB">
        <w:t xml:space="preserve">it’s </w:t>
      </w:r>
      <w:r w:rsidR="00F40679">
        <w:t>still the same sentence.</w:t>
      </w:r>
    </w:p>
    <w:p w14:paraId="3D084A2A" w14:textId="660ED032" w:rsidR="00F40679" w:rsidRDefault="005373BA" w:rsidP="00F40679">
      <w:pPr>
        <w:ind w:left="1440"/>
      </w:pPr>
      <w:r w:rsidRPr="00CF4C61">
        <w:rPr>
          <w:color w:val="9F3F21"/>
        </w:rPr>
        <w:t>Geraldine Brooks</w:t>
      </w:r>
      <w:r w:rsidRPr="00CF4C61">
        <w:rPr>
          <w:i/>
          <w:iCs/>
          <w:color w:val="9F3F21"/>
        </w:rPr>
        <w:t xml:space="preserve"> </w:t>
      </w:r>
      <w:r w:rsidRPr="00CF4C61">
        <w:rPr>
          <w:i/>
          <w:iCs/>
          <w:color w:val="30A284"/>
        </w:rPr>
        <w:t>use</w:t>
      </w:r>
      <w:r w:rsidR="00DA1704">
        <w:rPr>
          <w:i/>
          <w:iCs/>
          <w:color w:val="30A284"/>
        </w:rPr>
        <w:t>s</w:t>
      </w:r>
      <w:r w:rsidRPr="00CF4C61">
        <w:rPr>
          <w:i/>
          <w:iCs/>
          <w:color w:val="30A284"/>
        </w:rPr>
        <w:t xml:space="preserve"> </w:t>
      </w:r>
      <w:r>
        <w:t xml:space="preserve">consonance and </w:t>
      </w:r>
      <w:r w:rsidR="00DA1704">
        <w:t>assonance</w:t>
      </w:r>
      <w:r>
        <w:t xml:space="preserve"> to create a </w:t>
      </w:r>
      <w:r w:rsidR="0022658A">
        <w:t>bitter-sweetness that contrasts with the sense of disorder of the plague’s aftermath.</w:t>
      </w:r>
    </w:p>
    <w:p w14:paraId="248673E5" w14:textId="17B6D343" w:rsidR="00CF4C61" w:rsidRDefault="00CF4C61" w:rsidP="00CF4C61">
      <w:pPr>
        <w:ind w:left="720"/>
      </w:pPr>
      <w:r w:rsidRPr="00CF4C61">
        <w:t>Same basic structure; same problem.</w:t>
      </w:r>
    </w:p>
    <w:p w14:paraId="54C09005" w14:textId="778D4B2E" w:rsidR="00CF4C61" w:rsidRDefault="00CF4C61" w:rsidP="00CF4C61">
      <w:pPr>
        <w:ind w:left="720"/>
      </w:pPr>
      <w:r>
        <w:t xml:space="preserve">The issue isn’t the choice of </w:t>
      </w:r>
      <w:r w:rsidRPr="007C056B">
        <w:rPr>
          <w:color w:val="30A284"/>
        </w:rPr>
        <w:t>verb</w:t>
      </w:r>
      <w:r>
        <w:t xml:space="preserve">, but the choice of </w:t>
      </w:r>
      <w:r w:rsidRPr="007C056B">
        <w:rPr>
          <w:color w:val="9F3F21"/>
        </w:rPr>
        <w:t>subject</w:t>
      </w:r>
      <w:r>
        <w:t>.</w:t>
      </w:r>
    </w:p>
    <w:p w14:paraId="58C3E776" w14:textId="355D3F1A" w:rsidR="007C056B" w:rsidRDefault="007C056B" w:rsidP="00CF4C61">
      <w:pPr>
        <w:ind w:left="720"/>
      </w:pPr>
      <w:r>
        <w:t>In both cases, the subject refers to the author or creator of the text (Kenny G and Geraldine Brooks respectively).</w:t>
      </w:r>
      <w:r w:rsidR="000A0E26">
        <w:t xml:space="preserve"> Instead, look at what happens when the subject points to something different:</w:t>
      </w:r>
    </w:p>
    <w:p w14:paraId="2980305E" w14:textId="58D8F9F2" w:rsidR="000A0E26" w:rsidRDefault="000B6A98" w:rsidP="003F6E00">
      <w:pPr>
        <w:ind w:left="1440"/>
      </w:pPr>
      <w:r w:rsidRPr="77E5AE02">
        <w:rPr>
          <w:color w:val="9F3F21"/>
        </w:rPr>
        <w:t xml:space="preserve">Kenny G’s </w:t>
      </w:r>
      <w:r w:rsidR="000A0E26" w:rsidRPr="77E5AE02">
        <w:rPr>
          <w:color w:val="9F3F21"/>
        </w:rPr>
        <w:t xml:space="preserve">soprano saxophone </w:t>
      </w:r>
      <w:r w:rsidR="4522D175" w:rsidRPr="77E5AE02">
        <w:rPr>
          <w:color w:val="30A284"/>
        </w:rPr>
        <w:t>permeates</w:t>
      </w:r>
      <w:r w:rsidR="4522D175" w:rsidRPr="77E5AE02">
        <w:t xml:space="preserve"> the entire genre with </w:t>
      </w:r>
      <w:r>
        <w:t>a mind-numbing regularity.</w:t>
      </w:r>
    </w:p>
    <w:p w14:paraId="22D6C3D1" w14:textId="77777777" w:rsidR="00EC1147" w:rsidRPr="00EC1147" w:rsidRDefault="00EC1147" w:rsidP="00EC1147">
      <w:pPr>
        <w:ind w:left="720"/>
      </w:pPr>
      <w:r w:rsidRPr="00EC1147">
        <w:t>In a text response, you might focus on the language:</w:t>
      </w:r>
    </w:p>
    <w:p w14:paraId="78F23F88" w14:textId="06DB36ED" w:rsidR="00B427EC" w:rsidRDefault="00B427EC" w:rsidP="003F6E00">
      <w:pPr>
        <w:ind w:left="1440"/>
      </w:pPr>
      <w:r>
        <w:rPr>
          <w:color w:val="9F3F21"/>
        </w:rPr>
        <w:t xml:space="preserve">The consonance and </w:t>
      </w:r>
      <w:r w:rsidR="00DA1704">
        <w:rPr>
          <w:color w:val="9F3F21"/>
        </w:rPr>
        <w:t>a</w:t>
      </w:r>
      <w:r>
        <w:rPr>
          <w:color w:val="9F3F21"/>
        </w:rPr>
        <w:t xml:space="preserve">ssonance of </w:t>
      </w:r>
      <w:r w:rsidR="00DA1704">
        <w:rPr>
          <w:color w:val="9F3F21"/>
        </w:rPr>
        <w:t>“ru</w:t>
      </w:r>
      <w:r w:rsidR="00392AF0">
        <w:rPr>
          <w:color w:val="9F3F21"/>
        </w:rPr>
        <w:t>mbling of</w:t>
      </w:r>
      <w:r w:rsidR="00FE1666">
        <w:rPr>
          <w:color w:val="9F3F21"/>
        </w:rPr>
        <w:t xml:space="preserve"> the</w:t>
      </w:r>
      <w:r w:rsidR="00392AF0">
        <w:rPr>
          <w:color w:val="9F3F21"/>
        </w:rPr>
        <w:t xml:space="preserve"> apples tumbling into </w:t>
      </w:r>
      <w:r w:rsidR="00FE1666">
        <w:rPr>
          <w:color w:val="9F3F21"/>
        </w:rPr>
        <w:t xml:space="preserve">the </w:t>
      </w:r>
      <w:r w:rsidR="00392AF0">
        <w:rPr>
          <w:color w:val="9F3F21"/>
        </w:rPr>
        <w:t>cellar bins”</w:t>
      </w:r>
      <w:r w:rsidR="00297CD0">
        <w:rPr>
          <w:color w:val="9F3F21"/>
        </w:rPr>
        <w:t xml:space="preserve"> </w:t>
      </w:r>
      <w:r w:rsidR="00297CD0" w:rsidRPr="00297CD0">
        <w:rPr>
          <w:color w:val="30A284"/>
        </w:rPr>
        <w:t xml:space="preserve">evokes </w:t>
      </w:r>
      <w:r w:rsidR="00297CD0" w:rsidRPr="00297CD0">
        <w:t xml:space="preserve">a </w:t>
      </w:r>
      <w:r w:rsidR="00297CD0">
        <w:t>bitter</w:t>
      </w:r>
      <w:r w:rsidR="00844B47">
        <w:t>-</w:t>
      </w:r>
      <w:r w:rsidR="00297CD0">
        <w:t>sweet</w:t>
      </w:r>
      <w:r w:rsidR="00844B47">
        <w:t>ness that contrasts with the sense of disorder</w:t>
      </w:r>
      <w:r w:rsidR="00062862">
        <w:t xml:space="preserve"> of the plague’s aftermath.</w:t>
      </w:r>
    </w:p>
    <w:p w14:paraId="3B52B643" w14:textId="054EFE88" w:rsidR="0022658A" w:rsidRPr="00EC1147" w:rsidRDefault="0022658A" w:rsidP="0022658A">
      <w:r w:rsidRPr="00EC1147">
        <w:tab/>
      </w:r>
      <w:r w:rsidR="00EC1147" w:rsidRPr="00EC1147">
        <w:t>Or you can change the elements around to focus on t</w:t>
      </w:r>
      <w:r w:rsidR="00EC1147">
        <w:t>he interpretation of the text</w:t>
      </w:r>
      <w:r w:rsidR="00EC1147" w:rsidRPr="00EC1147">
        <w:t>:</w:t>
      </w:r>
    </w:p>
    <w:p w14:paraId="154C48A1" w14:textId="4424126D" w:rsidR="003F6E00" w:rsidRDefault="003F6E00" w:rsidP="003F6E00">
      <w:pPr>
        <w:ind w:left="1440"/>
      </w:pPr>
      <w:r w:rsidRPr="003F6E00">
        <w:rPr>
          <w:color w:val="9F3F21"/>
        </w:rPr>
        <w:t xml:space="preserve">The sense of disorder that marks the plague’s aftermath </w:t>
      </w:r>
      <w:r w:rsidRPr="003F6E00">
        <w:rPr>
          <w:color w:val="30A284"/>
        </w:rPr>
        <w:t xml:space="preserve">is given </w:t>
      </w:r>
      <w:r w:rsidRPr="003F6E00">
        <w:t>a bittersweet levity by the consonance and assonance of “rumbling of the apples tumbling into the cellar bins</w:t>
      </w:r>
      <w:r>
        <w:t>”.</w:t>
      </w:r>
    </w:p>
    <w:p w14:paraId="0D4A9891" w14:textId="489D4A0A" w:rsidR="002B1F70" w:rsidRDefault="0022658A" w:rsidP="002B1F70">
      <w:pPr>
        <w:ind w:left="720"/>
      </w:pPr>
      <w:r w:rsidRPr="0022658A">
        <w:t>Each of</w:t>
      </w:r>
      <w:r w:rsidR="00A90B57">
        <w:t xml:space="preserve"> these </w:t>
      </w:r>
      <w:r w:rsidR="00A90B57">
        <w:rPr>
          <w:i/>
          <w:iCs/>
        </w:rPr>
        <w:t>forces</w:t>
      </w:r>
      <w:r w:rsidR="00A90B57">
        <w:t xml:space="preserve"> the writer to use a more specific analytic verb</w:t>
      </w:r>
      <w:r w:rsidR="002B1F70">
        <w:t xml:space="preserve"> simply by changing the focus of the </w:t>
      </w:r>
      <w:r w:rsidR="002B1F70" w:rsidRPr="002B1F70">
        <w:rPr>
          <w:color w:val="9F3F21"/>
        </w:rPr>
        <w:t xml:space="preserve">subject </w:t>
      </w:r>
      <w:r w:rsidR="002B1F70">
        <w:t xml:space="preserve">or the </w:t>
      </w:r>
      <w:r w:rsidR="002B1F70" w:rsidRPr="002B1F70">
        <w:rPr>
          <w:color w:val="9F3F21"/>
        </w:rPr>
        <w:t>noun group</w:t>
      </w:r>
      <w:r w:rsidR="002B1F70">
        <w:t>.</w:t>
      </w:r>
    </w:p>
    <w:p w14:paraId="429AEFF5" w14:textId="1A701559" w:rsidR="005A37A0" w:rsidRDefault="005A37A0" w:rsidP="002B1F70">
      <w:pPr>
        <w:ind w:left="720"/>
      </w:pPr>
      <w:r>
        <w:t xml:space="preserve">Even better, it’s sometimes possible to put </w:t>
      </w:r>
      <w:r>
        <w:rPr>
          <w:b/>
          <w:bCs/>
        </w:rPr>
        <w:t>all</w:t>
      </w:r>
      <w:r>
        <w:t xml:space="preserve"> the important information into a single noun group, leaving the writer to say something even more effective</w:t>
      </w:r>
      <w:r w:rsidR="008D1BAB">
        <w:t>:</w:t>
      </w:r>
    </w:p>
    <w:p w14:paraId="1E6DF427" w14:textId="3102CE97" w:rsidR="000B6A98" w:rsidRDefault="000B6A98" w:rsidP="008D1BAB">
      <w:pPr>
        <w:ind w:left="1440"/>
      </w:pPr>
      <w:r w:rsidRPr="00865CBF">
        <w:rPr>
          <w:color w:val="9F3F21"/>
        </w:rPr>
        <w:t>The mind-numbing regularity of Kenny G’s saxophone</w:t>
      </w:r>
      <w:r w:rsidR="00865CBF">
        <w:rPr>
          <w:color w:val="9F3F21"/>
        </w:rPr>
        <w:t xml:space="preserve"> </w:t>
      </w:r>
      <w:r w:rsidR="00865CBF" w:rsidRPr="008D1BAB">
        <w:rPr>
          <w:i/>
          <w:iCs/>
          <w:color w:val="30A284"/>
        </w:rPr>
        <w:t>haunts</w:t>
      </w:r>
      <w:r w:rsidR="00865CBF">
        <w:rPr>
          <w:color w:val="30A284"/>
        </w:rPr>
        <w:t xml:space="preserve"> </w:t>
      </w:r>
      <w:r w:rsidR="00865CBF">
        <w:t xml:space="preserve">the dreams of so many </w:t>
      </w:r>
      <w:r w:rsidR="00B427EC">
        <w:t>woodwind players of a certain generation.</w:t>
      </w:r>
    </w:p>
    <w:p w14:paraId="7D5AD7D3" w14:textId="759E3450" w:rsidR="005F2BAC" w:rsidRDefault="005151AD" w:rsidP="008D1BAB">
      <w:pPr>
        <w:ind w:left="1440"/>
      </w:pPr>
      <w:r>
        <w:rPr>
          <w:color w:val="9F3F21"/>
        </w:rPr>
        <w:t>The</w:t>
      </w:r>
      <w:r w:rsidR="005F2BAC">
        <w:rPr>
          <w:color w:val="9F3F21"/>
        </w:rPr>
        <w:t xml:space="preserve"> consonance and assonance </w:t>
      </w:r>
      <w:r w:rsidR="00E10811">
        <w:rPr>
          <w:color w:val="9F3F21"/>
        </w:rPr>
        <w:t xml:space="preserve">of </w:t>
      </w:r>
      <w:r w:rsidR="005F2BAC">
        <w:rPr>
          <w:color w:val="9F3F21"/>
        </w:rPr>
        <w:t xml:space="preserve">that creates a contrast between the bittersweet levity </w:t>
      </w:r>
      <w:r w:rsidR="00E10811">
        <w:rPr>
          <w:color w:val="9F3F21"/>
        </w:rPr>
        <w:t xml:space="preserve">of “rumbling apples” </w:t>
      </w:r>
      <w:r w:rsidR="005F2BAC">
        <w:rPr>
          <w:color w:val="9F3F21"/>
        </w:rPr>
        <w:t xml:space="preserve">and the </w:t>
      </w:r>
      <w:r w:rsidR="00E10811">
        <w:rPr>
          <w:color w:val="9F3F21"/>
        </w:rPr>
        <w:t xml:space="preserve">“tumbling” </w:t>
      </w:r>
      <w:r w:rsidR="005F2BAC">
        <w:rPr>
          <w:color w:val="9F3F21"/>
        </w:rPr>
        <w:t>disorder of post-plague Europe</w:t>
      </w:r>
      <w:r w:rsidR="00D36A6D">
        <w:rPr>
          <w:color w:val="9F3F21"/>
        </w:rPr>
        <w:t xml:space="preserve"> </w:t>
      </w:r>
      <w:r w:rsidR="00D36A6D" w:rsidRPr="00D36A6D">
        <w:rPr>
          <w:color w:val="30A284"/>
        </w:rPr>
        <w:t>reinforces</w:t>
      </w:r>
      <w:r w:rsidR="00D36A6D">
        <w:rPr>
          <w:color w:val="30A284"/>
        </w:rPr>
        <w:t xml:space="preserve"> </w:t>
      </w:r>
      <w:r w:rsidR="005D1F3E">
        <w:t xml:space="preserve">the importance of </w:t>
      </w:r>
      <w:r w:rsidR="00407DEE">
        <w:t>not just apples, but the central dichotomy of disease and new growth.</w:t>
      </w:r>
      <w:r w:rsidR="005D1F3E">
        <w:t xml:space="preserve"> </w:t>
      </w:r>
    </w:p>
    <w:p w14:paraId="5914697E" w14:textId="77777777" w:rsidR="00D858C9" w:rsidRDefault="00D858C9" w:rsidP="00D858C9"/>
    <w:p w14:paraId="60BFE72F" w14:textId="0C15513E" w:rsidR="008D1BAB" w:rsidRPr="00865CBF" w:rsidRDefault="00D858C9" w:rsidP="00D858C9">
      <w:r>
        <w:t>F</w:t>
      </w:r>
      <w:r w:rsidR="002669DB">
        <w:t>inally, if any of the above advise sits uncomfortably with you, then feel free to ignore it</w:t>
      </w:r>
      <w:r w:rsidR="00461276">
        <w:t xml:space="preserve"> – use utilise as much as you like. But each time you do, remember this lesson</w:t>
      </w:r>
      <w:r>
        <w:t>, and be confident about why</w:t>
      </w:r>
      <w:r w:rsidR="751DAB72">
        <w:t xml:space="preserve"> you want the word in the sentence.</w:t>
      </w:r>
    </w:p>
    <w:sectPr w:rsidR="008D1BAB" w:rsidRPr="00865CBF" w:rsidSect="00D858C9">
      <w:pgSz w:w="11906" w:h="16838"/>
      <w:pgMar w:top="993" w:right="1133" w:bottom="1276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471DA3"/>
    <w:multiLevelType w:val="hybridMultilevel"/>
    <w:tmpl w:val="810643A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5471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19E"/>
    <w:rsid w:val="000452BD"/>
    <w:rsid w:val="00062862"/>
    <w:rsid w:val="000A0E26"/>
    <w:rsid w:val="000B6A98"/>
    <w:rsid w:val="001E5BC4"/>
    <w:rsid w:val="0022658A"/>
    <w:rsid w:val="002669DB"/>
    <w:rsid w:val="00297CD0"/>
    <w:rsid w:val="002B1F70"/>
    <w:rsid w:val="002C7CFA"/>
    <w:rsid w:val="002F3D37"/>
    <w:rsid w:val="003103D0"/>
    <w:rsid w:val="00371C6B"/>
    <w:rsid w:val="00392AF0"/>
    <w:rsid w:val="003F6E00"/>
    <w:rsid w:val="00407DEE"/>
    <w:rsid w:val="00416859"/>
    <w:rsid w:val="00461276"/>
    <w:rsid w:val="005151AD"/>
    <w:rsid w:val="00523C5C"/>
    <w:rsid w:val="005373BA"/>
    <w:rsid w:val="005754F0"/>
    <w:rsid w:val="005A37A0"/>
    <w:rsid w:val="005D1F3E"/>
    <w:rsid w:val="005F2BAC"/>
    <w:rsid w:val="006C105F"/>
    <w:rsid w:val="006C5BE5"/>
    <w:rsid w:val="00740018"/>
    <w:rsid w:val="00780F69"/>
    <w:rsid w:val="007A697F"/>
    <w:rsid w:val="007C056B"/>
    <w:rsid w:val="007D49E6"/>
    <w:rsid w:val="00844B47"/>
    <w:rsid w:val="00865CBF"/>
    <w:rsid w:val="008D1BAB"/>
    <w:rsid w:val="009A45E0"/>
    <w:rsid w:val="00A17185"/>
    <w:rsid w:val="00A90B57"/>
    <w:rsid w:val="00AA0B4E"/>
    <w:rsid w:val="00B03B10"/>
    <w:rsid w:val="00B4098F"/>
    <w:rsid w:val="00B427EC"/>
    <w:rsid w:val="00B56E39"/>
    <w:rsid w:val="00B9419E"/>
    <w:rsid w:val="00BA4604"/>
    <w:rsid w:val="00C047D0"/>
    <w:rsid w:val="00C43C2B"/>
    <w:rsid w:val="00CC57A1"/>
    <w:rsid w:val="00CF09EB"/>
    <w:rsid w:val="00CF4C61"/>
    <w:rsid w:val="00D131FC"/>
    <w:rsid w:val="00D36A6D"/>
    <w:rsid w:val="00D858C9"/>
    <w:rsid w:val="00DA1704"/>
    <w:rsid w:val="00DA1CB0"/>
    <w:rsid w:val="00DC090C"/>
    <w:rsid w:val="00E10811"/>
    <w:rsid w:val="00E54084"/>
    <w:rsid w:val="00EC1147"/>
    <w:rsid w:val="00EF4C9A"/>
    <w:rsid w:val="00F40679"/>
    <w:rsid w:val="00F67AFF"/>
    <w:rsid w:val="00FE1666"/>
    <w:rsid w:val="22B9C308"/>
    <w:rsid w:val="300356ED"/>
    <w:rsid w:val="4522D175"/>
    <w:rsid w:val="496CD5A7"/>
    <w:rsid w:val="4D834FA9"/>
    <w:rsid w:val="751DAB72"/>
    <w:rsid w:val="77E5A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6ECA69"/>
  <w15:chartTrackingRefBased/>
  <w15:docId w15:val="{3998A2E8-83B5-4669-87A3-EA06B2FD2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1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1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1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1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1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1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1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1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1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1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1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1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1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1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1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1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1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1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1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1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1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1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1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1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1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1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1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1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1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DD71352A75C946BB20F54B03F82ED8" ma:contentTypeVersion="0" ma:contentTypeDescription="Create a new document." ma:contentTypeScope="" ma:versionID="eceeccfb90892b5bada9b120beb2cbcc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65B0A98-F54A-4339-8CC6-4B069512608F}"/>
</file>

<file path=customXml/itemProps2.xml><?xml version="1.0" encoding="utf-8"?>
<ds:datastoreItem xmlns:ds="http://schemas.openxmlformats.org/officeDocument/2006/customXml" ds:itemID="{8F806830-E6DD-4C34-85BD-1888B0471FB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9240C0C-7CDE-441F-924E-D6871611CBD7}">
  <ds:schemaRefs>
    <ds:schemaRef ds:uri="http://schemas.microsoft.com/office/2006/metadata/properties"/>
    <ds:schemaRef ds:uri="http://schemas.microsoft.com/office/infopath/2007/PartnerControls"/>
    <ds:schemaRef ds:uri="46846ff6-a39a-4f56-aca6-b2ea1af70d2e"/>
    <ds:schemaRef ds:uri="a8299878-b215-4b71-83d0-6b3d83d7e5d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Lincoln LE FEVRE</dc:creator>
  <cp:keywords/>
  <dc:description/>
  <cp:lastModifiedBy>Lincoln LE FEVRE</cp:lastModifiedBy>
  <cp:revision>59</cp:revision>
  <dcterms:created xsi:type="dcterms:W3CDTF">2024-12-06T01:06:00Z</dcterms:created>
  <dcterms:modified xsi:type="dcterms:W3CDTF">2026-03-15T23:02:00Z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0x010100F6DD71352A75C946BB20F54B03F82ED8</vt:lpwstr>
  </property>
  <property fmtid="{D5CDD505-2E9C-101B-9397-08002B2CF9AE}" pid="3" name="MediaServiceImageTags">
    <vt:lpwstr/>
  </property>
</Properties>
</file>