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1F1F"/>
          <w:sz w:val="32"/>
          <w:szCs w:val="32"/>
        </w:rPr>
        <w:t xml:space="preserve">2.3 The Significance of Water</w:t>
      </w:r>
    </w:p>
    <w:p>
      <w:pPr>
        <w:spacing w:after="0" w:before="0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Monday, 4 July 2022</w:t>
      </w:r>
    </w:p>
    <w:p>
      <w:pPr>
        <w:spacing w:after="220" w:before="0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5:39 PM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color w:val="1F1F1F"/>
          <w:sz w:val="24"/>
          <w:szCs w:val="24"/>
        </w:rPr>
        <w:t xml:space="preserve">Lesson Focus: The Value and Significance of Water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F0EB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Learning intention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>To describe the significance of water to First Nations Peoples, and explain who decides what happens to it.</w:t>
            </w:r>
          </w:p>
        </w:tc>
      </w:tr>
      <w:tr>
        <w:tc>
          <w:tcPr>
            <w:tcW w:type="dxa" w:w="2400"/>
            <w:shd w:fill="F0EB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Success criteria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>I can identify interconnections between water, people and places.  (Level 7)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1"/>
                <w:szCs w:val="21"/>
              </w:rPr>
              <w:t xml:space="preserve">I can describe those interconnections using evidence from a source.  (Level 8 — our target)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>I can explain how the interconnection has changed over time and at different scales.  (Level 9)</w:t>
            </w:r>
          </w:p>
        </w:tc>
      </w:tr>
      <w:tr>
        <w:tc>
          <w:tcPr>
            <w:tcW w:type="dxa" w:w="2400"/>
            <w:shd w:fill="F0EB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Content for Self-Assessment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1"/>
                <w:szCs w:val="21"/>
              </w:rPr>
              <w:t xml:space="preserve">Interconnection</w:t>
            </w:r>
          </w:p>
        </w:tc>
      </w:tr>
      <w:tr>
        <w:tc>
          <w:tcPr>
            <w:tcW w:type="dxa" w:w="2400"/>
            <w:shd w:fill="F0EB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Curriculum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0"/>
                <w:szCs w:val="20"/>
              </w:rPr>
              <w:t xml:space="preserve">VC2HG8K02 — the environmental, economic, cultural, spiritual and aesthetic uses and value of water, including for Aboriginal and Torres Strait Islander Peoples.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color w:val="1F1F1F"/>
          <w:sz w:val="21"/>
          <w:szCs w:val="21"/>
        </w:rPr>
        <w:t xml:space="preserve"/>
      </w:r>
    </w:p>
    <w:p>
      <w:pPr>
        <w:pBdr>
          <w:bottom w:val="single" w:color="D8CFB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D5F7D"/>
          <w:sz w:val="24"/>
          <w:szCs w:val="24"/>
        </w:rPr>
        <w:t xml:space="preserve">1. Engage: Watch and Answer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(10 min)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Vocabulary first: </w:t>
      </w:r>
      <w:r>
        <w:rPr>
          <w:rFonts w:ascii="Calibri" w:cs="Calibri" w:eastAsia="Calibri" w:hAnsi="Calibri"/>
          <w:sz w:val="21"/>
          <w:szCs w:val="21"/>
        </w:rPr>
        <w:t xml:space="preserve">run the Vocab Hub 2.3 set — significance, economic, cultural, spiritual, aesthetic, custodian. The review of earlier words is built in.</w:t>
      </w:r>
    </w:p>
    <w:p>
      <w:pPr>
        <w:spacing w:after="100"/>
      </w:pPr>
      <w:hyperlink w:history="1" r:id="rIdbtgxqykxoam-znqdg_enm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Vocab Hub → water-vocab-hub.html</w:t>
        </w:r>
      </w:hyperlink>
    </w:p>
    <w:p>
      <w:pPr>
        <w:spacing w:after="100" w:before="12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Watch: </w:t>
      </w:r>
      <w:r>
        <w:rPr>
          <w:rFonts w:ascii="Calibri" w:cs="Calibri" w:eastAsia="Calibri" w:hAnsi="Calibri"/>
          <w:i/>
          <w:iCs/>
          <w:color w:val="1F1F1F"/>
          <w:sz w:val="21"/>
          <w:szCs w:val="21"/>
        </w:rPr>
        <w:t xml:space="preserve">That's My Water! NT: Water in traditional culture</w:t>
      </w:r>
      <w:r>
        <w:rPr>
          <w:rFonts w:ascii="Calibri" w:cs="Calibri" w:eastAsia="Calibri" w:hAnsi="Calibri"/>
          <w:sz w:val="21"/>
          <w:szCs w:val="21"/>
        </w:rPr>
        <w:t xml:space="preserve"> (7:59). Answer in your OneNote — on your own.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The video says water is 'precious'. Give TWO reasons why.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Bolung the Rainbow Serpent created Nitmiluk gorge. What does that tell you about how water places are seen?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“We're looking after it and the land will look after us.” Explain what that means in your own words.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Name one way people found or carried water without taps (soaks, water bags, water-holding frogs, songlines).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Share 2–3 answers as a class before moving on.</w:t>
      </w:r>
    </w:p>
    <w:p>
      <w:pPr>
        <w:pBdr>
          <w:bottom w:val="single" w:color="D8CFB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D5F7D"/>
          <w:sz w:val="24"/>
          <w:szCs w:val="24"/>
        </w:rPr>
        <w:t xml:space="preserve">2. Read: Custodians of the Martuwarra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(10 min)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worked example display</w:t>
      </w:r>
      <w:r>
        <w:rPr>
          <w:rFonts w:ascii="Calibri" w:cs="Calibri" w:eastAsia="Calibri" w:hAnsi="Calibri"/>
          <w:sz w:val="21"/>
          <w:szCs w:val="21"/>
        </w:rPr>
        <w:t xml:space="preserve"> and read the source cards on the left (quotes and facts from the Guardian article and the Australians Together handout). Read on your own.</w:t>
      </w:r>
    </w:p>
    <w:p>
      <w:pPr>
        <w:spacing w:after="100"/>
      </w:pPr>
      <w:hyperlink w:history="1" r:id="rId3mfrvyqz_c1xvsj9oswhi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Worked example → lesson-2-3-worked-example.html</w:t>
        </w:r>
      </w:hyperlink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Note: the original Guardian article is behind a paywall — the key quotes and figures are reproduced in the display with attribution.</w:t>
      </w:r>
    </w:p>
    <w:p>
      <w:pPr>
        <w:spacing w:after="100" w:before="0"/>
      </w:pPr>
      <w:r>
        <w:rPr>
          <w:rFonts w:ascii="Calibri" w:cs="Calibri" w:eastAsia="Calibri" w:hAnsi="Calibri"/>
          <w:color w:val="1F1F1F"/>
          <w:sz w:val="21"/>
          <w:szCs w:val="21"/>
        </w:rPr>
        <w:t xml:space="preserve">As you read, fill this in: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c>
          <w:tcPr>
            <w:tcW w:type="dxa" w:w="2600"/>
            <w:shd w:fill="F0EB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Who is speaking?</w:t>
            </w:r>
          </w:p>
        </w:tc>
        <w:tc>
          <w:tcPr>
            <w:tcW w:type="dxa" w:w="3400"/>
            <w:shd w:fill="F0EB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What do they say the river IS?</w:t>
            </w:r>
          </w:p>
        </w:tc>
        <w:tc>
          <w:tcPr>
            <w:tcW w:type="dxa" w:w="3000"/>
            <w:shd w:fill="F0EB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Evidence (a quote or number)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0"/>
                <w:szCs w:val="20"/>
              </w:rPr>
              <w:t xml:space="preserve">Dr Anne Poelina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0"/>
                <w:szCs w:val="20"/>
              </w:rPr>
              <w:t xml:space="preserve">Anthony McLarty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0"/>
                <w:szCs w:val="20"/>
              </w:rPr>
              <w:t xml:space="preserve">Natalie Davey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0"/>
                <w:szCs w:val="20"/>
              </w:rPr>
              <w:t xml:space="preserve">The WA Government / irrigators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Calibri" w:cs="Calibri" w:eastAsia="Calibri" w:hAnsi="Calibri"/>
          <w:color w:val="1F1F1F"/>
          <w:sz w:val="21"/>
          <w:szCs w:val="21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Then, quickly: </w:t>
      </w:r>
      <w:r>
        <w:rPr>
          <w:rFonts w:ascii="Calibri" w:cs="Calibri" w:eastAsia="Calibri" w:hAnsi="Calibri"/>
          <w:sz w:val="21"/>
          <w:szCs w:val="21"/>
        </w:rPr>
        <w:t xml:space="preserve">which value types are at play here? Complete the table (aesthetic is done for you).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00"/>
      </w:tblGrid>
      <w:tr>
        <w:tc>
          <w:tcPr>
            <w:tcW w:type="dxa" w:w="2000"/>
            <w:shd w:fill="F0EB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Value type</w:t>
            </w:r>
          </w:p>
        </w:tc>
        <w:tc>
          <w:tcPr>
            <w:tcW w:type="dxa" w:w="3500"/>
            <w:shd w:fill="F0EB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What it means (your words)</w:t>
            </w:r>
          </w:p>
        </w:tc>
        <w:tc>
          <w:tcPr>
            <w:tcW w:type="dxa" w:w="3500"/>
            <w:shd w:fill="F0EB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Who holds this value for the Martuwarra?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0"/>
                <w:szCs w:val="20"/>
              </w:rPr>
              <w:t xml:space="preserve">Aesthetic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i/>
                <w:iCs/>
                <w:color w:val="1F1F1F"/>
                <w:sz w:val="20"/>
                <w:szCs w:val="20"/>
              </w:rPr>
              <w:t xml:space="preserve">attractiveness of a landscape or landform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i/>
                <w:iCs/>
                <w:color w:val="1F1F1F"/>
                <w:sz w:val="20"/>
                <w:szCs w:val="20"/>
              </w:rPr>
              <w:t xml:space="preserve">tourists at Danggu (Geikie Gorge) — and Custodians, for whom beauty isn't separable from Country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Spiritual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Cultural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Economic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color w:val="1F1F1F"/>
                <w:sz w:val="20"/>
                <w:szCs w:val="20"/>
              </w:rPr>
              <w:t xml:space="preserve">Environmental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1F1F1F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Which rows were hard to keep separate? That's the point — for Traditional Owners these are one relationship with Country, not four boxes.</w:t>
      </w:r>
    </w:p>
    <w:p>
      <w:pPr>
        <w:pBdr>
          <w:bottom w:val="single" w:color="D8CFB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D5F7D"/>
          <w:sz w:val="24"/>
          <w:szCs w:val="24"/>
        </w:rPr>
        <w:t xml:space="preserve">3. Discuss as a class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(10 min)</w:t>
      </w:r>
    </w:p>
    <w:p>
      <w:pPr>
        <w:spacing w:after="100" w:before="0"/>
      </w:pPr>
      <w:r>
        <w:rPr>
          <w:rFonts w:ascii="Calibri" w:cs="Calibri" w:eastAsia="Calibri" w:hAnsi="Calibri"/>
          <w:color w:val="1F1F1F"/>
          <w:sz w:val="21"/>
          <w:szCs w:val="21"/>
        </w:rPr>
        <w:t xml:space="preserve">You now have the content knowledge. Talk it through before you write.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Why is it important to understand the spiritual significance of water to First Nations Peoples?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Whose values will decide what happens to the Martuwarra — and how do you know?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The Council's $122,000 in funding was cut a week after it criticised the government. What does that tell us about who holds power here?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What would have to change for the decision to be made differently?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Teacher note: this isn't a “both sides have a point” discussion. First Nations Peoples hold under 1% of Australia's water entitlements despite native title over roughly 40% of the land — the honest question is about power and process.</w:t>
      </w:r>
    </w:p>
    <w:p>
      <w:pPr>
        <w:pBdr>
          <w:bottom w:val="single" w:color="D8CFB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D5F7D"/>
          <w:sz w:val="24"/>
          <w:szCs w:val="24"/>
        </w:rPr>
        <w:t xml:space="preserve">4. Worked example — I do, we do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(15 min)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I do: </w:t>
      </w:r>
      <w:r>
        <w:rPr>
          <w:rFonts w:ascii="Calibri" w:cs="Calibri" w:eastAsia="Calibri" w:hAnsi="Calibri"/>
          <w:sz w:val="21"/>
          <w:szCs w:val="21"/>
        </w:rPr>
        <w:t xml:space="preserve">on the display, read the Level 8 paragraph. Click each highlighted phrase to see which source it came from. Notice: every E sentence names WHO said it.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We do: </w:t>
      </w:r>
      <w:r>
        <w:rPr>
          <w:rFonts w:ascii="Calibri" w:cs="Calibri" w:eastAsia="Calibri" w:hAnsi="Calibri"/>
          <w:sz w:val="21"/>
          <w:szCs w:val="21"/>
        </w:rPr>
        <w:t xml:space="preserve">scroll to the WE DO paragraph and finish it together — click each gap once the class has decided what goes there.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Compare levels: </w:t>
      </w:r>
      <w:r>
        <w:rPr>
          <w:rFonts w:ascii="Calibri" w:cs="Calibri" w:eastAsia="Calibri" w:hAnsi="Calibri"/>
          <w:sz w:val="21"/>
          <w:szCs w:val="21"/>
        </w:rPr>
        <w:t xml:space="preserve">switch between Level 6–7, Level 8 and Level 9–10 to see exactly what moves a paragraph up a rung.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Target for this class: Level 8 — describe, with two pieces of evidence, and explain what they mean.</w:t>
      </w:r>
    </w:p>
    <w:p>
      <w:pPr>
        <w:pBdr>
          <w:bottom w:val="single" w:color="D8CFB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D5F7D"/>
          <w:sz w:val="24"/>
          <w:szCs w:val="24"/>
        </w:rPr>
        <w:t xml:space="preserve">5. You do — write your own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(15 min)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New case study: Budj Bim, Gunditjmara Country. </w:t>
      </w:r>
      <w:r>
        <w:rPr>
          <w:rFonts w:ascii="Calibri" w:cs="Calibri" w:eastAsia="Calibri" w:hAnsi="Calibri"/>
          <w:sz w:val="21"/>
          <w:szCs w:val="21"/>
        </w:rPr>
        <w:t xml:space="preserve">Read the four source cards in the YOU DO section of the display, then write </w:t>
      </w: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your own</w:t>
      </w:r>
      <w:r>
        <w:rPr>
          <w:rFonts w:ascii="Calibri" w:cs="Calibri" w:eastAsia="Calibri" w:hAnsi="Calibri"/>
          <w:sz w:val="21"/>
          <w:szCs w:val="21"/>
        </w:rPr>
        <w:t xml:space="preserve"> TEEL paragraph in OneNote. On your own.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Question: Explain the significance of Budj Bim to Gunditjmara People, and who decides what happens to the water.</w:t>
      </w:r>
    </w:p>
    <w:p>
      <w:pPr>
        <w:spacing w:after="60" w:before="0"/>
      </w:pPr>
      <w:r>
        <w:rPr>
          <w:rFonts w:ascii="Calibri" w:cs="Calibri" w:eastAsia="Calibri" w:hAnsi="Calibri"/>
          <w:color w:val="1F1F1F"/>
          <w:sz w:val="21"/>
          <w:szCs w:val="21"/>
        </w:rPr>
        <w:t xml:space="preserve">Sentence starters (use them if you need them):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Budj Bim is significant to Gunditjmara People because ___.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For example, ___ , which shows ___.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In 2008 ___ , and in 2019 ___.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This means that ___.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Therefore the significance of water at Budj Bim is ___.</w:t>
      </w:r>
    </w:p>
    <w:p>
      <w:pPr>
        <w:spacing w:after="100" w:before="10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Stretch (Level 9–10): </w:t>
      </w:r>
      <w:r>
        <w:rPr>
          <w:rFonts w:ascii="Calibri" w:cs="Calibri" w:eastAsia="Calibri" w:hAnsi="Calibri"/>
          <w:sz w:val="21"/>
          <w:szCs w:val="21"/>
        </w:rPr>
        <w:t xml:space="preserve">both communities value water deeply — so why does one now control it while the other is still fighting? Compare Budj Bim with the Martuwarra.</w:t>
      </w:r>
    </w:p>
    <w:p>
      <w:pPr>
        <w:pBdr>
          <w:bottom w:val="single" w:color="D8CFB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1D5F7D"/>
          <w:sz w:val="24"/>
          <w:szCs w:val="24"/>
        </w:rPr>
        <w:t xml:space="preserve">6. Review and Reflect — self-assessment</w:t>
      </w:r>
      <w:r>
        <w:rPr>
          <w:rFonts w:ascii="Calibri" w:cs="Calibri" w:eastAsia="Calibri" w:hAnsi="Calibri"/>
          <w:color w:val="808080"/>
          <w:sz w:val="19"/>
          <w:szCs w:val="19"/>
        </w:rPr>
        <w:t xml:space="preserve">   (5 min)</w:t>
      </w:r>
    </w:p>
    <w:p>
      <w:pPr>
        <w:spacing w:after="80" w:before="0"/>
      </w:pPr>
      <w:r>
        <w:rPr>
          <w:rFonts w:ascii="Calibri" w:cs="Calibri" w:eastAsia="Calibri" w:hAnsi="Calibri"/>
          <w:color w:val="1F1F1F"/>
          <w:sz w:val="21"/>
          <w:szCs w:val="21"/>
        </w:rPr>
        <w:t xml:space="preserve">Read your paragraph and tick the highest one that is TRUE of it: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Level 7 — I identified who is connected to Budj Bim and how water is valued.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Level 8 — I described the significance using two pieces of evidence and explained what they mean.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1"/>
          <w:szCs w:val="21"/>
        </w:rPr>
        <w:t xml:space="preserve">Level 9 — I explained how “who decides” changed over time, and compared it with the Martuwarra.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Exit ticket: </w:t>
      </w:r>
      <w:r>
        <w:rPr>
          <w:rFonts w:ascii="Calibri" w:cs="Calibri" w:eastAsia="Calibri" w:hAnsi="Calibri"/>
          <w:sz w:val="21"/>
          <w:szCs w:val="21"/>
        </w:rPr>
        <w:t xml:space="preserve">One thing that would need to change for the Martuwarra to be protected the way Budj Bim is: ______________.</w:t>
      </w:r>
    </w:p>
    <w:p>
      <w:pPr>
        <w:spacing w:after="100" w:before="280"/>
      </w:pPr>
      <w:r>
        <w:rPr>
          <w:rFonts w:ascii="Calibri" w:cs="Calibri" w:eastAsia="Calibri" w:hAnsi="Calibri"/>
          <w:b/>
          <w:bCs/>
          <w:color w:val="1F1F1F"/>
          <w:sz w:val="21"/>
          <w:szCs w:val="21"/>
        </w:rPr>
        <w:t xml:space="preserve">Further teacher reading:</w:t>
      </w:r>
    </w:p>
    <w:p>
      <w:pPr>
        <w:spacing w:after="100" w:before="0"/>
      </w:pPr>
      <w:r>
        <w:rPr>
          <w:rFonts w:ascii="Calibri" w:cs="Calibri" w:eastAsia="Calibri" w:hAnsi="Calibri"/>
          <w:color w:val="1F1F1F"/>
          <w:sz w:val="20"/>
          <w:szCs w:val="20"/>
        </w:rPr>
        <w:t xml:space="preserve">Australians Together, Values of Water — Y7 Geography student handouts (2023).</w:t>
      </w:r>
    </w:p>
    <w:p>
      <w:pPr>
        <w:spacing w:after="40"/>
      </w:pPr>
      <w:hyperlink w:history="1" r:id="rIdg7aknykh4fxi-ycdzhur6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2.3 full teacher plan (rationale, cultural protocols, curriculum gaps)</w:t>
        </w:r>
      </w:hyperlink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Cultural protocols in brief: give the deceased-persons warning; use the Custodians' own voices; do not ask students to write “as” a First Nations person or invent a Dreaming story; name the group (Nyikina Warrwa, Walmajarri, Bunuba, Gunditjmara) rather than “Aboriginal people”; use present tense.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o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tgxqykxoam-znqdg_enm" Type="http://schemas.openxmlformats.org/officeDocument/2006/relationships/hyperlink" Target="https://liaminhawai-cmd.github.io/Water-in-the-world/water-vocab-hub.html" TargetMode="External"/><Relationship Id="rId3mfrvyqz_c1xvsj9oswhi" Type="http://schemas.openxmlformats.org/officeDocument/2006/relationships/hyperlink" Target="https://liaminhawai-cmd.github.io/Water-in-the-world/lesson-2-3-worked-example.html" TargetMode="External"/><Relationship Id="rIdg7aknykh4fxi-ycdzhur6" Type="http://schemas.openxmlformats.org/officeDocument/2006/relationships/hyperlink" Target="https://liaminhawai-cmd.github.io/Water-in-the-world/lesson-2-3-significance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2026-08-02T23:18:54.766Z</dcterms:created>
  <dcterms:modified xsi:type="dcterms:W3CDTF">2026-08-02T23:18:54.766Z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