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rFonts w:ascii="Calibri" w:cs="Calibri" w:eastAsia="Calibri" w:hAnsi="Calibri"/>
          <w:b/>
          <w:bCs/>
          <w:sz w:val="32"/>
          <w:szCs w:val="32"/>
        </w:rPr>
        <w:t xml:space="preserve">2.3 The Significance of Water</w:t>
      </w:r>
    </w:p>
    <w:p>
      <w:pPr>
        <w:spacing w:after="160" w:before="0"/>
      </w:pPr>
      <w:r>
        <w:rPr>
          <w:rFonts w:ascii="Calibri" w:cs="Calibri" w:eastAsia="Calibri" w:hAnsi="Calibri"/>
          <w:b/>
          <w:bCs/>
          <w:color w:val="1F1F1F"/>
          <w:sz w:val="24"/>
          <w:szCs w:val="24"/>
        </w:rPr>
        <w:t xml:space="preserve">Lesson Focus: The Value and Significance of Water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Learning intention</w:t>
            </w:r>
          </w:p>
        </w:tc>
        <w:tc>
          <w:tcPr>
            <w:tcW w:type="dxa" w:w="66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To describe and explain the significance and value of water to First Nations Peoples of Australia.</w:t>
            </w:r>
          </w:p>
        </w:tc>
      </w:tr>
      <w:tr>
        <w:tc>
          <w:tcPr>
            <w:tcW w:type="dxa" w:w="24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Success criteria</w:t>
            </w:r>
          </w:p>
        </w:tc>
        <w:tc>
          <w:tcPr>
            <w:tcW w:type="dxa" w:w="6600"/>
            <w:tcMar>
              <w:top w:type="dxa" w:w="80"/>
              <w:left w:type="dxa" w:w="120"/>
              <w:bottom w:type="dxa" w:w="80"/>
              <w:right w:type="dxa" w:w="120"/>
            </w:tcMar>
          </w:tcPr>
          <w:p>
            <w:pPr>
              <w:spacing w:after="60" w:before="0"/>
            </w:pPr>
            <w:r>
              <w:rPr>
                <w:rFonts w:ascii="Calibri" w:cs="Calibri" w:eastAsia="Calibri" w:hAnsi="Calibri"/>
                <w:color w:val="1F1F1F"/>
                <w:sz w:val="21"/>
                <w:szCs w:val="21"/>
              </w:rPr>
              <w:t xml:space="preserve">I can describe the different values of water to First Nations Peoples.</w:t>
            </w:r>
          </w:p>
          <w:p>
            <w:pPr>
              <w:spacing w:after="60" w:before="0"/>
            </w:pPr>
            <w:r>
              <w:rPr>
                <w:rFonts w:ascii="Calibri" w:cs="Calibri" w:eastAsia="Calibri" w:hAnsi="Calibri"/>
                <w:color w:val="1F1F1F"/>
                <w:sz w:val="21"/>
                <w:szCs w:val="21"/>
              </w:rPr>
              <w:t xml:space="preserve">I can describe the interconnection between the Martuwarra Fitzroy River and its Traditional Owners, using evidence.</w:t>
            </w:r>
          </w:p>
          <w:p>
            <w:pPr>
              <w:spacing w:after="100" w:before="0"/>
            </w:pPr>
            <w:r>
              <w:rPr>
                <w:rFonts w:ascii="Calibri" w:cs="Calibri" w:eastAsia="Calibri" w:hAnsi="Calibri"/>
                <w:color w:val="1F1F1F"/>
                <w:sz w:val="21"/>
                <w:szCs w:val="21"/>
              </w:rPr>
              <w:t xml:space="preserve">I can explain why this interconnection is in conflict and how it has changed.</w:t>
            </w:r>
          </w:p>
        </w:tc>
      </w:tr>
      <w:tr>
        <w:tc>
          <w:tcPr>
            <w:tcW w:type="dxa" w:w="24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Content for Self-Assessment</w:t>
            </w:r>
          </w:p>
        </w:tc>
        <w:tc>
          <w:tcPr>
            <w:tcW w:type="dxa" w:w="6600"/>
            <w:tcMar>
              <w:top w:type="dxa" w:w="80"/>
              <w:left w:type="dxa" w:w="120"/>
              <w:bottom w:type="dxa" w:w="80"/>
              <w:right w:type="dxa" w:w="120"/>
            </w:tcMar>
          </w:tcPr>
          <w:p>
            <w:pPr>
              <w:spacing w:after="100" w:before="0"/>
            </w:pPr>
            <w:r>
              <w:rPr>
                <w:rFonts w:ascii="Calibri" w:cs="Calibri" w:eastAsia="Calibri" w:hAnsi="Calibri"/>
                <w:b/>
                <w:bCs/>
                <w:color w:val="1F1F1F"/>
                <w:sz w:val="21"/>
                <w:szCs w:val="21"/>
              </w:rPr>
              <w:t xml:space="preserve">Interconnection</w:t>
            </w:r>
          </w:p>
        </w:tc>
      </w:tr>
    </w:tbl>
    <w:p>
      <w:pPr>
        <w:spacing w:after="160" w:before="0"/>
      </w:pPr>
      <w:r>
        <w:rPr>
          <w:rFonts w:ascii="Calibri" w:cs="Calibri" w:eastAsia="Calibri" w:hAnsi="Calibri"/>
          <w:color w:val="1F1F1F"/>
          <w:sz w:val="21"/>
          <w:szCs w:val="21"/>
        </w:rPr>
        <w:t xml:space="preserve"/>
      </w:r>
    </w:p>
    <w:p>
      <w:pPr>
        <w:spacing w:after="110" w:before="260"/>
      </w:pPr>
      <w:r>
        <w:rPr>
          <w:rFonts w:ascii="Calibri" w:cs="Calibri" w:eastAsia="Calibri" w:hAnsi="Calibri"/>
          <w:b/>
          <w:bCs/>
          <w:color w:val="1F1F1F"/>
          <w:sz w:val="23"/>
          <w:szCs w:val="23"/>
        </w:rPr>
        <w:t xml:space="preserve">1. Engage: Watch and Answer</w:t>
      </w:r>
    </w:p>
    <w:p>
      <w:pPr>
        <w:spacing w:after="100" w:before="0"/>
      </w:pPr>
      <w:r>
        <w:rPr>
          <w:rFonts w:ascii="Calibri" w:cs="Calibri" w:eastAsia="Calibri" w:hAnsi="Calibri"/>
          <w:color w:val="1F1F1F"/>
          <w:sz w:val="21"/>
          <w:szCs w:val="21"/>
        </w:rPr>
        <w:t xml:space="preserve">Vocabulary introduction and revision — Vocab Hub 2.3 set.</w:t>
      </w:r>
    </w:p>
    <w:p>
      <w:pPr>
        <w:spacing w:after="100"/>
      </w:pPr>
      <w:hyperlink w:history="1" r:id="rIdohim2boxfk-vs8hlkqwka">
        <w:r>
          <w:rPr>
            <w:rStyle w:val="Hyperlink"/>
            <w:rFonts w:ascii="Calibri" w:cs="Calibri" w:eastAsia="Calibri" w:hAnsi="Calibri"/>
            <w:sz w:val="21"/>
            <w:szCs w:val="21"/>
          </w:rPr>
          <w:t xml:space="preserve">https://liaminhawai-cmd.github.io/Water-in-the-world/water-vocab-hub.html</w:t>
        </w:r>
      </w:hyperlink>
    </w:p>
    <w:p>
      <w:pPr>
        <w:spacing w:after="100" w:before="120"/>
      </w:pPr>
      <w:r>
        <w:rPr>
          <w:rFonts w:ascii="Calibri" w:cs="Calibri" w:eastAsia="Calibri" w:hAnsi="Calibri"/>
          <w:i/>
          <w:iCs/>
          <w:color w:val="1F1F1F"/>
          <w:sz w:val="21"/>
          <w:szCs w:val="21"/>
        </w:rPr>
        <w:t xml:space="preserve">That's My Water! NT: Water in traditional culture</w:t>
      </w:r>
      <w:r>
        <w:rPr>
          <w:rFonts w:ascii="Calibri" w:cs="Calibri" w:eastAsia="Calibri" w:hAnsi="Calibri"/>
          <w:sz w:val="21"/>
          <w:szCs w:val="21"/>
        </w:rPr>
        <w:t xml:space="preserve"> (7:59)</w:t>
      </w:r>
    </w:p>
    <w:p>
      <w:pPr>
        <w:pStyle w:val="ListParagraph"/>
        <w:numPr>
          <w:ilvl w:val="0"/>
          <w:numId w:val="2"/>
        </w:numPr>
        <w:spacing w:after="70"/>
      </w:pPr>
      <w:r>
        <w:rPr>
          <w:rFonts w:ascii="Calibri" w:cs="Calibri" w:eastAsia="Calibri" w:hAnsi="Calibri"/>
          <w:sz w:val="21"/>
          <w:szCs w:val="21"/>
        </w:rPr>
        <w:t xml:space="preserve">The video mentions that water is 'precious' for many reasons, identify what these reasons were.</w:t>
      </w:r>
    </w:p>
    <w:p>
      <w:pPr>
        <w:pStyle w:val="ListParagraph"/>
        <w:numPr>
          <w:ilvl w:val="0"/>
          <w:numId w:val="2"/>
        </w:numPr>
        <w:spacing w:after="70"/>
      </w:pPr>
      <w:r>
        <w:rPr>
          <w:rFonts w:ascii="Calibri" w:cs="Calibri" w:eastAsia="Calibri" w:hAnsi="Calibri"/>
          <w:sz w:val="21"/>
          <w:szCs w:val="21"/>
        </w:rPr>
        <w:t xml:space="preserve">According to the video, identify the dreamtime stories that are told about water.</w:t>
      </w:r>
    </w:p>
    <w:p>
      <w:pPr>
        <w:pStyle w:val="ListParagraph"/>
        <w:numPr>
          <w:ilvl w:val="0"/>
          <w:numId w:val="2"/>
        </w:numPr>
        <w:spacing w:after="70"/>
      </w:pPr>
      <w:r>
        <w:rPr>
          <w:rFonts w:ascii="Calibri" w:cs="Calibri" w:eastAsia="Calibri" w:hAnsi="Calibri"/>
          <w:sz w:val="21"/>
          <w:szCs w:val="21"/>
        </w:rPr>
        <w:t xml:space="preserve">Identify three new things you learnt from the video and share them with the class.</w:t>
      </w:r>
    </w:p>
    <w:p>
      <w:pPr>
        <w:spacing w:after="110" w:before="260"/>
      </w:pPr>
      <w:r>
        <w:rPr>
          <w:rFonts w:ascii="Calibri" w:cs="Calibri" w:eastAsia="Calibri" w:hAnsi="Calibri"/>
          <w:b/>
          <w:bCs/>
          <w:color w:val="1F1F1F"/>
          <w:sz w:val="23"/>
          <w:szCs w:val="23"/>
        </w:rPr>
        <w:t xml:space="preserve">2. Discuss</w:t>
      </w:r>
    </w:p>
    <w:p>
      <w:pPr>
        <w:spacing w:after="100" w:before="0"/>
      </w:pPr>
      <w:r>
        <w:rPr>
          <w:rFonts w:ascii="Calibri" w:cs="Calibri" w:eastAsia="Calibri" w:hAnsi="Calibri"/>
          <w:color w:val="1F1F1F"/>
          <w:sz w:val="21"/>
          <w:szCs w:val="21"/>
        </w:rPr>
        <w:t xml:space="preserve">As a class:</w:t>
      </w:r>
    </w:p>
    <w:p>
      <w:pPr>
        <w:pStyle w:val="ListParagraph"/>
        <w:numPr>
          <w:ilvl w:val="0"/>
          <w:numId w:val="3"/>
        </w:numPr>
        <w:spacing w:after="70"/>
      </w:pPr>
      <w:r>
        <w:rPr>
          <w:rFonts w:ascii="Calibri" w:cs="Calibri" w:eastAsia="Calibri" w:hAnsi="Calibri"/>
          <w:sz w:val="21"/>
          <w:szCs w:val="21"/>
        </w:rPr>
        <w:t xml:space="preserve">Why is it important to understand the spiritual significance of water to First Nations Peoples?</w:t>
      </w:r>
    </w:p>
    <w:p>
      <w:pPr>
        <w:pStyle w:val="ListParagraph"/>
        <w:numPr>
          <w:ilvl w:val="0"/>
          <w:numId w:val="3"/>
        </w:numPr>
        <w:spacing w:after="70"/>
      </w:pPr>
      <w:r>
        <w:rPr>
          <w:rFonts w:ascii="Calibri" w:cs="Calibri" w:eastAsia="Calibri" w:hAnsi="Calibri"/>
          <w:sz w:val="21"/>
          <w:szCs w:val="21"/>
        </w:rPr>
        <w:t xml:space="preserve">If different groups value the same water differently, whose values decide what happens to it?</w:t>
      </w:r>
    </w:p>
    <w:p>
      <w:pPr>
        <w:pStyle w:val="ListParagraph"/>
        <w:numPr>
          <w:ilvl w:val="0"/>
          <w:numId w:val="3"/>
        </w:numPr>
        <w:spacing w:after="70"/>
      </w:pPr>
      <w:r>
        <w:rPr>
          <w:rFonts w:ascii="Calibri" w:cs="Calibri" w:eastAsia="Calibri" w:hAnsi="Calibri"/>
          <w:sz w:val="21"/>
          <w:szCs w:val="21"/>
        </w:rPr>
        <w:t xml:space="preserve">What would have to change for that decision to be made differently?</w:t>
      </w:r>
    </w:p>
    <w:p>
      <w:pPr>
        <w:spacing w:after="110" w:before="260"/>
      </w:pPr>
      <w:r>
        <w:rPr>
          <w:rFonts w:ascii="Calibri" w:cs="Calibri" w:eastAsia="Calibri" w:hAnsi="Calibri"/>
          <w:b/>
          <w:bCs/>
          <w:color w:val="1F1F1F"/>
          <w:sz w:val="23"/>
          <w:szCs w:val="23"/>
        </w:rPr>
        <w:t xml:space="preserve">3. Read: Custodians of the River</w:t>
      </w:r>
    </w:p>
    <w:p>
      <w:pPr>
        <w:spacing w:after="100" w:before="0"/>
      </w:pPr>
      <w:r>
        <w:rPr>
          <w:rFonts w:ascii="Calibri" w:cs="Calibri" w:eastAsia="Calibri" w:hAnsi="Calibri"/>
          <w:sz w:val="21"/>
          <w:szCs w:val="21"/>
        </w:rPr>
        <w:t xml:space="preserve">Read the Guardian article </w:t>
      </w:r>
      <w:r>
        <w:rPr>
          <w:rFonts w:ascii="Calibri" w:cs="Calibri" w:eastAsia="Calibri" w:hAnsi="Calibri"/>
          <w:i/>
          <w:iCs/>
          <w:color w:val="1F1F1F"/>
          <w:sz w:val="21"/>
          <w:szCs w:val="21"/>
        </w:rPr>
        <w:t xml:space="preserve">'Fitzroy River: the push to prevent a repeat of the Murray-Darling Basin disaster'</w:t>
      </w:r>
      <w:r>
        <w:rPr>
          <w:rFonts w:ascii="Calibri" w:cs="Calibri" w:eastAsia="Calibri" w:hAnsi="Calibri"/>
          <w:sz w:val="21"/>
          <w:szCs w:val="21"/>
        </w:rPr>
        <w:t xml:space="preserve">. Read on your own.</w:t>
      </w:r>
    </w:p>
    <w:p>
      <w:pPr>
        <w:spacing w:after="100" w:before="100"/>
      </w:pPr>
      <w:r>
        <w:rPr>
          <w:rFonts w:ascii="Calibri" w:cs="Calibri" w:eastAsia="Calibri" w:hAnsi="Calibri"/>
          <w:color w:val="1F1F1F"/>
          <w:sz w:val="21"/>
          <w:szCs w:val="21"/>
        </w:rPr>
        <w:t xml:space="preserve">As you read, fill in the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Who is speaking?</w:t>
            </w:r>
          </w:p>
        </w:tc>
        <w:tc>
          <w:tcPr>
            <w:tcW w:type="dxa" w:w="34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What do they say the river is / is for?</w:t>
            </w:r>
          </w:p>
        </w:tc>
        <w:tc>
          <w:tcPr>
            <w:tcW w:type="dxa" w:w="30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Evidence (quote or number)</w:t>
            </w:r>
          </w:p>
        </w:tc>
      </w:tr>
      <w:tr>
        <w:tc>
          <w:tcPr>
            <w:tcW w:type="dxa" w:w="26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Dr Anne Poelina</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c>
          <w:tcPr>
            <w:tcW w:type="dxa" w:w="30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r>
      <w:tr>
        <w:tc>
          <w:tcPr>
            <w:tcW w:type="dxa" w:w="26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Anthony McLarty</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c>
          <w:tcPr>
            <w:tcW w:type="dxa" w:w="30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r>
      <w:tr>
        <w:tc>
          <w:tcPr>
            <w:tcW w:type="dxa" w:w="26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Natalie Davey</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c>
          <w:tcPr>
            <w:tcW w:type="dxa" w:w="30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r>
      <w:tr>
        <w:tc>
          <w:tcPr>
            <w:tcW w:type="dxa" w:w="26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The WA Government / pastoralists</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c>
          <w:tcPr>
            <w:tcW w:type="dxa" w:w="30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r>
    </w:tbl>
    <w:p>
      <w:pPr>
        <w:spacing w:after="120" w:before="0"/>
      </w:pPr>
      <w:r>
        <w:rPr>
          <w:rFonts w:ascii="Calibri" w:cs="Calibri" w:eastAsia="Calibri" w:hAnsi="Calibri"/>
          <w:color w:val="1F1F1F"/>
          <w:sz w:val="21"/>
          <w:szCs w:val="21"/>
        </w:rPr>
        <w:t xml:space="preserve"/>
      </w:r>
    </w:p>
    <w:p>
      <w:pPr>
        <w:spacing w:after="100" w:before="0"/>
      </w:pPr>
      <w:r>
        <w:rPr>
          <w:rFonts w:ascii="Calibri" w:cs="Calibri" w:eastAsia="Calibri" w:hAnsi="Calibri"/>
          <w:color w:val="1F1F1F"/>
          <w:sz w:val="21"/>
          <w:szCs w:val="21"/>
        </w:rPr>
        <w:t xml:space="preserve">Complete the table below about the different values of water. An example has been done for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Value Type</w:t>
            </w:r>
          </w:p>
        </w:tc>
        <w:tc>
          <w:tcPr>
            <w:tcW w:type="dxa" w:w="34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Meaning</w:t>
            </w:r>
          </w:p>
        </w:tc>
        <w:tc>
          <w:tcPr>
            <w:tcW w:type="dxa" w:w="3400"/>
            <w:shd w:fill="F0EBDD" w:val="clear"/>
            <w:tcMar>
              <w:top w:type="dxa" w:w="80"/>
              <w:left w:type="dxa" w:w="120"/>
              <w:bottom w:type="dxa" w:w="80"/>
              <w:right w:type="dxa" w:w="120"/>
            </w:tcMar>
          </w:tcPr>
          <w:p>
            <w:pPr>
              <w:spacing w:after="100" w:before="0"/>
            </w:pPr>
            <w:r>
              <w:rPr>
                <w:rFonts w:ascii="Calibri" w:cs="Calibri" w:eastAsia="Calibri" w:hAnsi="Calibri"/>
                <w:b/>
                <w:bCs/>
                <w:color w:val="1F1F1F"/>
                <w:sz w:val="20"/>
                <w:szCs w:val="20"/>
              </w:rPr>
              <w:t xml:space="preserve">Example from the article</w:t>
            </w:r>
          </w:p>
        </w:tc>
      </w:tr>
      <w:tr>
        <w:tc>
          <w:tcPr>
            <w:tcW w:type="dxa" w:w="22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Aesthetic value</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attractiveness of a landscape or landform</w:t>
            </w:r>
          </w:p>
        </w:tc>
        <w:tc>
          <w:tcPr>
            <w:tcW w:type="dxa" w:w="3400"/>
            <w:tcMar>
              <w:top w:type="dxa" w:w="80"/>
              <w:left w:type="dxa" w:w="120"/>
              <w:bottom w:type="dxa" w:w="80"/>
              <w:right w:type="dxa" w:w="120"/>
            </w:tcMar>
          </w:tcPr>
          <w:p>
            <w:pPr>
              <w:spacing w:after="100" w:before="0"/>
            </w:pPr>
            <w:r>
              <w:rPr>
                <w:rFonts w:ascii="Calibri" w:cs="Calibri" w:eastAsia="Calibri" w:hAnsi="Calibri"/>
                <w:i/>
                <w:iCs/>
                <w:color w:val="1F1F1F"/>
                <w:sz w:val="20"/>
                <w:szCs w:val="20"/>
              </w:rPr>
              <w:t xml:space="preserve">Danggu (Geikie Gorge) attracts tourists</w:t>
            </w:r>
          </w:p>
        </w:tc>
      </w:tr>
      <w:tr>
        <w:tc>
          <w:tcPr>
            <w:tcW w:type="dxa" w:w="22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Economic value</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r>
      <w:tr>
        <w:tc>
          <w:tcPr>
            <w:tcW w:type="dxa" w:w="22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Cultural value</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r>
      <w:tr>
        <w:tc>
          <w:tcPr>
            <w:tcW w:type="dxa" w:w="22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Spiritual value</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r>
      <w:tr>
        <w:tc>
          <w:tcPr>
            <w:tcW w:type="dxa" w:w="2200"/>
            <w:tcMar>
              <w:top w:type="dxa" w:w="80"/>
              <w:left w:type="dxa" w:w="120"/>
              <w:bottom w:type="dxa" w:w="80"/>
              <w:right w:type="dxa" w:w="120"/>
            </w:tcMar>
          </w:tcPr>
          <w:p>
            <w:pPr>
              <w:spacing w:after="100" w:before="0"/>
            </w:pPr>
            <w:r>
              <w:rPr>
                <w:rFonts w:ascii="Calibri" w:cs="Calibri" w:eastAsia="Calibri" w:hAnsi="Calibri"/>
                <w:color w:val="1F1F1F"/>
                <w:sz w:val="20"/>
                <w:szCs w:val="20"/>
              </w:rPr>
              <w:t xml:space="preserve">Environmental value</w:t>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c>
          <w:tcPr>
            <w:tcW w:type="dxa" w:w="3400"/>
            <w:tcMar>
              <w:top w:type="dxa" w:w="80"/>
              <w:left w:type="dxa" w:w="120"/>
              <w:bottom w:type="dxa" w:w="80"/>
              <w:right w:type="dxa" w:w="120"/>
            </w:tcMar>
          </w:tcPr>
          <w:p>
            <w:pPr>
              <w:spacing w:after="100" w:before="0"/>
            </w:pPr>
            <w:r>
              <w:rPr>
                <w:rFonts w:ascii="Calibri" w:cs="Calibri" w:eastAsia="Calibri" w:hAnsi="Calibri"/>
                <w:color w:val="1F1F1F"/>
                <w:sz w:val="21"/>
                <w:szCs w:val="21"/>
              </w:rPr>
              <w:t xml:space="preserve"/>
            </w:r>
          </w:p>
        </w:tc>
      </w:tr>
    </w:tbl>
    <w:p>
      <w:pPr>
        <w:spacing w:after="100" w:before="80"/>
      </w:pPr>
      <w:r>
        <w:rPr>
          <w:rFonts w:ascii="Calibri" w:cs="Calibri" w:eastAsia="Calibri" w:hAnsi="Calibri"/>
          <w:i/>
          <w:iCs/>
          <w:color w:val="808080"/>
          <w:sz w:val="20"/>
          <w:szCs w:val="20"/>
        </w:rPr>
        <w:t xml:space="preserve">Which rows were hard to keep separate? For Traditional Owners these are one relationship with Country, not separate boxes.</w:t>
      </w:r>
    </w:p>
    <w:p>
      <w:pPr>
        <w:spacing w:after="110" w:before="260"/>
      </w:pPr>
      <w:r>
        <w:rPr>
          <w:rFonts w:ascii="Calibri" w:cs="Calibri" w:eastAsia="Calibri" w:hAnsi="Calibri"/>
          <w:b/>
          <w:bCs/>
          <w:color w:val="1F1F1F"/>
          <w:sz w:val="23"/>
          <w:szCs w:val="23"/>
        </w:rPr>
        <w:t xml:space="preserve">4. Worked example</w:t>
      </w:r>
    </w:p>
    <w:p>
      <w:pPr>
        <w:spacing w:after="100" w:before="0"/>
      </w:pPr>
      <w:r>
        <w:rPr>
          <w:rFonts w:ascii="Calibri" w:cs="Calibri" w:eastAsia="Calibri" w:hAnsi="Calibri"/>
          <w:color w:val="1F1F1F"/>
          <w:sz w:val="21"/>
          <w:szCs w:val="21"/>
        </w:rPr>
        <w:t xml:space="preserve">Together we will look at the worked example:</w:t>
      </w:r>
    </w:p>
    <w:p>
      <w:pPr>
        <w:spacing w:after="100"/>
      </w:pPr>
      <w:hyperlink w:history="1" r:id="rIdmionh3_q1eaezehgithod">
        <w:r>
          <w:rPr>
            <w:rStyle w:val="Hyperlink"/>
            <w:rFonts w:ascii="Calibri" w:cs="Calibri" w:eastAsia="Calibri" w:hAnsi="Calibri"/>
            <w:sz w:val="21"/>
            <w:szCs w:val="21"/>
          </w:rPr>
          <w:t xml:space="preserve">https://liaminhawai-cmd.github.io/Water-in-the-world/lesson-2-3-worked-example.html</w:t>
        </w:r>
      </w:hyperlink>
    </w:p>
    <w:p>
      <w:pPr>
        <w:pStyle w:val="ListParagraph"/>
        <w:numPr>
          <w:ilvl w:val="0"/>
          <w:numId w:val="3"/>
        </w:numPr>
        <w:spacing w:after="70"/>
      </w:pPr>
      <w:r>
        <w:rPr>
          <w:rFonts w:ascii="Calibri" w:cs="Calibri" w:eastAsia="Calibri" w:hAnsi="Calibri"/>
          <w:sz w:val="21"/>
          <w:szCs w:val="21"/>
        </w:rPr>
        <w:t xml:space="preserve">Click each part of TEEL to see what it is doing.</w:t>
      </w:r>
    </w:p>
    <w:p>
      <w:pPr>
        <w:pStyle w:val="ListParagraph"/>
        <w:numPr>
          <w:ilvl w:val="0"/>
          <w:numId w:val="3"/>
        </w:numPr>
        <w:spacing w:after="70"/>
      </w:pPr>
      <w:r>
        <w:rPr>
          <w:rFonts w:ascii="Calibri" w:cs="Calibri" w:eastAsia="Calibri" w:hAnsi="Calibri"/>
          <w:sz w:val="21"/>
          <w:szCs w:val="21"/>
        </w:rPr>
        <w:t xml:space="preserve">Compare the Level 6, 7 and 8 versions. What is added each time?</w:t>
      </w:r>
    </w:p>
    <w:p>
      <w:pPr>
        <w:spacing w:after="110" w:before="260"/>
      </w:pPr>
      <w:r>
        <w:rPr>
          <w:rFonts w:ascii="Calibri" w:cs="Calibri" w:eastAsia="Calibri" w:hAnsi="Calibri"/>
          <w:b/>
          <w:bCs/>
          <w:color w:val="1F1F1F"/>
          <w:sz w:val="23"/>
          <w:szCs w:val="23"/>
        </w:rPr>
        <w:t xml:space="preserve">5. Apply: TEEL paragraph</w:t>
      </w:r>
    </w:p>
    <w:p>
      <w:pPr>
        <w:spacing w:after="100" w:before="0"/>
      </w:pPr>
      <w:r>
        <w:rPr>
          <w:rFonts w:ascii="Calibri" w:cs="Calibri" w:eastAsia="Calibri" w:hAnsi="Calibri"/>
          <w:b/>
          <w:bCs/>
          <w:color w:val="1F1F1F"/>
          <w:sz w:val="21"/>
          <w:szCs w:val="21"/>
        </w:rPr>
        <w:t xml:space="preserve">In your books</w:t>
      </w:r>
      <w:r>
        <w:rPr>
          <w:rFonts w:ascii="Calibri" w:cs="Calibri" w:eastAsia="Calibri" w:hAnsi="Calibri"/>
          <w:sz w:val="21"/>
          <w:szCs w:val="21"/>
        </w:rPr>
        <w:t xml:space="preserve">, write your own TEEL paragraph:</w:t>
      </w:r>
    </w:p>
    <w:p>
      <w:pPr>
        <w:spacing w:after="120" w:before="80"/>
      </w:pPr>
      <w:r>
        <w:rPr>
          <w:rFonts w:ascii="Calibri" w:cs="Calibri" w:eastAsia="Calibri" w:hAnsi="Calibri"/>
          <w:b/>
          <w:bCs/>
          <w:color w:val="1F1F1F"/>
          <w:sz w:val="21"/>
          <w:szCs w:val="21"/>
        </w:rPr>
        <w:t xml:space="preserve">Explain the significance of water for First Nations Peoples, using the Martuwarra Fitzroy River as your example.</w:t>
      </w:r>
    </w:p>
    <w:p>
      <w:pPr>
        <w:pStyle w:val="ListParagraph"/>
        <w:numPr>
          <w:ilvl w:val="0"/>
          <w:numId w:val="3"/>
        </w:numPr>
        <w:spacing w:after="70"/>
      </w:pPr>
      <w:r>
        <w:rPr>
          <w:rFonts w:ascii="Calibri" w:cs="Calibri" w:eastAsia="Calibri" w:hAnsi="Calibri"/>
          <w:sz w:val="21"/>
          <w:szCs w:val="21"/>
        </w:rPr>
        <w:t xml:space="preserve">Use at least two pieces of evidence from the article.</w:t>
      </w:r>
    </w:p>
    <w:p>
      <w:pPr>
        <w:pStyle w:val="ListParagraph"/>
        <w:numPr>
          <w:ilvl w:val="0"/>
          <w:numId w:val="3"/>
        </w:numPr>
        <w:spacing w:after="70"/>
      </w:pPr>
      <w:r>
        <w:rPr>
          <w:rFonts w:ascii="Calibri" w:cs="Calibri" w:eastAsia="Calibri" w:hAnsi="Calibri"/>
          <w:sz w:val="21"/>
          <w:szCs w:val="21"/>
        </w:rPr>
        <w:t xml:space="preserve">At least one piece of evidence must be different from the worked example.</w:t>
      </w:r>
    </w:p>
    <w:p>
      <w:pPr>
        <w:pStyle w:val="ListParagraph"/>
        <w:numPr>
          <w:ilvl w:val="0"/>
          <w:numId w:val="3"/>
        </w:numPr>
        <w:spacing w:after="70"/>
      </w:pPr>
      <w:r>
        <w:rPr>
          <w:rFonts w:ascii="Calibri" w:cs="Calibri" w:eastAsia="Calibri" w:hAnsi="Calibri"/>
          <w:sz w:val="21"/>
          <w:szCs w:val="21"/>
        </w:rPr>
        <w:t xml:space="preserve">Aiming for Level 8? Explain why the conflict exists and what has changed.</w:t>
      </w:r>
    </w:p>
    <w:p>
      <w:pPr>
        <w:spacing w:after="110" w:before="260"/>
      </w:pPr>
      <w:r>
        <w:rPr>
          <w:rFonts w:ascii="Calibri" w:cs="Calibri" w:eastAsia="Calibri" w:hAnsi="Calibri"/>
          <w:b/>
          <w:bCs/>
          <w:color w:val="1F1F1F"/>
          <w:sz w:val="23"/>
          <w:szCs w:val="23"/>
        </w:rPr>
        <w:t xml:space="preserve">6. Review and Reflect</w:t>
      </w:r>
    </w:p>
    <w:p>
      <w:pPr>
        <w:spacing w:after="100" w:before="0"/>
      </w:pPr>
      <w:r>
        <w:rPr>
          <w:rFonts w:ascii="Calibri" w:cs="Calibri" w:eastAsia="Calibri" w:hAnsi="Calibri"/>
          <w:color w:val="1F1F1F"/>
          <w:sz w:val="21"/>
          <w:szCs w:val="21"/>
        </w:rPr>
        <w:t xml:space="preserve">Read your paragraph back. Highlight your T, E, E and L in different colours.</w:t>
      </w:r>
    </w:p>
    <w:p>
      <w:pPr>
        <w:spacing w:after="100" w:before="100"/>
      </w:pPr>
      <w:r>
        <w:rPr>
          <w:rFonts w:ascii="Calibri" w:cs="Calibri" w:eastAsia="Calibri" w:hAnsi="Calibri"/>
          <w:color w:val="1F1F1F"/>
          <w:sz w:val="21"/>
          <w:szCs w:val="21"/>
        </w:rPr>
        <w:t xml:space="preserve">Self-assessment — Interconnection:</w:t>
      </w:r>
    </w:p>
    <w:p>
      <w:pPr>
        <w:pStyle w:val="ListParagraph"/>
        <w:numPr>
          <w:ilvl w:val="0"/>
          <w:numId w:val="3"/>
        </w:numPr>
        <w:spacing w:after="70"/>
      </w:pPr>
      <w:r>
        <w:rPr>
          <w:rFonts w:ascii="Calibri" w:cs="Calibri" w:eastAsia="Calibri" w:hAnsi="Calibri"/>
          <w:sz w:val="21"/>
          <w:szCs w:val="21"/>
        </w:rPr>
        <w:t xml:space="preserve">Level 6 — I can identify major interconnections within and between places.</w:t>
      </w:r>
    </w:p>
    <w:p>
      <w:pPr>
        <w:pStyle w:val="ListParagraph"/>
        <w:numPr>
          <w:ilvl w:val="0"/>
          <w:numId w:val="3"/>
        </w:numPr>
        <w:spacing w:after="70"/>
      </w:pPr>
      <w:r>
        <w:rPr>
          <w:rFonts w:ascii="Calibri" w:cs="Calibri" w:eastAsia="Calibri" w:hAnsi="Calibri"/>
          <w:sz w:val="21"/>
          <w:szCs w:val="21"/>
        </w:rPr>
        <w:t xml:space="preserve">Level 7 — I can describe major interconnections within and between places.</w:t>
      </w:r>
    </w:p>
    <w:p>
      <w:pPr>
        <w:pStyle w:val="ListParagraph"/>
        <w:numPr>
          <w:ilvl w:val="0"/>
          <w:numId w:val="3"/>
        </w:numPr>
        <w:spacing w:after="70"/>
      </w:pPr>
      <w:r>
        <w:rPr>
          <w:rFonts w:ascii="Calibri" w:cs="Calibri" w:eastAsia="Calibri" w:hAnsi="Calibri"/>
          <w:sz w:val="21"/>
          <w:szCs w:val="21"/>
        </w:rPr>
        <w:t xml:space="preserve">Level 8 — I can explain major interconnections within and between places and describe changes to these places.</w:t>
      </w:r>
    </w:p>
    <w:p>
      <w:pPr>
        <w:spacing w:after="100" w:before="260"/>
      </w:pPr>
      <w:r>
        <w:rPr>
          <w:rFonts w:ascii="Calibri" w:cs="Calibri" w:eastAsia="Calibri" w:hAnsi="Calibri"/>
          <w:b/>
          <w:bCs/>
          <w:color w:val="1F1F1F"/>
          <w:sz w:val="21"/>
          <w:szCs w:val="21"/>
        </w:rPr>
        <w:t xml:space="preserve">Further teacher reading:</w:t>
      </w:r>
    </w:p>
    <w:p>
      <w:pPr>
        <w:spacing w:after="100" w:before="0"/>
      </w:pPr>
      <w:r>
        <w:rPr>
          <w:rFonts w:ascii="Calibri" w:cs="Calibri" w:eastAsia="Calibri" w:hAnsi="Calibri"/>
          <w:color w:val="1F1F1F"/>
          <w:sz w:val="20"/>
          <w:szCs w:val="20"/>
        </w:rPr>
        <w:t xml:space="preserve">Case study: In what ways is water important to First Nations Peoples in Australia?</w:t>
      </w:r>
    </w:p>
    <w:p>
      <w:pPr>
        <w:spacing w:after="100" w:before="0"/>
      </w:pPr>
      <w:r>
        <w:rPr>
          <w:rFonts w:ascii="Calibri" w:cs="Calibri" w:eastAsia="Calibri" w:hAnsi="Calibri"/>
          <w:color w:val="1F1F1F"/>
          <w:sz w:val="20"/>
          <w:szCs w:val="20"/>
        </w:rPr>
        <w:t xml:space="preserve">Y7_Geography_Values-of-water_AC9HG7K01_K02_K03_AC9HG7S01_S04_Student-Handouts.pdf</w:t>
      </w:r>
    </w:p>
    <w:p>
      <w:pPr>
        <w:spacing w:after="100" w:before="0"/>
      </w:pPr>
      <w:r>
        <w:rPr>
          <w:rFonts w:ascii="Calibri" w:cs="Calibri" w:eastAsia="Calibri" w:hAnsi="Calibri"/>
          <w:i/>
          <w:iCs/>
          <w:color w:val="808080"/>
          <w:sz w:val="19"/>
          <w:szCs w:val="19"/>
        </w:rPr>
        <w:t xml:space="preserve">Note: give the class the warning that the resource and videos may contain images, voices or names of people who have died. Use present tense. Name the group (Nyikina Warrwa, Walmajarri, Bunuba) rather than 'Aboriginal people'. Don't ask students to write as a First Nations person or invent a Dreaming story.</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him2boxfk-vs8hlkqwka" Type="http://schemas.openxmlformats.org/officeDocument/2006/relationships/hyperlink" Target="https://liaminhawai-cmd.github.io/Water-in-the-world/water-vocab-hub.html" TargetMode="External"/><Relationship Id="rIdmionh3_q1eaezehgithod" Type="http://schemas.openxmlformats.org/officeDocument/2006/relationships/hyperlink" Target="https://liaminhawai-cmd.github.io/Water-in-the-world/lesson-2-3-worked-example.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2026-08-02T23:38:29.692Z</dcterms:created>
  <dcterms:modified xsi:type="dcterms:W3CDTF">2026-08-02T23:38:29.725Z</dcterms:modified>
</cp:coreProperties>
</file>

<file path=docProps/custom.xml><?xml version="1.0" encoding="utf-8"?>
<Properties xmlns="http://schemas.openxmlformats.org/officeDocument/2006/custom-properties" xmlns:vt="http://schemas.openxmlformats.org/officeDocument/2006/docPropsVTypes"/>
</file>