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23F43"/>
          <w:sz w:val="40"/>
        </w:rPr>
        <w:t>How one stone becomes evidence</w:t>
      </w:r>
    </w:p>
    <w:p>
      <w:pPr>
        <w:spacing w:after="120"/>
      </w:pPr>
      <w:r>
        <w:rPr>
          <w:sz w:val="18"/>
        </w:rPr>
        <w:t>What does GS73 suggest about life at Madjedbebe in ancient Australia?</w:t>
      </w:r>
    </w:p>
    <w:tbl>
      <w:tblPr>
        <w:tblStyle w:val="TableGrid"/>
        <w:tblW w:type="auto" w:w="0"/>
        <w:jc w:val="center"/>
        <w:tblLayout w:type="fixed"/>
        <w:tblLook w:firstColumn="1" w:firstRow="1" w:lastColumn="0" w:lastRow="0" w:noHBand="0" w:noVBand="1" w:val="04A0"/>
      </w:tblPr>
      <w:tblGrid>
        <w:gridCol w:w="3240"/>
        <w:gridCol w:w="3240"/>
        <w:gridCol w:w="3240"/>
        <w:gridCol w:w="3240"/>
        <w:gridCol w:w="3240"/>
        <w:gridCol w:w="3240"/>
        <w:gridCol w:w="3240"/>
      </w:tblGrid>
      <w:tr>
        <w:tc>
          <w:tcPr>
            <w:tcW w:type="dxa" w:w="1928"/>
            <w:shd w:val="clear" w:fill="223F43"/>
          </w:tcPr>
          <w:p>
            <w:pPr>
              <w:jc w:val="center"/>
            </w:pPr>
            <w:r>
              <w:rPr>
                <w:b/>
                <w:color w:val="FFFFFF"/>
                <w:sz w:val="22"/>
              </w:rPr>
            </w:r>
          </w:p>
        </w:tc>
        <w:tc>
          <w:tcPr>
            <w:tcW w:type="dxa" w:w="3458"/>
            <w:shd w:val="clear" w:fill="223F43"/>
          </w:tcPr>
          <w:p>
            <w:pPr>
              <w:jc w:val="center"/>
            </w:pPr>
            <w:r>
              <w:rPr>
                <w:b/>
                <w:color w:val="FFFFFF"/>
                <w:sz w:val="22"/>
              </w:rPr>
              <w:t>Grade 5</w:t>
            </w:r>
          </w:p>
        </w:tc>
        <w:tc>
          <w:tcPr>
            <w:tcW w:type="dxa" w:w="3458"/>
            <w:shd w:val="clear" w:fill="223F43"/>
          </w:tcPr>
          <w:p>
            <w:pPr>
              <w:jc w:val="center"/>
            </w:pPr>
            <w:r>
              <w:rPr>
                <w:b/>
                <w:color w:val="FFFFFF"/>
                <w:sz w:val="22"/>
              </w:rPr>
              <w:t>Year 6</w:t>
            </w:r>
          </w:p>
        </w:tc>
        <w:tc>
          <w:tcPr>
            <w:tcW w:type="dxa" w:w="3458"/>
            <w:shd w:val="clear" w:fill="A16207"/>
          </w:tcPr>
          <w:p>
            <w:pPr>
              <w:jc w:val="center"/>
            </w:pPr>
            <w:r>
              <w:rPr>
                <w:b/>
                <w:color w:val="FFFFFF"/>
                <w:sz w:val="22"/>
              </w:rPr>
              <w:t>Year 7</w:t>
            </w:r>
          </w:p>
        </w:tc>
        <w:tc>
          <w:tcPr>
            <w:tcW w:type="dxa" w:w="3458"/>
            <w:shd w:val="clear" w:fill="223F43"/>
          </w:tcPr>
          <w:p>
            <w:pPr>
              <w:jc w:val="center"/>
            </w:pPr>
            <w:r>
              <w:rPr>
                <w:b/>
                <w:color w:val="FFFFFF"/>
                <w:sz w:val="22"/>
              </w:rPr>
              <w:t>Year 8</w:t>
            </w:r>
          </w:p>
        </w:tc>
        <w:tc>
          <w:tcPr>
            <w:tcW w:type="dxa" w:w="3458"/>
            <w:shd w:val="clear" w:fill="223F43"/>
          </w:tcPr>
          <w:p>
            <w:pPr>
              <w:jc w:val="center"/>
            </w:pPr>
            <w:r>
              <w:rPr>
                <w:b/>
                <w:color w:val="FFFFFF"/>
                <w:sz w:val="22"/>
              </w:rPr>
              <w:t>Year 9</w:t>
            </w:r>
          </w:p>
        </w:tc>
        <w:tc>
          <w:tcPr>
            <w:tcW w:type="dxa" w:w="3458"/>
            <w:shd w:val="clear" w:fill="223F43"/>
          </w:tcPr>
          <w:p>
            <w:pPr>
              <w:jc w:val="center"/>
            </w:pPr>
            <w:r>
              <w:rPr>
                <w:b/>
                <w:color w:val="FFFFFF"/>
                <w:sz w:val="22"/>
              </w:rPr>
              <w:t>Year 10</w:t>
            </w:r>
          </w:p>
        </w:tc>
      </w:tr>
      <w:tr>
        <w:tc>
          <w:tcPr>
            <w:tcW w:type="dxa" w:w="1928"/>
          </w:tcPr>
          <w:p>
            <w:r>
              <w:rPr>
                <w:b/>
                <w:color w:val="223F43"/>
                <w:sz w:val="16"/>
              </w:rPr>
              <w:t>WORKED EXAMPLE</w:t>
            </w:r>
          </w:p>
        </w:tc>
        <w:tc>
          <w:tcPr>
            <w:tcW w:type="dxa" w:w="3458"/>
          </w:tcPr>
          <w:p>
            <w:r>
              <w:rPr>
                <w:color w:val="20231F"/>
                <w:sz w:val="15"/>
              </w:rPr>
              <w:t xml:space="preserve">GS73 is a </w:t>
            </w:r>
            <w:r>
              <w:rPr>
                <w:b/>
                <w:color w:val="176B87"/>
                <w:sz w:val="15"/>
                <w:u w:val="single"/>
              </w:rPr>
              <w:t>stone source</w:t>
            </w:r>
            <w:r>
              <w:rPr>
                <w:color w:val="20231F"/>
                <w:sz w:val="15"/>
              </w:rPr>
              <w:t xml:space="preserve"> found at Madjedbebe. I can see </w:t>
            </w:r>
            <w:r>
              <w:rPr>
                <w:b/>
                <w:color w:val="176B87"/>
                <w:sz w:val="15"/>
                <w:u w:val="single"/>
              </w:rPr>
              <w:t>deep grooves</w:t>
            </w:r>
            <w:r>
              <w:rPr>
                <w:color w:val="20231F"/>
                <w:sz w:val="15"/>
              </w:rPr>
              <w:t xml:space="preserve"> and </w:t>
            </w:r>
            <w:r>
              <w:rPr>
                <w:b/>
                <w:color w:val="176B87"/>
                <w:sz w:val="15"/>
                <w:u w:val="single"/>
              </w:rPr>
              <w:t>shiny patches</w:t>
            </w:r>
            <w:r>
              <w:rPr>
                <w:color w:val="20231F"/>
                <w:sz w:val="15"/>
              </w:rPr>
              <w:t xml:space="preserve">. It comes from </w:t>
            </w:r>
            <w:r>
              <w:rPr>
                <w:b/>
                <w:color w:val="357A46"/>
                <w:sz w:val="15"/>
                <w:u w:val="dash"/>
              </w:rPr>
              <w:t>ancient Australia</w:t>
            </w:r>
            <w:r>
              <w:rPr>
                <w:color w:val="20231F"/>
                <w:sz w:val="15"/>
              </w:rPr>
              <w:t xml:space="preserve"> and may have been used for grinding. </w:t>
            </w:r>
            <w:r>
              <w:rPr>
                <w:b/>
                <w:color w:val="A34D1D"/>
                <w:sz w:val="15"/>
                <w:u w:val="dotted"/>
              </w:rPr>
              <w:t>Researchers disagree about exactly how old its soil layer is</w:t>
            </w:r>
            <w:r>
              <w:rPr>
                <w:color w:val="20231F"/>
                <w:sz w:val="15"/>
              </w:rPr>
              <w:t xml:space="preserve">. The stone is </w:t>
            </w:r>
            <w:r>
              <w:rPr>
                <w:b/>
                <w:color w:val="744F91"/>
                <w:sz w:val="15"/>
                <w:u w:val="double"/>
              </w:rPr>
              <w:t>useful for showing tool use</w:t>
            </w:r>
            <w:r>
              <w:rPr>
                <w:color w:val="20231F"/>
                <w:sz w:val="15"/>
              </w:rPr>
              <w:t xml:space="preserve">, but it </w:t>
            </w:r>
            <w:r>
              <w:rPr>
                <w:b/>
                <w:color w:val="744F91"/>
                <w:sz w:val="15"/>
                <w:u w:val="double"/>
              </w:rPr>
              <w:t>cannot tell us the user's name</w:t>
            </w:r>
            <w:r>
              <w:rPr>
                <w:color w:val="20231F"/>
                <w:sz w:val="15"/>
              </w:rPr>
              <w:t>. I checked my answer and added the words 'may have' because the source does not prove everything.</w:t>
            </w:r>
          </w:p>
        </w:tc>
        <w:tc>
          <w:tcPr>
            <w:tcW w:type="dxa" w:w="3458"/>
          </w:tcPr>
          <w:p>
            <w:r>
              <w:rPr>
                <w:color w:val="20231F"/>
                <w:sz w:val="15"/>
              </w:rPr>
              <w:t xml:space="preserve">GS73 is an </w:t>
            </w:r>
            <w:r>
              <w:rPr>
                <w:b/>
                <w:color w:val="176B87"/>
                <w:sz w:val="15"/>
                <w:u w:val="single"/>
              </w:rPr>
              <w:t>archaeological artefact</w:t>
            </w:r>
            <w:r>
              <w:rPr>
                <w:color w:val="20231F"/>
                <w:sz w:val="15"/>
              </w:rPr>
              <w:t xml:space="preserve">: a </w:t>
            </w:r>
            <w:r>
              <w:rPr>
                <w:b/>
                <w:color w:val="176B87"/>
                <w:sz w:val="15"/>
                <w:u w:val="single"/>
              </w:rPr>
              <w:t>sandstone grinding-stone fragment</w:t>
            </w:r>
            <w:r>
              <w:rPr>
                <w:color w:val="20231F"/>
                <w:sz w:val="15"/>
              </w:rPr>
              <w:t xml:space="preserve"> found at Madjedbebe on Mirarr Country. Photographs show </w:t>
            </w:r>
            <w:r>
              <w:rPr>
                <w:b/>
                <w:color w:val="176B87"/>
                <w:sz w:val="15"/>
                <w:u w:val="single"/>
              </w:rPr>
              <w:t>grooves and polish</w:t>
            </w:r>
            <w:r>
              <w:rPr>
                <w:color w:val="20231F"/>
                <w:sz w:val="15"/>
              </w:rPr>
              <w:t xml:space="preserve">. It belongs to </w:t>
            </w:r>
            <w:r>
              <w:rPr>
                <w:b/>
                <w:color w:val="357A46"/>
                <w:sz w:val="15"/>
                <w:u w:val="dash"/>
              </w:rPr>
              <w:t>a very early period of Aboriginal occupation</w:t>
            </w:r>
            <w:r>
              <w:rPr>
                <w:color w:val="20231F"/>
                <w:sz w:val="15"/>
              </w:rPr>
              <w:t xml:space="preserve">, when people repeatedly used stone tools. </w:t>
            </w:r>
            <w:r>
              <w:rPr>
                <w:b/>
                <w:color w:val="A34D1D"/>
                <w:sz w:val="15"/>
                <w:u w:val="dotted"/>
              </w:rPr>
              <w:t>Some researchers place Phase 2 at about 65,000 years ago</w:t>
            </w:r>
            <w:r>
              <w:rPr>
                <w:color w:val="20231F"/>
                <w:sz w:val="15"/>
              </w:rPr>
              <w:t xml:space="preserve">, while others </w:t>
            </w:r>
            <w:r>
              <w:rPr>
                <w:b/>
                <w:color w:val="A34D1D"/>
                <w:sz w:val="15"/>
                <w:u w:val="dotted"/>
              </w:rPr>
              <w:t>question whether soil movement affected that date</w:t>
            </w:r>
            <w:r>
              <w:rPr>
                <w:color w:val="20231F"/>
                <w:sz w:val="15"/>
              </w:rPr>
              <w:t xml:space="preserve">. It is </w:t>
            </w:r>
            <w:r>
              <w:rPr>
                <w:b/>
                <w:color w:val="744F91"/>
                <w:sz w:val="15"/>
                <w:u w:val="double"/>
              </w:rPr>
              <w:t>useful evidence that people ground materials</w:t>
            </w:r>
            <w:r>
              <w:rPr>
                <w:color w:val="20231F"/>
                <w:sz w:val="15"/>
              </w:rPr>
              <w:t xml:space="preserve">, although </w:t>
            </w:r>
            <w:r>
              <w:rPr>
                <w:b/>
                <w:color w:val="744F91"/>
                <w:sz w:val="15"/>
                <w:u w:val="double"/>
              </w:rPr>
              <w:t>the stone alone cannot identify exactly what was ground</w:t>
            </w:r>
            <w:r>
              <w:rPr>
                <w:color w:val="20231F"/>
                <w:sz w:val="15"/>
              </w:rPr>
              <w:t>. Before writing, I broke the task into source, context, interpretations and usefulness.</w:t>
            </w:r>
          </w:p>
        </w:tc>
        <w:tc>
          <w:tcPr>
            <w:tcW w:type="dxa" w:w="3458"/>
          </w:tcPr>
          <w:p>
            <w:r>
              <w:rPr>
                <w:color w:val="20231F"/>
                <w:sz w:val="15"/>
              </w:rPr>
              <w:t xml:space="preserve">The ancient source is </w:t>
            </w:r>
            <w:r>
              <w:rPr>
                <w:b/>
                <w:color w:val="176B87"/>
                <w:sz w:val="15"/>
                <w:u w:val="single"/>
              </w:rPr>
              <w:t>GS73, a sandstone millstone fragment excavated from Phase 2 at Madjedbebe on Mirarr Country</w:t>
            </w:r>
            <w:r>
              <w:rPr>
                <w:color w:val="20231F"/>
                <w:sz w:val="15"/>
              </w:rPr>
              <w:t xml:space="preserve">. The modern record is </w:t>
            </w:r>
            <w:r>
              <w:rPr>
                <w:b/>
                <w:color w:val="176B87"/>
                <w:sz w:val="15"/>
                <w:u w:val="single"/>
              </w:rPr>
              <w:t>a 2022 scientific figure by Hayes and colleagues</w:t>
            </w:r>
            <w:r>
              <w:rPr>
                <w:color w:val="20231F"/>
                <w:sz w:val="15"/>
              </w:rPr>
              <w:t xml:space="preserve">, created to </w:t>
            </w:r>
            <w:r>
              <w:rPr>
                <w:b/>
                <w:color w:val="176B87"/>
                <w:sz w:val="15"/>
                <w:u w:val="single"/>
              </w:rPr>
              <w:t>document its wear and residues and argue for long-term grinding-stone use</w:t>
            </w:r>
            <w:r>
              <w:rPr>
                <w:color w:val="20231F"/>
                <w:sz w:val="15"/>
              </w:rPr>
              <w:t xml:space="preserve">. In ancient Australia, </w:t>
            </w:r>
            <w:r>
              <w:rPr>
                <w:b/>
                <w:color w:val="357A46"/>
                <w:sz w:val="15"/>
                <w:u w:val="dash"/>
              </w:rPr>
              <w:t>grinding technology helped people prepare hard or fibrous plant foods and shows detailed knowledge of local resources</w:t>
            </w:r>
            <w:r>
              <w:rPr>
                <w:color w:val="20231F"/>
                <w:sz w:val="15"/>
              </w:rPr>
              <w:t xml:space="preserve">. </w:t>
            </w:r>
            <w:r>
              <w:rPr>
                <w:b/>
                <w:color w:val="A34D1D"/>
                <w:sz w:val="15"/>
                <w:u w:val="dotted"/>
              </w:rPr>
              <w:t>Hayes and colleagues interpret plant processing</w:t>
            </w:r>
            <w:r>
              <w:rPr>
                <w:color w:val="20231F"/>
                <w:sz w:val="15"/>
              </w:rPr>
              <w:t xml:space="preserve"> because the source contains </w:t>
            </w:r>
            <w:r>
              <w:rPr>
                <w:b/>
                <w:color w:val="A34D1D"/>
                <w:sz w:val="15"/>
                <w:u w:val="dotted"/>
              </w:rPr>
              <w:t>deep grooves, microscopic polish, 41 starch grains and plant-related compounds</w:t>
            </w:r>
            <w:r>
              <w:rPr>
                <w:color w:val="20231F"/>
                <w:sz w:val="15"/>
              </w:rPr>
              <w:t xml:space="preserve">; </w:t>
            </w:r>
            <w:r>
              <w:rPr>
                <w:b/>
                <w:color w:val="A34D1D"/>
                <w:sz w:val="15"/>
                <w:u w:val="dotted"/>
              </w:rPr>
              <w:t>other researchers question the earliest date of the layer</w:t>
            </w:r>
            <w:r>
              <w:rPr>
                <w:color w:val="20231F"/>
                <w:sz w:val="15"/>
              </w:rPr>
              <w:t xml:space="preserve">. GS73 is </w:t>
            </w:r>
            <w:r>
              <w:rPr>
                <w:b/>
                <w:color w:val="744F91"/>
                <w:sz w:val="15"/>
                <w:u w:val="double"/>
              </w:rPr>
              <w:t>highly useful for investigating plant processing because shape, wear and residues agree</w:t>
            </w:r>
            <w:r>
              <w:rPr>
                <w:color w:val="20231F"/>
                <w:sz w:val="15"/>
              </w:rPr>
              <w:t xml:space="preserve">, but </w:t>
            </w:r>
            <w:r>
              <w:rPr>
                <w:b/>
                <w:color w:val="744F91"/>
                <w:sz w:val="15"/>
                <w:u w:val="double"/>
              </w:rPr>
              <w:t>the exact plant is unidentified and the precise age remains contested</w:t>
            </w:r>
            <w:r>
              <w:rPr>
                <w:color w:val="20231F"/>
                <w:sz w:val="15"/>
              </w:rPr>
              <w:t>. After reviewing, I changed 'proves' to 'supports' and separated the well-supported function from the disputed date.</w:t>
            </w:r>
          </w:p>
        </w:tc>
        <w:tc>
          <w:tcPr>
            <w:tcW w:type="dxa" w:w="3458"/>
          </w:tcPr>
          <w:p>
            <w:r>
              <w:rPr>
                <w:color w:val="20231F"/>
                <w:sz w:val="15"/>
              </w:rPr>
              <w:t xml:space="preserve">The ancient source is </w:t>
            </w:r>
            <w:r>
              <w:rPr>
                <w:b/>
                <w:color w:val="176B87"/>
                <w:sz w:val="15"/>
                <w:u w:val="single"/>
              </w:rPr>
              <w:t>GS73, a millstone fragment from Phase 2</w:t>
            </w:r>
            <w:r>
              <w:rPr>
                <w:color w:val="20231F"/>
                <w:sz w:val="15"/>
              </w:rPr>
              <w:t xml:space="preserve">; Hayes and colleagues' </w:t>
            </w:r>
            <w:r>
              <w:rPr>
                <w:b/>
                <w:color w:val="176B87"/>
                <w:sz w:val="15"/>
                <w:u w:val="single"/>
              </w:rPr>
              <w:t>2022 scientific figure records its form, wear and residues so readers can examine their interpretation</w:t>
            </w:r>
            <w:r>
              <w:rPr>
                <w:color w:val="20231F"/>
                <w:sz w:val="15"/>
              </w:rPr>
              <w:t xml:space="preserve">. </w:t>
            </w:r>
            <w:r>
              <w:rPr>
                <w:b/>
                <w:color w:val="357A46"/>
                <w:sz w:val="15"/>
                <w:u w:val="dash"/>
              </w:rPr>
              <w:t>Madjedbebe is a long-occupied site on Mirarr Country</w:t>
            </w:r>
            <w:r>
              <w:rPr>
                <w:color w:val="20231F"/>
                <w:sz w:val="15"/>
              </w:rPr>
              <w:t xml:space="preserve">, and the grinding evidence places </w:t>
            </w:r>
            <w:r>
              <w:rPr>
                <w:b/>
                <w:color w:val="357A46"/>
                <w:sz w:val="15"/>
                <w:u w:val="dash"/>
              </w:rPr>
              <w:t>complex plant preparation within deep Aboriginal history</w:t>
            </w:r>
            <w:r>
              <w:rPr>
                <w:color w:val="20231F"/>
                <w:sz w:val="15"/>
              </w:rPr>
              <w:t xml:space="preserve">. </w:t>
            </w:r>
            <w:r>
              <w:rPr>
                <w:b/>
                <w:color w:val="A34D1D"/>
                <w:sz w:val="15"/>
                <w:u w:val="dotted"/>
              </w:rPr>
              <w:t>Hayes interpret seed grinding from wear and residues</w:t>
            </w:r>
            <w:r>
              <w:rPr>
                <w:color w:val="20231F"/>
                <w:sz w:val="15"/>
              </w:rPr>
              <w:t xml:space="preserve">; </w:t>
            </w:r>
            <w:r>
              <w:rPr>
                <w:b/>
                <w:color w:val="A34D1D"/>
                <w:sz w:val="15"/>
                <w:u w:val="dotted"/>
              </w:rPr>
              <w:t>Clarkson defend the early context using site integrity and dating</w:t>
            </w:r>
            <w:r>
              <w:rPr>
                <w:color w:val="20231F"/>
                <w:sz w:val="15"/>
              </w:rPr>
              <w:t xml:space="preserve">; and </w:t>
            </w:r>
            <w:r>
              <w:rPr>
                <w:b/>
                <w:color w:val="A34D1D"/>
                <w:sz w:val="15"/>
                <w:u w:val="dotted"/>
              </w:rPr>
              <w:t>Williams use termite and sediment evidence to make the precise age less secure</w:t>
            </w:r>
            <w:r>
              <w:rPr>
                <w:color w:val="20231F"/>
                <w:sz w:val="15"/>
              </w:rPr>
              <w:t xml:space="preserve">. </w:t>
            </w:r>
            <w:r>
              <w:rPr>
                <w:b/>
                <w:color w:val="744F91"/>
                <w:sz w:val="15"/>
                <w:u w:val="double"/>
              </w:rPr>
              <w:t>Shape, microscopic wear, starch and plant compounds strengthen the function claim</w:t>
            </w:r>
            <w:r>
              <w:rPr>
                <w:color w:val="20231F"/>
                <w:sz w:val="15"/>
              </w:rPr>
              <w:t xml:space="preserve">, but I would ask: </w:t>
            </w:r>
            <w:r>
              <w:rPr>
                <w:b/>
                <w:color w:val="744F91"/>
                <w:sz w:val="15"/>
                <w:u w:val="double"/>
              </w:rPr>
              <w:t>Could contamination affect the residues? Could layer movement affect the date?</w:t>
            </w:r>
            <w:r>
              <w:rPr>
                <w:color w:val="20231F"/>
                <w:sz w:val="15"/>
              </w:rPr>
              <w:t xml:space="preserve"> I reflected by checking which methods added independent support and recording the questions still unresolved.</w:t>
            </w:r>
          </w:p>
        </w:tc>
        <w:tc>
          <w:tcPr>
            <w:tcW w:type="dxa" w:w="3458"/>
          </w:tcPr>
          <w:p>
            <w:r>
              <w:rPr>
                <w:color w:val="20231F"/>
                <w:sz w:val="15"/>
              </w:rPr>
              <w:t xml:space="preserve">GS73 is </w:t>
            </w:r>
            <w:r>
              <w:rPr>
                <w:b/>
                <w:color w:val="176B87"/>
                <w:sz w:val="15"/>
                <w:u w:val="single"/>
              </w:rPr>
              <w:t>material evidence excavated from a recorded Phase 2 context</w:t>
            </w:r>
            <w:r>
              <w:rPr>
                <w:color w:val="20231F"/>
                <w:sz w:val="15"/>
              </w:rPr>
              <w:t xml:space="preserve">. The </w:t>
            </w:r>
            <w:r>
              <w:rPr>
                <w:b/>
                <w:color w:val="176B87"/>
                <w:sz w:val="15"/>
                <w:u w:val="single"/>
              </w:rPr>
              <w:t>peer-reviewed 2022 figure combines photographs, micrographs and laboratory results</w:t>
            </w:r>
            <w:r>
              <w:rPr>
                <w:color w:val="20231F"/>
                <w:sz w:val="15"/>
              </w:rPr>
              <w:t xml:space="preserve"> to </w:t>
            </w:r>
            <w:r>
              <w:rPr>
                <w:b/>
                <w:color w:val="176B87"/>
                <w:sz w:val="15"/>
                <w:u w:val="single"/>
              </w:rPr>
              <w:t>persuade a scientific audience that grinding-stone use has a deep history</w:t>
            </w:r>
            <w:r>
              <w:rPr>
                <w:color w:val="20231F"/>
                <w:sz w:val="15"/>
              </w:rPr>
              <w:t xml:space="preserve">. The study belongs to </w:t>
            </w:r>
            <w:r>
              <w:rPr>
                <w:b/>
                <w:color w:val="357A46"/>
                <w:sz w:val="15"/>
                <w:u w:val="dash"/>
              </w:rPr>
              <w:t>research into the deep Aboriginal history of Sahul</w:t>
            </w:r>
            <w:r>
              <w:rPr>
                <w:color w:val="20231F"/>
                <w:sz w:val="15"/>
              </w:rPr>
              <w:t xml:space="preserve"> and was conducted </w:t>
            </w:r>
            <w:r>
              <w:rPr>
                <w:b/>
                <w:color w:val="357A46"/>
                <w:sz w:val="15"/>
                <w:u w:val="dash"/>
              </w:rPr>
              <w:t>with permission from Mirarr custodians</w:t>
            </w:r>
            <w:r>
              <w:rPr>
                <w:color w:val="20231F"/>
                <w:sz w:val="15"/>
              </w:rPr>
              <w:t xml:space="preserve">. </w:t>
            </w:r>
            <w:r>
              <w:rPr>
                <w:b/>
                <w:color w:val="A34D1D"/>
                <w:sz w:val="15"/>
                <w:u w:val="dotted"/>
              </w:rPr>
              <w:t>Hayes use grooves, polish and residues to argue for seed processing</w:t>
            </w:r>
            <w:r>
              <w:rPr>
                <w:color w:val="20231F"/>
                <w:sz w:val="15"/>
              </w:rPr>
              <w:t xml:space="preserve">; </w:t>
            </w:r>
            <w:r>
              <w:rPr>
                <w:b/>
                <w:color w:val="A34D1D"/>
                <w:sz w:val="15"/>
                <w:u w:val="dotted"/>
              </w:rPr>
              <w:t>Clarkson use site integrity and dating to support the early chronology</w:t>
            </w:r>
            <w:r>
              <w:rPr>
                <w:color w:val="20231F"/>
                <w:sz w:val="15"/>
              </w:rPr>
              <w:t xml:space="preserve">; while </w:t>
            </w:r>
            <w:r>
              <w:rPr>
                <w:b/>
                <w:color w:val="A34D1D"/>
                <w:sz w:val="15"/>
                <w:u w:val="dotted"/>
              </w:rPr>
              <w:t>Williams use termite and sediment evidence to challenge it</w:t>
            </w:r>
            <w:r>
              <w:rPr>
                <w:color w:val="20231F"/>
                <w:sz w:val="15"/>
              </w:rPr>
              <w:t xml:space="preserve">. </w:t>
            </w:r>
            <w:r>
              <w:rPr>
                <w:b/>
                <w:color w:val="744F91"/>
                <w:sz w:val="15"/>
                <w:u w:val="double"/>
              </w:rPr>
              <w:t>Agreement between wear and residue evidence makes grinding the strongest claim</w:t>
            </w:r>
            <w:r>
              <w:rPr>
                <w:color w:val="20231F"/>
                <w:sz w:val="15"/>
              </w:rPr>
              <w:t xml:space="preserve">, while </w:t>
            </w:r>
            <w:r>
              <w:rPr>
                <w:b/>
                <w:color w:val="744F91"/>
                <w:sz w:val="15"/>
                <w:u w:val="double"/>
              </w:rPr>
              <w:t>the exact plant and precise age are weaker because they depend on preservation and depositional context</w:t>
            </w:r>
            <w:r>
              <w:rPr>
                <w:color w:val="20231F"/>
                <w:sz w:val="15"/>
              </w:rPr>
              <w:t>. I monitored whether I was comparing evidence or merely listing it, then rewrote the list as a judgement.</w:t>
            </w:r>
          </w:p>
        </w:tc>
        <w:tc>
          <w:tcPr>
            <w:tcW w:type="dxa" w:w="3458"/>
          </w:tcPr>
          <w:p>
            <w:r>
              <w:rPr>
                <w:color w:val="20231F"/>
                <w:sz w:val="15"/>
              </w:rPr>
              <w:t xml:space="preserve">GS73 is an ancient artefact interpreted through a modern scientific publication. Its </w:t>
            </w:r>
            <w:r>
              <w:rPr>
                <w:b/>
                <w:color w:val="176B87"/>
                <w:sz w:val="15"/>
                <w:u w:val="single"/>
              </w:rPr>
              <w:t>explicit evidence is recorded wear and residues</w:t>
            </w:r>
            <w:r>
              <w:rPr>
                <w:color w:val="20231F"/>
                <w:sz w:val="15"/>
              </w:rPr>
              <w:t xml:space="preserve">; its </w:t>
            </w:r>
            <w:r>
              <w:rPr>
                <w:b/>
                <w:color w:val="176B87"/>
                <w:sz w:val="15"/>
                <w:u w:val="single"/>
              </w:rPr>
              <w:t>implicit argument is that grinding technology has a deeper Australian history than older accounts allowed</w:t>
            </w:r>
            <w:r>
              <w:rPr>
                <w:color w:val="20231F"/>
                <w:sz w:val="15"/>
              </w:rPr>
              <w:t xml:space="preserve">, aimed at </w:t>
            </w:r>
            <w:r>
              <w:rPr>
                <w:b/>
                <w:color w:val="176B87"/>
                <w:sz w:val="15"/>
                <w:u w:val="single"/>
              </w:rPr>
              <w:t>archaeologists and other scientific readers</w:t>
            </w:r>
            <w:r>
              <w:rPr>
                <w:color w:val="20231F"/>
                <w:sz w:val="15"/>
              </w:rPr>
              <w:t xml:space="preserve">. The investigation reflects </w:t>
            </w:r>
            <w:r>
              <w:rPr>
                <w:b/>
                <w:color w:val="357A46"/>
                <w:sz w:val="15"/>
                <w:u w:val="dash"/>
              </w:rPr>
              <w:t>contemporary scientific testing and collaboration with Mirarr custodians</w:t>
            </w:r>
            <w:r>
              <w:rPr>
                <w:color w:val="20231F"/>
                <w:sz w:val="15"/>
              </w:rPr>
              <w:t xml:space="preserve">, revealing values of </w:t>
            </w:r>
            <w:r>
              <w:rPr>
                <w:b/>
                <w:color w:val="357A46"/>
                <w:sz w:val="15"/>
                <w:u w:val="dash"/>
              </w:rPr>
              <w:t>empirical testing, custodial permission and careful qualification</w:t>
            </w:r>
            <w:r>
              <w:rPr>
                <w:color w:val="20231F"/>
                <w:sz w:val="15"/>
              </w:rPr>
              <w:t xml:space="preserve">. </w:t>
            </w:r>
            <w:r>
              <w:rPr>
                <w:b/>
                <w:color w:val="A34D1D"/>
                <w:sz w:val="15"/>
                <w:u w:val="dotted"/>
              </w:rPr>
              <w:t>Hayes and Clarkson accept the early context because several records converge</w:t>
            </w:r>
            <w:r>
              <w:rPr>
                <w:color w:val="20231F"/>
                <w:sz w:val="15"/>
              </w:rPr>
              <w:t xml:space="preserve">, while </w:t>
            </w:r>
            <w:r>
              <w:rPr>
                <w:b/>
                <w:color w:val="A34D1D"/>
                <w:sz w:val="15"/>
                <w:u w:val="dotted"/>
              </w:rPr>
              <w:t>Williams gives more weight to termite disturbance and sediment movement</w:t>
            </w:r>
            <w:r>
              <w:rPr>
                <w:color w:val="20231F"/>
                <w:sz w:val="15"/>
              </w:rPr>
              <w:t xml:space="preserve">; their interpretations differ because they make </w:t>
            </w:r>
            <w:r>
              <w:rPr>
                <w:b/>
                <w:color w:val="A34D1D"/>
                <w:sz w:val="15"/>
                <w:u w:val="dotted"/>
              </w:rPr>
              <w:t>competing judgements about site formation</w:t>
            </w:r>
            <w:r>
              <w:rPr>
                <w:color w:val="20231F"/>
                <w:sz w:val="15"/>
              </w:rPr>
              <w:t xml:space="preserve">. Overall, GS73 is </w:t>
            </w:r>
            <w:r>
              <w:rPr>
                <w:b/>
                <w:color w:val="744F91"/>
                <w:sz w:val="15"/>
                <w:u w:val="double"/>
              </w:rPr>
              <w:t>strong evidence for grinding but only qualified evidence for an exact age</w:t>
            </w:r>
            <w:r>
              <w:rPr>
                <w:color w:val="20231F"/>
                <w:sz w:val="15"/>
              </w:rPr>
              <w:t xml:space="preserve">: strengths include </w:t>
            </w:r>
            <w:r>
              <w:rPr>
                <w:b/>
                <w:color w:val="744F91"/>
                <w:sz w:val="15"/>
                <w:u w:val="double"/>
              </w:rPr>
              <w:t>converging methods</w:t>
            </w:r>
            <w:r>
              <w:rPr>
                <w:color w:val="20231F"/>
                <w:sz w:val="15"/>
              </w:rPr>
              <w:t xml:space="preserve">; limitations include </w:t>
            </w:r>
            <w:r>
              <w:rPr>
                <w:b/>
                <w:color w:val="744F91"/>
                <w:sz w:val="15"/>
                <w:u w:val="double"/>
              </w:rPr>
              <w:t>unidentified starch, contamination and contested layer history</w:t>
            </w:r>
            <w:r>
              <w:rPr>
                <w:color w:val="20231F"/>
                <w:sz w:val="15"/>
              </w:rPr>
              <w:t>. I justified triangulation as the strongest strategy, then adapted the conclusion because the claims have different certainty.</w:t>
            </w:r>
          </w:p>
        </w:tc>
      </w:tr>
      <w:tr>
        <w:tc>
          <w:tcPr>
            <w:tcW w:type="dxa" w:w="1928"/>
          </w:tcPr>
          <w:p>
            <w:r>
              <w:rPr>
                <w:b/>
                <w:color w:val="223F43"/>
                <w:sz w:val="16"/>
              </w:rPr>
              <w:t>WHAT IT PROVES</w:t>
            </w:r>
          </w:p>
        </w:tc>
        <w:tc>
          <w:tcPr>
            <w:tcW w:type="dxa" w:w="3458"/>
            <w:shd w:val="clear" w:fill="F5F0E6"/>
          </w:tcPr>
          <w:p>
            <w:r>
              <w:rPr>
                <w:color w:val="176B87"/>
                <w:sz w:val="14"/>
              </w:rPr>
              <w:t xml:space="preserve">■ </w:t>
            </w:r>
            <w:r>
              <w:rPr>
                <w:color w:val="20231F"/>
                <w:sz w:val="14"/>
              </w:rPr>
              <w:t>The blue phrases name the source and two visible features: 'stone source', 'deep grooves' and 'shiny patches'. Origin and purpose are not yet developed.</w:t>
            </w:r>
          </w:p>
          <w:p>
            <w:r>
              <w:rPr>
                <w:color w:val="357A46"/>
                <w:sz w:val="14"/>
              </w:rPr>
              <w:t xml:space="preserve">▲ </w:t>
            </w:r>
            <w:r>
              <w:rPr>
                <w:color w:val="20231F"/>
                <w:sz w:val="14"/>
              </w:rPr>
              <w:t>The green phrase places GS73 broadly in 'ancient Australia' but gives little detail about life or practice.</w:t>
            </w:r>
          </w:p>
          <w:p>
            <w:r>
              <w:rPr>
                <w:color w:val="A34D1D"/>
                <w:sz w:val="14"/>
              </w:rPr>
              <w:t xml:space="preserve">● </w:t>
            </w:r>
            <w:r>
              <w:rPr>
                <w:color w:val="20231F"/>
                <w:sz w:val="14"/>
              </w:rPr>
              <w:t>The orange phrase notices disagreement about the date without describing the competing arguments.</w:t>
            </w:r>
          </w:p>
          <w:p>
            <w:r>
              <w:rPr>
                <w:color w:val="744F91"/>
                <w:sz w:val="14"/>
              </w:rPr>
              <w:t xml:space="preserve">◆ </w:t>
            </w:r>
            <w:r>
              <w:rPr>
                <w:color w:val="20231F"/>
                <w:sz w:val="14"/>
              </w:rPr>
              <w:t>The purple phrases give one use and one limit: tool use is visible, but the user cannot be named.</w:t>
            </w:r>
          </w:p>
        </w:tc>
        <w:tc>
          <w:tcPr>
            <w:tcW w:type="dxa" w:w="3458"/>
            <w:shd w:val="clear" w:fill="F5F0E6"/>
          </w:tcPr>
          <w:p>
            <w:r>
              <w:rPr>
                <w:color w:val="176B87"/>
                <w:sz w:val="14"/>
              </w:rPr>
              <w:t xml:space="preserve">■ </w:t>
            </w:r>
            <w:r>
              <w:rPr>
                <w:color w:val="20231F"/>
                <w:sz w:val="14"/>
              </w:rPr>
              <w:t>'Archaeological artefact', 'sandstone grinding-stone fragment' and 'grooves and polish' identify type and features; purpose is not yet explained.</w:t>
            </w:r>
          </w:p>
          <w:p>
            <w:r>
              <w:rPr>
                <w:color w:val="357A46"/>
                <w:sz w:val="14"/>
              </w:rPr>
              <w:t xml:space="preserve">▲ </w:t>
            </w:r>
            <w:r>
              <w:rPr>
                <w:color w:val="20231F"/>
                <w:sz w:val="14"/>
              </w:rPr>
              <w:t>'A very early period of Aboriginal occupation' identifies the context and connects it to repeated tool use.</w:t>
            </w:r>
          </w:p>
          <w:p>
            <w:r>
              <w:rPr>
                <w:color w:val="A34D1D"/>
                <w:sz w:val="14"/>
              </w:rPr>
              <w:t xml:space="preserve">● </w:t>
            </w:r>
            <w:r>
              <w:rPr>
                <w:color w:val="20231F"/>
                <w:sz w:val="14"/>
              </w:rPr>
              <w:t>The answer recognises two positions on the date but does not yet describe the evidence behind them.</w:t>
            </w:r>
          </w:p>
          <w:p>
            <w:r>
              <w:rPr>
                <w:color w:val="744F91"/>
                <w:sz w:val="14"/>
              </w:rPr>
              <w:t xml:space="preserve">◆ </w:t>
            </w:r>
            <w:r>
              <w:rPr>
                <w:color w:val="20231F"/>
                <w:sz w:val="14"/>
              </w:rPr>
              <w:t>It recognises usefulness for grinding and a clear limit: the material processed cannot yet be identified.</w:t>
            </w:r>
          </w:p>
        </w:tc>
        <w:tc>
          <w:tcPr>
            <w:tcW w:type="dxa" w:w="3458"/>
            <w:shd w:val="clear" w:fill="F5F0E6"/>
          </w:tcPr>
          <w:p>
            <w:r>
              <w:rPr>
                <w:color w:val="176B87"/>
                <w:sz w:val="14"/>
              </w:rPr>
              <w:t xml:space="preserve">■ </w:t>
            </w:r>
            <w:r>
              <w:rPr>
                <w:color w:val="20231F"/>
                <w:sz w:val="14"/>
              </w:rPr>
              <w:t>The answer separates the ancient object from the modern 2022 record, then identifies origin, features and why the figure was created.</w:t>
            </w:r>
          </w:p>
          <w:p>
            <w:r>
              <w:rPr>
                <w:color w:val="357A46"/>
                <w:sz w:val="14"/>
              </w:rPr>
              <w:t xml:space="preserve">▲ </w:t>
            </w:r>
            <w:r>
              <w:rPr>
                <w:color w:val="20231F"/>
                <w:sz w:val="14"/>
              </w:rPr>
              <w:t>The green sentence outlines how grinding supported plant preparation and knowledge of local resources.</w:t>
            </w:r>
          </w:p>
          <w:p>
            <w:r>
              <w:rPr>
                <w:color w:val="A34D1D"/>
                <w:sz w:val="14"/>
              </w:rPr>
              <w:t xml:space="preserve">● </w:t>
            </w:r>
            <w:r>
              <w:rPr>
                <w:color w:val="20231F"/>
                <w:sz w:val="14"/>
              </w:rPr>
              <w:t>The orange phrases describe Hayes' plant-processing interpretation and the separate challenge to the earliest date.</w:t>
            </w:r>
          </w:p>
          <w:p>
            <w:r>
              <w:rPr>
                <w:color w:val="744F91"/>
                <w:sz w:val="14"/>
              </w:rPr>
              <w:t xml:space="preserve">◆ </w:t>
            </w:r>
            <w:r>
              <w:rPr>
                <w:color w:val="20231F"/>
                <w:sz w:val="14"/>
              </w:rPr>
              <w:t>The purple judgement concludes that converging methods make plant processing useful evidence, then bounds the claim with two limits.</w:t>
            </w:r>
          </w:p>
        </w:tc>
        <w:tc>
          <w:tcPr>
            <w:tcW w:type="dxa" w:w="3458"/>
            <w:shd w:val="clear" w:fill="F5F0E6"/>
          </w:tcPr>
          <w:p>
            <w:r>
              <w:rPr>
                <w:color w:val="176B87"/>
                <w:sz w:val="14"/>
              </w:rPr>
              <w:t xml:space="preserve">■ </w:t>
            </w:r>
            <w:r>
              <w:rPr>
                <w:color w:val="20231F"/>
                <w:sz w:val="14"/>
              </w:rPr>
              <w:t>The blue phrases describe the object and explain how the modern figure lets readers inspect its form, wear and residues.</w:t>
            </w:r>
          </w:p>
          <w:p>
            <w:r>
              <w:rPr>
                <w:color w:val="357A46"/>
                <w:sz w:val="14"/>
              </w:rPr>
              <w:t xml:space="preserve">▲ </w:t>
            </w:r>
            <w:r>
              <w:rPr>
                <w:color w:val="20231F"/>
                <w:sz w:val="14"/>
              </w:rPr>
              <w:t>The green phrases describe Madjedbebe, Mirarr Country and grinding within deep Aboriginal history.</w:t>
            </w:r>
          </w:p>
          <w:p>
            <w:r>
              <w:rPr>
                <w:color w:val="A34D1D"/>
                <w:sz w:val="14"/>
              </w:rPr>
              <w:t xml:space="preserve">● </w:t>
            </w:r>
            <w:r>
              <w:rPr>
                <w:color w:val="20231F"/>
                <w:sz w:val="14"/>
              </w:rPr>
              <w:t>The answer explains the debate by connecting each interpretation to a different evidence base.</w:t>
            </w:r>
          </w:p>
          <w:p>
            <w:r>
              <w:rPr>
                <w:color w:val="744F91"/>
                <w:sz w:val="14"/>
              </w:rPr>
              <w:t xml:space="preserve">◆ </w:t>
            </w:r>
            <w:r>
              <w:rPr>
                <w:color w:val="20231F"/>
                <w:sz w:val="14"/>
              </w:rPr>
              <w:t>It compares independent evidence for function and asks targeted reliability questions about contamination and layer movement.</w:t>
            </w:r>
          </w:p>
        </w:tc>
        <w:tc>
          <w:tcPr>
            <w:tcW w:type="dxa" w:w="3458"/>
            <w:shd w:val="clear" w:fill="F5F0E6"/>
          </w:tcPr>
          <w:p>
            <w:r>
              <w:rPr>
                <w:color w:val="176B87"/>
                <w:sz w:val="14"/>
              </w:rPr>
              <w:t xml:space="preserve">■ </w:t>
            </w:r>
            <w:r>
              <w:rPr>
                <w:color w:val="20231F"/>
                <w:sz w:val="14"/>
              </w:rPr>
              <w:t>The blue phrases explain why the peer-reviewed figure combines several records and which audience and argument it addresses.</w:t>
            </w:r>
          </w:p>
          <w:p>
            <w:r>
              <w:rPr>
                <w:color w:val="357A46"/>
                <w:sz w:val="14"/>
              </w:rPr>
              <w:t xml:space="preserve">▲ </w:t>
            </w:r>
            <w:r>
              <w:rPr>
                <w:color w:val="20231F"/>
                <w:sz w:val="14"/>
              </w:rPr>
              <w:t>The green phrases explain the deep-history research context and the role of Mirarr custodial permission.</w:t>
            </w:r>
          </w:p>
          <w:p>
            <w:r>
              <w:rPr>
                <w:color w:val="A34D1D"/>
                <w:sz w:val="14"/>
              </w:rPr>
              <w:t xml:space="preserve">● </w:t>
            </w:r>
            <w:r>
              <w:rPr>
                <w:color w:val="20231F"/>
                <w:sz w:val="14"/>
              </w:rPr>
              <w:t>Each interpretation is analysed through its evidence: wear and residue, site integrity and dating, or termite and sediment movement.</w:t>
            </w:r>
          </w:p>
          <w:p>
            <w:r>
              <w:rPr>
                <w:color w:val="744F91"/>
                <w:sz w:val="14"/>
              </w:rPr>
              <w:t xml:space="preserve">◆ </w:t>
            </w:r>
            <w:r>
              <w:rPr>
                <w:color w:val="20231F"/>
                <w:sz w:val="14"/>
              </w:rPr>
              <w:t>The purple comparison identifies grinding as a stronger claim than exact plant or exact age and explains why.</w:t>
            </w:r>
          </w:p>
        </w:tc>
        <w:tc>
          <w:tcPr>
            <w:tcW w:type="dxa" w:w="3458"/>
            <w:shd w:val="clear" w:fill="F5F0E6"/>
          </w:tcPr>
          <w:p>
            <w:r>
              <w:rPr>
                <w:color w:val="176B87"/>
                <w:sz w:val="14"/>
              </w:rPr>
              <w:t xml:space="preserve">■ </w:t>
            </w:r>
            <w:r>
              <w:rPr>
                <w:color w:val="20231F"/>
                <w:sz w:val="14"/>
              </w:rPr>
              <w:t>The blue phrases analyse explicit evidence, the publication's implicit argument, purpose and scientific audience.</w:t>
            </w:r>
          </w:p>
          <w:p>
            <w:r>
              <w:rPr>
                <w:color w:val="357A46"/>
                <w:sz w:val="14"/>
              </w:rPr>
              <w:t xml:space="preserve">▲ </w:t>
            </w:r>
            <w:r>
              <w:rPr>
                <w:color w:val="20231F"/>
                <w:sz w:val="14"/>
              </w:rPr>
              <w:t>The green phrases use context to explain the creators' values: empirical testing, permission and qualification.</w:t>
            </w:r>
          </w:p>
          <w:p>
            <w:r>
              <w:rPr>
                <w:color w:val="A34D1D"/>
                <w:sz w:val="14"/>
              </w:rPr>
              <w:t xml:space="preserve">● </w:t>
            </w:r>
            <w:r>
              <w:rPr>
                <w:color w:val="20231F"/>
                <w:sz w:val="14"/>
              </w:rPr>
              <w:t>The evaluation exposes why interpretations differ: researchers give different weight to converging records and site-formation evidence.</w:t>
            </w:r>
          </w:p>
          <w:p>
            <w:r>
              <w:rPr>
                <w:color w:val="744F91"/>
                <w:sz w:val="14"/>
              </w:rPr>
              <w:t xml:space="preserve">◆ </w:t>
            </w:r>
            <w:r>
              <w:rPr>
                <w:color w:val="20231F"/>
                <w:sz w:val="14"/>
              </w:rPr>
              <w:t>The overall judgement weighs a strength, three limitations and two claims with different degrees of certainty.</w:t>
            </w:r>
          </w:p>
        </w:tc>
      </w:tr>
      <w:tr>
        <w:tc>
          <w:tcPr>
            <w:tcW w:type="dxa" w:w="1928"/>
          </w:tcPr>
          <w:p>
            <w:r>
              <w:rPr>
                <w:b/>
                <w:color w:val="176B87"/>
                <w:sz w:val="16"/>
              </w:rPr>
              <w:t>ORIGIN, FEATURES &amp; PURPOSE</w:t>
            </w:r>
          </w:p>
        </w:tc>
        <w:tc>
          <w:tcPr>
            <w:tcW w:type="dxa" w:w="3458"/>
            <w:shd w:val="clear" w:fill="D8EDF4"/>
          </w:tcPr>
          <w:p>
            <w:r>
              <w:rPr>
                <w:color w:val="20231F"/>
                <w:sz w:val="15"/>
              </w:rPr>
              <w:t>I can name a historical source and a feature I notice.</w:t>
            </w:r>
          </w:p>
        </w:tc>
        <w:tc>
          <w:tcPr>
            <w:tcW w:type="dxa" w:w="3458"/>
            <w:shd w:val="clear" w:fill="D8EDF4"/>
          </w:tcPr>
          <w:p>
            <w:r>
              <w:rPr>
                <w:color w:val="20231F"/>
                <w:sz w:val="15"/>
              </w:rPr>
              <w:t>I can identify different types of historical sources.</w:t>
            </w:r>
          </w:p>
        </w:tc>
        <w:tc>
          <w:tcPr>
            <w:tcW w:type="dxa" w:w="3458"/>
            <w:shd w:val="clear" w:fill="D8EDF4"/>
          </w:tcPr>
          <w:p>
            <w:r>
              <w:rPr>
                <w:color w:val="20231F"/>
                <w:sz w:val="15"/>
              </w:rPr>
              <w:t>I can identify the origin, content features and purpose of historical sources.</w:t>
            </w:r>
          </w:p>
        </w:tc>
        <w:tc>
          <w:tcPr>
            <w:tcW w:type="dxa" w:w="3458"/>
            <w:shd w:val="clear" w:fill="D8EDF4"/>
          </w:tcPr>
          <w:p>
            <w:r>
              <w:rPr>
                <w:color w:val="20231F"/>
                <w:sz w:val="15"/>
              </w:rPr>
              <w:t>I can describe the origin, content features and purpose of historical sources.</w:t>
            </w:r>
          </w:p>
        </w:tc>
        <w:tc>
          <w:tcPr>
            <w:tcW w:type="dxa" w:w="3458"/>
            <w:shd w:val="clear" w:fill="D8EDF4"/>
          </w:tcPr>
          <w:p>
            <w:r>
              <w:rPr>
                <w:color w:val="20231F"/>
                <w:sz w:val="15"/>
              </w:rPr>
              <w:t>I can explain the origin, content features and purpose of historical sources.</w:t>
            </w:r>
          </w:p>
        </w:tc>
        <w:tc>
          <w:tcPr>
            <w:tcW w:type="dxa" w:w="3458"/>
            <w:shd w:val="clear" w:fill="D8EDF4"/>
          </w:tcPr>
          <w:p>
            <w:r>
              <w:rPr>
                <w:color w:val="20231F"/>
                <w:sz w:val="15"/>
              </w:rPr>
              <w:t>I can analyse the origin, explicit and implicit meaning, and purpose of historical sources.</w:t>
            </w:r>
          </w:p>
        </w:tc>
      </w:tr>
      <w:tr>
        <w:tc>
          <w:tcPr>
            <w:tcW w:type="dxa" w:w="1928"/>
          </w:tcPr>
          <w:p>
            <w:r>
              <w:rPr>
                <w:b/>
                <w:color w:val="357A46"/>
                <w:sz w:val="16"/>
              </w:rPr>
              <w:t>HISTORICAL CONTEXT</w:t>
            </w:r>
          </w:p>
        </w:tc>
        <w:tc>
          <w:tcPr>
            <w:tcW w:type="dxa" w:w="3458"/>
            <w:shd w:val="clear" w:fill="DFF0DF"/>
          </w:tcPr>
          <w:p>
            <w:r>
              <w:rPr>
                <w:color w:val="20231F"/>
                <w:sz w:val="15"/>
              </w:rPr>
              <w:t>I can say where or when a source comes from.</w:t>
            </w:r>
          </w:p>
        </w:tc>
        <w:tc>
          <w:tcPr>
            <w:tcW w:type="dxa" w:w="3458"/>
            <w:shd w:val="clear" w:fill="DFF0DF"/>
          </w:tcPr>
          <w:p>
            <w:r>
              <w:rPr>
                <w:color w:val="20231F"/>
                <w:sz w:val="15"/>
              </w:rPr>
              <w:t>I can identify the historical context of a source.</w:t>
            </w:r>
          </w:p>
        </w:tc>
        <w:tc>
          <w:tcPr>
            <w:tcW w:type="dxa" w:w="3458"/>
            <w:shd w:val="clear" w:fill="DFF0DF"/>
          </w:tcPr>
          <w:p>
            <w:r>
              <w:rPr>
                <w:color w:val="20231F"/>
                <w:sz w:val="15"/>
              </w:rPr>
              <w:t>I can outline the historical context of a source.</w:t>
            </w:r>
          </w:p>
        </w:tc>
        <w:tc>
          <w:tcPr>
            <w:tcW w:type="dxa" w:w="3458"/>
            <w:shd w:val="clear" w:fill="DFF0DF"/>
          </w:tcPr>
          <w:p>
            <w:r>
              <w:rPr>
                <w:color w:val="20231F"/>
                <w:sz w:val="15"/>
              </w:rPr>
              <w:t>I can describe the historical context of sources.</w:t>
            </w:r>
          </w:p>
        </w:tc>
        <w:tc>
          <w:tcPr>
            <w:tcW w:type="dxa" w:w="3458"/>
            <w:shd w:val="clear" w:fill="DFF0DF"/>
          </w:tcPr>
          <w:p>
            <w:r>
              <w:rPr>
                <w:color w:val="20231F"/>
                <w:sz w:val="15"/>
              </w:rPr>
              <w:t>I can explain historical context, including important events that influenced a source’s creation.</w:t>
            </w:r>
          </w:p>
        </w:tc>
        <w:tc>
          <w:tcPr>
            <w:tcW w:type="dxa" w:w="3458"/>
            <w:shd w:val="clear" w:fill="DFF0DF"/>
          </w:tcPr>
          <w:p>
            <w:r>
              <w:rPr>
                <w:color w:val="20231F"/>
                <w:sz w:val="15"/>
              </w:rPr>
              <w:t>I can explain historical context to identify the motivations, values and attitudes of a source’s creator.</w:t>
            </w:r>
          </w:p>
        </w:tc>
      </w:tr>
      <w:tr>
        <w:tc>
          <w:tcPr>
            <w:tcW w:type="dxa" w:w="1928"/>
          </w:tcPr>
          <w:p>
            <w:r>
              <w:rPr>
                <w:b/>
                <w:color w:val="A34D1D"/>
                <w:sz w:val="16"/>
              </w:rPr>
              <w:t>HISTORICAL INTERPRETATIONS</w:t>
            </w:r>
          </w:p>
        </w:tc>
        <w:tc>
          <w:tcPr>
            <w:tcW w:type="dxa" w:w="3458"/>
            <w:shd w:val="clear" w:fill="F7E3D4"/>
          </w:tcPr>
          <w:p>
            <w:r>
              <w:rPr>
                <w:color w:val="20231F"/>
                <w:sz w:val="15"/>
              </w:rPr>
              <w:t>I can notice that people may explain the past differently.</w:t>
            </w:r>
          </w:p>
        </w:tc>
        <w:tc>
          <w:tcPr>
            <w:tcW w:type="dxa" w:w="3458"/>
            <w:shd w:val="clear" w:fill="F7E3D4"/>
          </w:tcPr>
          <w:p>
            <w:r>
              <w:rPr>
                <w:color w:val="20231F"/>
                <w:sz w:val="15"/>
              </w:rPr>
              <w:t>I can recognise that historians may interpret historical events and developments differently.</w:t>
            </w:r>
          </w:p>
        </w:tc>
        <w:tc>
          <w:tcPr>
            <w:tcW w:type="dxa" w:w="3458"/>
            <w:shd w:val="clear" w:fill="F7E3D4"/>
          </w:tcPr>
          <w:p>
            <w:r>
              <w:rPr>
                <w:color w:val="20231F"/>
                <w:sz w:val="15"/>
              </w:rPr>
              <w:t>I can describe different historical interpretations of the past.</w:t>
            </w:r>
          </w:p>
        </w:tc>
        <w:tc>
          <w:tcPr>
            <w:tcW w:type="dxa" w:w="3458"/>
            <w:shd w:val="clear" w:fill="F7E3D4"/>
          </w:tcPr>
          <w:p>
            <w:r>
              <w:rPr>
                <w:color w:val="20231F"/>
                <w:sz w:val="15"/>
              </w:rPr>
              <w:t>I can explain different historical interpretations and contested debates about the past.</w:t>
            </w:r>
          </w:p>
        </w:tc>
        <w:tc>
          <w:tcPr>
            <w:tcW w:type="dxa" w:w="3458"/>
            <w:shd w:val="clear" w:fill="F7E3D4"/>
          </w:tcPr>
          <w:p>
            <w:r>
              <w:rPr>
                <w:color w:val="20231F"/>
                <w:sz w:val="15"/>
              </w:rPr>
              <w:t>I can analyse historical interpretations and contested debates and identify the evidence used to support them.</w:t>
            </w:r>
          </w:p>
        </w:tc>
        <w:tc>
          <w:tcPr>
            <w:tcW w:type="dxa" w:w="3458"/>
            <w:shd w:val="clear" w:fill="F7E3D4"/>
          </w:tcPr>
          <w:p>
            <w:r>
              <w:rPr>
                <w:color w:val="20231F"/>
                <w:sz w:val="15"/>
              </w:rPr>
              <w:t>I can evaluate historical interpretations and contested debates, including why or how interpretations differ.</w:t>
            </w:r>
          </w:p>
        </w:tc>
      </w:tr>
      <w:tr>
        <w:tc>
          <w:tcPr>
            <w:tcW w:type="dxa" w:w="1928"/>
          </w:tcPr>
          <w:p>
            <w:r>
              <w:rPr>
                <w:b/>
                <w:color w:val="744F91"/>
                <w:sz w:val="16"/>
              </w:rPr>
              <w:t>ACCURACY, USEFULNESS &amp; RELIABILITY</w:t>
            </w:r>
          </w:p>
        </w:tc>
        <w:tc>
          <w:tcPr>
            <w:tcW w:type="dxa" w:w="3458"/>
            <w:shd w:val="clear" w:fill="EADFF2"/>
          </w:tcPr>
          <w:p>
            <w:r>
              <w:rPr>
                <w:color w:val="20231F"/>
                <w:sz w:val="15"/>
              </w:rPr>
              <w:t>I can say one thing a source can and cannot tell us.</w:t>
            </w:r>
          </w:p>
        </w:tc>
        <w:tc>
          <w:tcPr>
            <w:tcW w:type="dxa" w:w="3458"/>
            <w:shd w:val="clear" w:fill="EADFF2"/>
          </w:tcPr>
          <w:p>
            <w:r>
              <w:rPr>
                <w:color w:val="20231F"/>
                <w:sz w:val="15"/>
              </w:rPr>
              <w:t>I can recognise that some historical sources are more useful than others.</w:t>
            </w:r>
          </w:p>
        </w:tc>
        <w:tc>
          <w:tcPr>
            <w:tcW w:type="dxa" w:w="3458"/>
            <w:shd w:val="clear" w:fill="EADFF2"/>
          </w:tcPr>
          <w:p>
            <w:r>
              <w:rPr>
                <w:color w:val="20231F"/>
                <w:sz w:val="15"/>
              </w:rPr>
              <w:t>I can draw conclusions about the usefulness of sources.</w:t>
            </w:r>
          </w:p>
        </w:tc>
        <w:tc>
          <w:tcPr>
            <w:tcW w:type="dxa" w:w="3458"/>
            <w:shd w:val="clear" w:fill="EADFF2"/>
          </w:tcPr>
          <w:p>
            <w:r>
              <w:rPr>
                <w:color w:val="20231F"/>
                <w:sz w:val="15"/>
              </w:rPr>
              <w:t>I can compare and contrast historical sources and ask questions about their accuracy, usefulness and reliability.</w:t>
            </w:r>
          </w:p>
        </w:tc>
        <w:tc>
          <w:tcPr>
            <w:tcW w:type="dxa" w:w="3458"/>
            <w:shd w:val="clear" w:fill="EADFF2"/>
          </w:tcPr>
          <w:p>
            <w:r>
              <w:rPr>
                <w:color w:val="20231F"/>
                <w:sz w:val="15"/>
              </w:rPr>
              <w:t>I can compare and contrast historical sources and identify their accuracy, usefulness and reliability.</w:t>
            </w:r>
          </w:p>
        </w:tc>
        <w:tc>
          <w:tcPr>
            <w:tcW w:type="dxa" w:w="3458"/>
            <w:shd w:val="clear" w:fill="EADFF2"/>
          </w:tcPr>
          <w:p>
            <w:r>
              <w:rPr>
                <w:color w:val="20231F"/>
                <w:sz w:val="15"/>
              </w:rPr>
              <w:t>I can compare and contrast sources and analyse their accuracy, usefulness and reliability.</w:t>
            </w:r>
          </w:p>
        </w:tc>
      </w:tr>
    </w:tbl>
    <w:p>
      <w:pPr>
        <w:spacing w:before="120"/>
      </w:pPr>
      <w:r>
        <w:rPr>
          <w:color w:val="675F54"/>
          <w:sz w:val="13"/>
        </w:rPr>
        <w:t>Source: panels adapted from Figure 3 of Hayes, E. H. et al. (2022), &amp;ldquo;65,000-years of continuous grinding stone use at Madjedbebe, Northern Australia,&amp;rdquo; Scientific Reports 12, 11747, doi:10.1038/s41598-022-15174-x (open access, CC BY 4.0). Figure prepared by Elspeth H. Hayes. The dating comparison uses Clarkson et al. (2017) and Williams et al. (2021). The research was conducted with permission from the custodians of Madjedbebe, May Nango and Djaykuk Djandjomerr, and Mirarr Senior Traditional Owner Yvonne Margarula, with Gundjeihmi Aboriginal Corporation facilitating the work. Mirarr-related images and information were published for general educational purposes; no commercial use is authorised without prior Mirarr consent. See SOURCE-NOTICE.md.</w:t>
      </w:r>
    </w:p>
    <w:sectPr w:rsidR="00FC693F" w:rsidRPr="0006063C" w:rsidSect="00034616">
      <w:pgSz w:w="23811" w:h="16838" w:orient="landscape"/>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