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Kubernetes训练营（进阶）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6"/>
        <w:gridCol w:w="3404"/>
        <w:gridCol w:w="3214"/>
        <w:gridCol w:w="10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5"/>
                <w:szCs w:val="18"/>
                <w:vertAlign w:val="baseline"/>
                <w:lang w:val="en-US" w:eastAsia="zh-CN"/>
              </w:rPr>
              <w:t>序号</w:t>
            </w:r>
          </w:p>
        </w:tc>
        <w:tc>
          <w:tcPr>
            <w:tcW w:w="3404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5"/>
                <w:szCs w:val="18"/>
                <w:vertAlign w:val="baseline"/>
                <w:lang w:val="en-US" w:eastAsia="zh-CN"/>
              </w:rPr>
              <w:t>课程</w:t>
            </w:r>
          </w:p>
        </w:tc>
        <w:tc>
          <w:tcPr>
            <w:tcW w:w="3214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5"/>
                <w:szCs w:val="18"/>
                <w:vertAlign w:val="baseline"/>
                <w:lang w:val="en-US" w:eastAsia="zh-CN"/>
              </w:rPr>
              <w:t>要点</w:t>
            </w:r>
          </w:p>
        </w:tc>
        <w:tc>
          <w:tcPr>
            <w:tcW w:w="1047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5"/>
                <w:szCs w:val="18"/>
                <w:vertAlign w:val="baseline"/>
                <w:lang w:val="en-US" w:eastAsia="zh-CN"/>
              </w:rPr>
              <w:t>课时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" w:type="dxa"/>
            <w:vAlign w:val="center"/>
          </w:tcPr>
          <w:p>
            <w:pPr>
              <w:jc w:val="center"/>
              <w:rPr>
                <w:rFonts w:hint="default"/>
                <w:color w:val="70AD47" w:themeColor="accent6"/>
                <w:sz w:val="15"/>
                <w:szCs w:val="18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70AD47" w:themeColor="accent6"/>
                <w:sz w:val="15"/>
                <w:szCs w:val="18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1</w:t>
            </w:r>
          </w:p>
        </w:tc>
        <w:tc>
          <w:tcPr>
            <w:tcW w:w="3404" w:type="dxa"/>
            <w:vAlign w:val="center"/>
          </w:tcPr>
          <w:p>
            <w:pPr>
              <w:jc w:val="left"/>
              <w:rPr>
                <w:rFonts w:hint="default"/>
                <w:color w:val="70AD47" w:themeColor="accent6"/>
                <w:sz w:val="15"/>
                <w:szCs w:val="18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70AD47" w:themeColor="accent6"/>
                <w:sz w:val="15"/>
                <w:szCs w:val="18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Kubernetes高可用架构与部署工具</w:t>
            </w:r>
          </w:p>
        </w:tc>
        <w:tc>
          <w:tcPr>
            <w:tcW w:w="3214" w:type="dxa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default"/>
                <w:color w:val="70AD47" w:themeColor="accent6"/>
                <w:sz w:val="15"/>
                <w:szCs w:val="18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70AD47" w:themeColor="accent6"/>
                <w:sz w:val="15"/>
                <w:szCs w:val="18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高可用架构、KubeOperator、Rancher</w:t>
            </w:r>
          </w:p>
        </w:tc>
        <w:tc>
          <w:tcPr>
            <w:tcW w:w="1047" w:type="dxa"/>
            <w:vAlign w:val="center"/>
          </w:tcPr>
          <w:p>
            <w:pPr>
              <w:tabs>
                <w:tab w:val="center" w:pos="1312"/>
              </w:tabs>
              <w:jc w:val="center"/>
              <w:rPr>
                <w:rFonts w:hint="default"/>
                <w:color w:val="70AD47" w:themeColor="accent6"/>
                <w:sz w:val="15"/>
                <w:szCs w:val="18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70AD47" w:themeColor="accent6"/>
                <w:sz w:val="15"/>
                <w:szCs w:val="18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" w:type="dxa"/>
            <w:vAlign w:val="center"/>
          </w:tcPr>
          <w:p>
            <w:pPr>
              <w:jc w:val="center"/>
              <w:rPr>
                <w:rFonts w:hint="default"/>
                <w:color w:val="70AD47" w:themeColor="accent6"/>
                <w:sz w:val="15"/>
                <w:szCs w:val="18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70AD47" w:themeColor="accent6"/>
                <w:sz w:val="15"/>
                <w:szCs w:val="18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2</w:t>
            </w:r>
          </w:p>
        </w:tc>
        <w:tc>
          <w:tcPr>
            <w:tcW w:w="3404" w:type="dxa"/>
            <w:vAlign w:val="center"/>
          </w:tcPr>
          <w:p>
            <w:pPr>
              <w:jc w:val="left"/>
              <w:rPr>
                <w:rFonts w:hint="default"/>
                <w:color w:val="70AD47" w:themeColor="accent6"/>
                <w:sz w:val="15"/>
                <w:szCs w:val="18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70AD47" w:themeColor="accent6"/>
                <w:sz w:val="15"/>
                <w:szCs w:val="18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公有云Kubernetes服务</w:t>
            </w:r>
          </w:p>
        </w:tc>
        <w:tc>
          <w:tcPr>
            <w:tcW w:w="3214" w:type="dxa"/>
            <w:vAlign w:val="center"/>
          </w:tcPr>
          <w:p>
            <w:pPr>
              <w:jc w:val="left"/>
              <w:rPr>
                <w:rFonts w:hint="default"/>
                <w:color w:val="70AD47" w:themeColor="accent6"/>
                <w:sz w:val="15"/>
                <w:szCs w:val="18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70AD47" w:themeColor="accent6"/>
                <w:sz w:val="15"/>
                <w:szCs w:val="18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公有云容器服务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/>
                <w:color w:val="70AD47" w:themeColor="accent6"/>
                <w:sz w:val="15"/>
                <w:szCs w:val="18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70AD47" w:themeColor="accent6"/>
                <w:sz w:val="15"/>
                <w:szCs w:val="18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" w:type="dxa"/>
            <w:vAlign w:val="center"/>
          </w:tcPr>
          <w:p>
            <w:pPr>
              <w:jc w:val="center"/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3</w:t>
            </w:r>
          </w:p>
        </w:tc>
        <w:tc>
          <w:tcPr>
            <w:tcW w:w="3404" w:type="dxa"/>
            <w:vAlign w:val="center"/>
          </w:tcPr>
          <w:p>
            <w:pPr>
              <w:jc w:val="left"/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Kubernetes 安全认证机制</w:t>
            </w:r>
          </w:p>
        </w:tc>
        <w:tc>
          <w:tcPr>
            <w:tcW w:w="3214" w:type="dxa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RBAC</w:t>
            </w: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证书机制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" w:type="dxa"/>
            <w:vAlign w:val="center"/>
          </w:tcPr>
          <w:p>
            <w:pPr>
              <w:jc w:val="center"/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4</w:t>
            </w:r>
          </w:p>
        </w:tc>
        <w:tc>
          <w:tcPr>
            <w:tcW w:w="3404" w:type="dxa"/>
            <w:vAlign w:val="center"/>
          </w:tcPr>
          <w:p>
            <w:pPr>
              <w:jc w:val="left"/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Helm</w:t>
            </w:r>
          </w:p>
        </w:tc>
        <w:tc>
          <w:tcPr>
            <w:tcW w:w="3214" w:type="dxa"/>
            <w:vAlign w:val="center"/>
          </w:tcPr>
          <w:p>
            <w:pPr>
              <w:jc w:val="left"/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Helm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" w:type="dxa"/>
            <w:vAlign w:val="center"/>
          </w:tcPr>
          <w:p>
            <w:pPr>
              <w:jc w:val="center"/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5</w:t>
            </w:r>
          </w:p>
        </w:tc>
        <w:tc>
          <w:tcPr>
            <w:tcW w:w="3404" w:type="dxa"/>
            <w:vAlign w:val="center"/>
          </w:tcPr>
          <w:p>
            <w:pPr>
              <w:jc w:val="left"/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日志架构</w:t>
            </w:r>
          </w:p>
        </w:tc>
        <w:tc>
          <w:tcPr>
            <w:tcW w:w="3214" w:type="dxa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Kubernetes日志架构概览</w:t>
            </w: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EFK部署实践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" w:type="dxa"/>
            <w:vAlign w:val="center"/>
          </w:tcPr>
          <w:p>
            <w:pPr>
              <w:jc w:val="center"/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6</w:t>
            </w:r>
          </w:p>
        </w:tc>
        <w:tc>
          <w:tcPr>
            <w:tcW w:w="3404" w:type="dxa"/>
            <w:vAlign w:val="center"/>
          </w:tcPr>
          <w:p>
            <w:pPr>
              <w:jc w:val="left"/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监控架构</w:t>
            </w:r>
          </w:p>
        </w:tc>
        <w:tc>
          <w:tcPr>
            <w:tcW w:w="3214" w:type="dxa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Prometheus部署实践</w:t>
            </w: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Exporter部署实践</w:t>
            </w: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时序数据库</w:t>
            </w: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Alertmanager部署实践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" w:type="dxa"/>
            <w:vAlign w:val="center"/>
          </w:tcPr>
          <w:p>
            <w:pPr>
              <w:jc w:val="center"/>
              <w:rPr>
                <w:rFonts w:hint="default"/>
                <w:color w:val="70AD47" w:themeColor="accent6"/>
                <w:sz w:val="15"/>
                <w:szCs w:val="18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bookmarkStart w:id="2" w:name="_GoBack" w:colFirst="0" w:colLast="3"/>
            <w:r>
              <w:rPr>
                <w:rFonts w:hint="eastAsia"/>
                <w:color w:val="70AD47" w:themeColor="accent6"/>
                <w:sz w:val="15"/>
                <w:szCs w:val="18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7</w:t>
            </w:r>
          </w:p>
        </w:tc>
        <w:tc>
          <w:tcPr>
            <w:tcW w:w="3404" w:type="dxa"/>
            <w:vAlign w:val="center"/>
          </w:tcPr>
          <w:p>
            <w:pPr>
              <w:jc w:val="left"/>
              <w:rPr>
                <w:rFonts w:hint="default"/>
                <w:color w:val="70AD47" w:themeColor="accent6"/>
                <w:sz w:val="15"/>
                <w:szCs w:val="18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70AD47" w:themeColor="accent6"/>
                <w:sz w:val="15"/>
                <w:szCs w:val="18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Kubernetes 工作负载</w:t>
            </w:r>
          </w:p>
        </w:tc>
        <w:tc>
          <w:tcPr>
            <w:tcW w:w="3214" w:type="dxa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/>
                <w:color w:val="70AD47" w:themeColor="accent6"/>
                <w:sz w:val="15"/>
                <w:szCs w:val="18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70AD47" w:themeColor="accent6"/>
                <w:sz w:val="15"/>
                <w:szCs w:val="18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RC</w:t>
            </w: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/>
                <w:color w:val="70AD47" w:themeColor="accent6"/>
                <w:sz w:val="15"/>
                <w:szCs w:val="18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70AD47" w:themeColor="accent6"/>
                <w:sz w:val="15"/>
                <w:szCs w:val="18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Deployment</w:t>
            </w: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/>
                <w:color w:val="70AD47" w:themeColor="accent6"/>
                <w:sz w:val="15"/>
                <w:szCs w:val="18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70AD47" w:themeColor="accent6"/>
                <w:sz w:val="15"/>
                <w:szCs w:val="18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StateFullSet</w:t>
            </w: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default"/>
                <w:color w:val="70AD47" w:themeColor="accent6"/>
                <w:sz w:val="15"/>
                <w:szCs w:val="18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70AD47" w:themeColor="accent6"/>
                <w:sz w:val="15"/>
                <w:szCs w:val="18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DeamonSet</w:t>
            </w: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default"/>
                <w:color w:val="70AD47" w:themeColor="accent6"/>
                <w:sz w:val="15"/>
                <w:szCs w:val="18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70AD47" w:themeColor="accent6"/>
                <w:sz w:val="15"/>
                <w:szCs w:val="18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Job、CronJob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/>
                <w:color w:val="70AD47" w:themeColor="accent6"/>
                <w:sz w:val="15"/>
                <w:szCs w:val="18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70AD47" w:themeColor="accent6"/>
                <w:sz w:val="15"/>
                <w:szCs w:val="18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2</w:t>
            </w:r>
          </w:p>
        </w:tc>
      </w:tr>
      <w:bookmarkEnd w:id="2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" w:type="dxa"/>
            <w:vAlign w:val="center"/>
          </w:tcPr>
          <w:p>
            <w:pPr>
              <w:jc w:val="center"/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8</w:t>
            </w:r>
          </w:p>
        </w:tc>
        <w:tc>
          <w:tcPr>
            <w:tcW w:w="3404" w:type="dxa"/>
            <w:vAlign w:val="center"/>
          </w:tcPr>
          <w:p>
            <w:pPr>
              <w:jc w:val="left"/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ceph分布式存储概要</w:t>
            </w:r>
          </w:p>
        </w:tc>
        <w:tc>
          <w:tcPr>
            <w:tcW w:w="3214" w:type="dxa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Ceph 分布式存储概要</w:t>
            </w: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Rook ceph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" w:type="dxa"/>
            <w:vAlign w:val="center"/>
          </w:tcPr>
          <w:p>
            <w:pPr>
              <w:jc w:val="center"/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9</w:t>
            </w:r>
          </w:p>
        </w:tc>
        <w:tc>
          <w:tcPr>
            <w:tcW w:w="3404" w:type="dxa"/>
            <w:vAlign w:val="center"/>
          </w:tcPr>
          <w:p>
            <w:pPr>
              <w:jc w:val="left"/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Kubernetes数据持久化</w:t>
            </w:r>
          </w:p>
        </w:tc>
        <w:tc>
          <w:tcPr>
            <w:tcW w:w="3214" w:type="dxa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PV、PVC详解</w:t>
            </w: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StatefullSet自动请求机制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" w:type="dxa"/>
            <w:vAlign w:val="center"/>
          </w:tcPr>
          <w:p>
            <w:pPr>
              <w:jc w:val="center"/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10</w:t>
            </w:r>
          </w:p>
        </w:tc>
        <w:tc>
          <w:tcPr>
            <w:tcW w:w="3404" w:type="dxa"/>
            <w:vAlign w:val="center"/>
          </w:tcPr>
          <w:p>
            <w:pPr>
              <w:jc w:val="left"/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Kubernetes企业级最佳实践（一）</w:t>
            </w:r>
          </w:p>
        </w:tc>
        <w:tc>
          <w:tcPr>
            <w:tcW w:w="3214" w:type="dxa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企业级最佳实践架构概要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" w:type="dxa"/>
            <w:vAlign w:val="center"/>
          </w:tcPr>
          <w:p>
            <w:pPr>
              <w:jc w:val="center"/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11</w:t>
            </w:r>
          </w:p>
        </w:tc>
        <w:tc>
          <w:tcPr>
            <w:tcW w:w="3404" w:type="dxa"/>
            <w:vAlign w:val="center"/>
          </w:tcPr>
          <w:p>
            <w:pPr>
              <w:jc w:val="left"/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Kubernetes企业级最佳实践（二）</w:t>
            </w:r>
          </w:p>
        </w:tc>
        <w:tc>
          <w:tcPr>
            <w:tcW w:w="3214" w:type="dxa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全局统一代码库（gitlab）</w:t>
            </w: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Git实践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" w:type="dxa"/>
            <w:vAlign w:val="center"/>
          </w:tcPr>
          <w:p>
            <w:pPr>
              <w:jc w:val="center"/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12</w:t>
            </w:r>
          </w:p>
        </w:tc>
        <w:tc>
          <w:tcPr>
            <w:tcW w:w="3404" w:type="dxa"/>
            <w:vAlign w:val="center"/>
          </w:tcPr>
          <w:p>
            <w:pPr>
              <w:jc w:val="left"/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Kubernetes企业级最佳实践（三）</w:t>
            </w:r>
          </w:p>
        </w:tc>
        <w:tc>
          <w:tcPr>
            <w:tcW w:w="3214" w:type="dxa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持续集成工具（Jenkins）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" w:type="dxa"/>
            <w:vAlign w:val="center"/>
          </w:tcPr>
          <w:p>
            <w:pPr>
              <w:jc w:val="center"/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13</w:t>
            </w:r>
          </w:p>
        </w:tc>
        <w:tc>
          <w:tcPr>
            <w:tcW w:w="3404" w:type="dxa"/>
            <w:vAlign w:val="center"/>
          </w:tcPr>
          <w:p>
            <w:pPr>
              <w:jc w:val="left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Kubernetes企业级最佳实践（四）</w:t>
            </w:r>
          </w:p>
        </w:tc>
        <w:tc>
          <w:tcPr>
            <w:tcW w:w="3214" w:type="dxa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CI/CD流水线</w:t>
            </w: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DevOps简介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" w:type="dxa"/>
            <w:vAlign w:val="center"/>
          </w:tcPr>
          <w:p>
            <w:pPr>
              <w:jc w:val="center"/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14</w:t>
            </w:r>
          </w:p>
        </w:tc>
        <w:tc>
          <w:tcPr>
            <w:tcW w:w="3404" w:type="dxa"/>
            <w:vAlign w:val="center"/>
          </w:tcPr>
          <w:p>
            <w:pPr>
              <w:jc w:val="left"/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Kubernetes企业级最佳实践（五）</w:t>
            </w:r>
          </w:p>
        </w:tc>
        <w:tc>
          <w:tcPr>
            <w:tcW w:w="3214" w:type="dxa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镜像仓库</w:t>
            </w: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环境构建</w:t>
            </w: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Test，Pre与Pro</w:t>
            </w: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服务治理istio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" w:type="dxa"/>
            <w:vAlign w:val="center"/>
          </w:tcPr>
          <w:p>
            <w:pPr>
              <w:jc w:val="center"/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15</w:t>
            </w:r>
          </w:p>
        </w:tc>
        <w:tc>
          <w:tcPr>
            <w:tcW w:w="3404" w:type="dxa"/>
            <w:vAlign w:val="center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8"/>
                <w:vertAlign w:val="baseline"/>
                <w:lang w:val="en-US" w:eastAsia="zh-CN" w:bidi="ar-SA"/>
              </w:rPr>
            </w:pPr>
            <w:bookmarkStart w:id="0" w:name="OLE_LINK1"/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Kubernetes企业级最佳实践（六）</w:t>
            </w:r>
            <w:bookmarkEnd w:id="0"/>
          </w:p>
        </w:tc>
        <w:tc>
          <w:tcPr>
            <w:tcW w:w="3214" w:type="dxa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Redis</w:t>
            </w: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MySQL</w:t>
            </w: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Mongo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" w:type="dxa"/>
            <w:vAlign w:val="center"/>
          </w:tcPr>
          <w:p>
            <w:pPr>
              <w:jc w:val="center"/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16</w:t>
            </w:r>
          </w:p>
        </w:tc>
        <w:tc>
          <w:tcPr>
            <w:tcW w:w="3404" w:type="dxa"/>
            <w:vAlign w:val="center"/>
          </w:tcPr>
          <w:p>
            <w:pPr>
              <w:jc w:val="left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Kubernetes企业级最佳实践（七）</w:t>
            </w:r>
          </w:p>
        </w:tc>
        <w:tc>
          <w:tcPr>
            <w:tcW w:w="3214" w:type="dxa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微服务与Kubernetes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6" w:type="dxa"/>
            <w:vAlign w:val="center"/>
          </w:tcPr>
          <w:p>
            <w:pPr>
              <w:jc w:val="center"/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17</w:t>
            </w:r>
          </w:p>
        </w:tc>
        <w:tc>
          <w:tcPr>
            <w:tcW w:w="3404" w:type="dxa"/>
            <w:vAlign w:val="center"/>
          </w:tcPr>
          <w:p>
            <w:pPr>
              <w:jc w:val="left"/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Kubernetes</w:t>
            </w:r>
            <w:bookmarkStart w:id="1" w:name="OLE_LINK2"/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生产实践总结</w:t>
            </w:r>
            <w:bookmarkEnd w:id="1"/>
          </w:p>
        </w:tc>
        <w:tc>
          <w:tcPr>
            <w:tcW w:w="3214" w:type="dxa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生产实践总结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74" w:type="dxa"/>
            <w:gridSpan w:val="3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center"/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总课时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24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671030"/>
    <w:rsid w:val="05CA2343"/>
    <w:rsid w:val="1B506FEA"/>
    <w:rsid w:val="22BE6735"/>
    <w:rsid w:val="592601F1"/>
    <w:rsid w:val="6B671030"/>
    <w:rsid w:val="B9FF9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2020-10-29T10:52:00Z</dcterms:created>
  <dc:creator>刘智</dc:creator>
  <cp:lastModifiedBy>刘智</cp:lastModifiedBy>
  <dcterms:modified xsi:type="dcterms:W3CDTF">2021-07-21T06:56:01Z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D90ACBA5ED134100BADA9A3E449CA2AE</vt:lpwstr>
  </property>
</Properties>
</file>