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eonet-cascades</w:t>
      </w:r>
    </w:p>
    <w:p>
      <w:pPr>
        <w:jc w:val="center"/>
      </w:pPr>
      <w:r>
        <w:rPr>
          <w:i/>
          <w:sz w:val="26"/>
        </w:rPr>
        <w:t>Final status — four-run experiment chain on Neural Hawkes cascade modeling for NASA EONET</w:t>
      </w:r>
    </w:p>
    <w:p>
      <w:pPr>
        <w:jc w:val="center"/>
      </w:pPr>
      <w:r>
        <w:rPr>
          <w:sz w:val="20"/>
        </w:rPr>
        <w:t>Liam Schmidt · Northeastern University · status 2026-05-28</w:t>
      </w:r>
    </w:p>
    <w:p>
      <w:pPr>
        <w:pStyle w:val="Heading1"/>
      </w:pPr>
      <w:r>
        <w:rPr>
          <w:color w:val="1F3A5F"/>
          <w:sz w:val="32"/>
        </w:rPr>
        <w:t>1. Executive summary</w:t>
      </w:r>
    </w:p>
    <w:p>
      <w:r>
        <w:t>This project set out to fit a Neural Hawkes model on the NASA EONET global natural-hazard catalog (2.4 M events, 7 mark types in the working splits, 2000–present) and to recover a K×K cross-mark cascade matrix from the fitted model. The model fits well — the best variant achieves val NLL/event of 3.38, a 20% improvement over the parametric Hawkes baseline. The cascade matrix derivation, however, has a specific pathology: forward-simulated transitions are row-degenerate, meaning the model gives the same per-mark conditional distribution regardless of which parent mark fired.</w:t>
      </w:r>
    </w:p>
    <w:p>
      <w:r>
        <w:t>Across four targeted interventions — class rebalancing, MLP head replacement, an explicit cross-entropy auxiliary loss, plus the original baseline — the pathology proved robust to every textbook remedy. The Tier 1-aux run was the most informative negative: the auxiliary loss dramatically reshaped what marginal the mark head outputs (from ~94% wildfire-dominant in Tier 1-MLP to a nearly uniform mix across the top four marks) without breaking the rank-1 row-degeneracy. The mark head has the representational capacity to produce non-trivial output distributions; it simply cannot be steered to make those outputs depend on the parent mark.</w:t>
      </w:r>
    </w:p>
    <w:p>
      <w:r>
        <w:t>The diagnosis converged on an encoder bottleneck: the LSTM hidden state h(t) does not encode per-parent variation at the representational rank the mark head's linear projections can extract. Critically, the cascade information IS present in h(t) — gradient attribution on the same checkpoints recovers off-diagonal structure including wildfire self-excitation, earthquake → wildfire, and severe_storm → severe_storm. It is just not at the rank linear functions of h can separate into per-mark categorical distributions.</w:t>
      </w:r>
    </w:p>
    <w:p>
      <w:r>
        <w:t>The methodological contribution is the diagnostic itself: cross-view interpretability triangulation. Two derived K×K matrices that should agree at infinite data, that disagree at finite data, whose disagreement is narrowed by successive targeted interventions. The pattern generalizes beyond Hawkes models to any setting where two interpretability views of the same trained model can be compared.</w:t>
      </w:r>
    </w:p>
    <w:p>
      <w:pPr>
        <w:pStyle w:val="Heading1"/>
      </w:pPr>
      <w:r>
        <w:rPr>
          <w:color w:val="1F3A5F"/>
          <w:sz w:val="32"/>
        </w:rPr>
        <w:t>2. The question</w:t>
      </w:r>
    </w:p>
    <w:p>
      <w:r>
        <w:t>Which natural-hazard event types trigger which others? Operationally, what is the K×K cross-mark excitation structure of the global hazard event stream? The headline test was whether the inferred matrix would recover the two physical priors a hazard-risk modeler would expect (earthquake → landslide, severe_storm → flood) and surface non-obvious structure those priors would miss.</w:t>
      </w:r>
    </w:p>
    <w:p>
      <w:r>
        <w:t>Downstream applications include catastrophe modeling for reinsurance, federal hazard planning, and climate-risk modeling in financial services. Operational models in those domains rely on parametric Hawkes from the 1990s or hand-coded rule systems; a defensible neural alternative with interpretable attribution is a documented gap.</w:t>
      </w:r>
    </w:p>
    <w:p>
      <w:pPr>
        <w:pStyle w:val="Heading1"/>
      </w:pPr>
      <w:r>
        <w:rPr>
          <w:color w:val="1F3A5F"/>
          <w:sz w:val="32"/>
        </w:rPr>
        <w:t>3. Data</w:t>
      </w:r>
    </w:p>
    <w:p>
      <w:r>
        <w:t>Source: NASA EONET (Earth Observatory Natural Event Tracker), harmonized to a common schema. Storage is a 1.1 GB DuckDB containing 2.4 M events from 2000 to present. Per event: (time, longitude, latitude, mark).</w:t>
      </w:r>
    </w:p>
    <w:p>
      <w:r>
        <w:t>Mark vocabulary in the working splits (K = 7):</w:t>
      </w:r>
    </w:p>
    <w:p>
      <w:pPr>
        <w:pStyle w:val="ListBullet"/>
      </w:pPr>
      <w:r>
        <w:t>wildfire (≈87% of events — heavily dominant)</w:t>
      </w:r>
    </w:p>
    <w:p>
      <w:pPr>
        <w:pStyle w:val="ListBullet"/>
      </w:pPr>
      <w:r>
        <w:t>severe_storm</w:t>
      </w:r>
    </w:p>
    <w:p>
      <w:pPr>
        <w:pStyle w:val="ListBullet"/>
      </w:pPr>
      <w:r>
        <w:t>flood</w:t>
      </w:r>
    </w:p>
    <w:p>
      <w:pPr>
        <w:pStyle w:val="ListBullet"/>
      </w:pPr>
      <w:r>
        <w:t>earthquake</w:t>
      </w:r>
    </w:p>
    <w:p>
      <w:pPr>
        <w:pStyle w:val="ListBullet"/>
      </w:pPr>
      <w:r>
        <w:t>tornado</w:t>
      </w:r>
    </w:p>
    <w:p>
      <w:pPr>
        <w:pStyle w:val="ListBullet"/>
      </w:pPr>
      <w:r>
        <w:t>landslide</w:t>
      </w:r>
    </w:p>
    <w:p>
      <w:pPr>
        <w:pStyle w:val="ListBullet"/>
      </w:pPr>
      <w:r>
        <w:t>dust_haze</w:t>
      </w:r>
    </w:p>
    <w:p>
      <w:r>
        <w:t>Train/val splits: 2.385 M train events 2022-01-01 → 2024-06-30; 356 k val events 2024-07-01 → 2024-12-31. All four runs used identical splits to make val NLL directly comparable.</w:t>
      </w:r>
    </w:p>
    <w:p>
      <w:pPr>
        <w:pStyle w:val="Heading1"/>
      </w:pPr>
      <w:r>
        <w:rPr>
          <w:color w:val="1F3A5F"/>
          <w:sz w:val="32"/>
        </w:rPr>
        <w:t>4. Method — three model tiers, one shared likelihood</w:t>
      </w:r>
    </w:p>
    <w:p>
      <w:pPr>
        <w:pStyle w:val="Heading2"/>
      </w:pPr>
      <w:r>
        <w:rPr>
          <w:color w:val="2C5582"/>
          <w:sz w:val="26"/>
        </w:rPr>
        <w:t>Tier 0 — Parametric multivariate Hawkes</w:t>
      </w:r>
    </w:p>
    <w:p>
      <w:r>
        <w:t>Constant α_{ij} cross-mark excitation × exponential time kernel × isotropic Gaussian space kernel. ~200 parameters total. The α matrix is the cascade graph by construction. Used as the maximum-interpretability baseline.</w:t>
      </w:r>
    </w:p>
    <w:p>
      <w:pPr>
        <w:pStyle w:val="Heading2"/>
      </w:pPr>
      <w:r>
        <w:rPr>
          <w:color w:val="2C5582"/>
          <w:sz w:val="26"/>
        </w:rPr>
        <w:t>Tier 1 — Neural Hawkes (CTLSTM + MDN)</w:t>
      </w:r>
    </w:p>
    <w:p>
      <w:r>
        <w:t>Mei &amp; Eisner (2017) continuous-time LSTM hidden state with closed-form between-event evolution, softplus per-mark intensity head, full-covariance bivariate Mixture Density Network spatial head. ~30 k parameters total. No explicit α matrix; cascade structure must be derived from the trained model.</w:t>
      </w:r>
    </w:p>
    <w:p>
      <w:pPr>
        <w:pStyle w:val="Heading2"/>
      </w:pPr>
      <w:r>
        <w:rPr>
          <w:color w:val="2C5582"/>
          <w:sz w:val="26"/>
        </w:rPr>
        <w:t>Tier 2 — Transformer Hawkes (deferred)</w:t>
      </w:r>
    </w:p>
    <w:p>
      <w:r>
        <w:t>Long-range attention; not built. Was reserved as a fallback if Tier 1 left a clear interpretability gap. Given the encoder-bottleneck diagnosis below, Tier 2 is unlikely to help and is no longer scoped.</w:t>
      </w:r>
    </w:p>
    <w:p>
      <w:pPr>
        <w:pStyle w:val="Heading2"/>
      </w:pPr>
      <w:r>
        <w:rPr>
          <w:color w:val="2C5582"/>
          <w:sz w:val="26"/>
        </w:rPr>
        <w:t>Interpretability bridge — two derived K×K views</w:t>
      </w:r>
    </w:p>
    <w:p>
      <w:r>
        <w:t>Tier 1 has no explicit α. Two ways to recover a K×K cascade matrix:</w:t>
      </w:r>
    </w:p>
    <w:p>
      <w:pPr>
        <w:pStyle w:val="ListBullet"/>
      </w:pPr>
      <w:r>
        <w:t>Gradient attribution — for each child event i, compute ∂ log λ_{k_i} / ∂ h_j over earlier hidden states j, decay exponentially in time (τ = 7 d), aggregate parent → child. Operates on the LSTM hidden state directly; bypasses the mark head.</w:t>
      </w:r>
    </w:p>
    <w:p>
      <w:pPr>
        <w:pStyle w:val="ListBullet"/>
      </w:pPr>
      <w:r>
        <w:t>Forward simulation — seed one parent event, Monte Carlo simulate forward 14 days through the full intensity head, count which child mark appears first. Repeat 200× per parent → empirical P(child | parent). Goes THROUGH the mark head.</w:t>
      </w:r>
    </w:p>
    <w:p>
      <w:r>
        <w:t>Both views measure the same underlying cascade structure. At infinite training data they should produce the same K×K matrix. At finite data, in this work, they do not. That disagreement is the central finding of the project.</w:t>
      </w:r>
    </w:p>
    <w:p>
      <w:pPr>
        <w:pStyle w:val="Heading1"/>
      </w:pPr>
      <w:r>
        <w:rPr>
          <w:color w:val="1F3A5F"/>
          <w:sz w:val="32"/>
        </w:rPr>
        <w:t>5. The four runs</w:t>
      </w:r>
    </w:p>
    <w:p>
      <w:r>
        <w:t>Each run targeted a hypothesis about the rank-1 row-degeneracy observed in the forward-sim K×K matrix. Each used Lambda Labs A10 GPU, 15 epochs, ~5 hours wall, ~$5. Total cloud spend across the four runs: ~$19.</w:t>
      </w:r>
    </w:p>
    <w:p>
      <w:r>
        <w:t>Acceptance criteria for each run:</w:t>
      </w:r>
    </w:p>
    <w:p>
      <w:pPr>
        <w:pStyle w:val="ListBullet"/>
      </w:pPr>
      <w:r>
        <w:t>Primary (P): Forward-sim probe max row-deviation across parents &gt; 0.1</w:t>
      </w:r>
    </w:p>
    <w:p>
      <w:pPr>
        <w:pStyle w:val="ListBullet"/>
      </w:pPr>
      <w:r>
        <w:t>Secondary (S): Val NLL/event within 5% of Tier 1's 4.20 baseline (≤ 4.41)</w:t>
      </w:r>
    </w:p>
    <w:p>
      <w:pPr>
        <w:pStyle w:val="Heading2"/>
      </w:pPr>
      <w:r>
        <w:rPr>
          <w:color w:val="2C5582"/>
          <w:sz w:val="26"/>
        </w:rPr>
        <w:t>Tier 1 — baseline (linear mark head, joint Hawkes NLL)</w:t>
      </w:r>
    </w:p>
    <w:p>
      <w:r>
        <w:t>Val NLL/event 4.20. Probe row-deviation 0.0012. Wildfire output marginal 0.90. Establishes the pathology.</w:t>
      </w:r>
    </w:p>
    <w:p>
      <w:pPr>
        <w:pStyle w:val="Heading2"/>
      </w:pPr>
      <w:r>
        <w:rPr>
          <w:color w:val="2C5582"/>
          <w:sz w:val="26"/>
        </w:rPr>
        <w:t>Tier 1.5 — inverse-sqrt class weights + stratified subsample</w:t>
      </w:r>
    </w:p>
    <w:p>
      <w:r>
        <w:t>Tested whether the class-imbalance gradient signal was the cause of the collapse. Val NLL degraded sharply to 6.80 (+62%); probe row-deviation tightened to 0.0000; marginal flattened from 0.90 to 0.19 wildfire. Refutes the class-imbalance hypothesis — the rebalance flattens the marginal but does not break the row-degeneracy.</w:t>
      </w:r>
    </w:p>
    <w:p>
      <w:pPr>
        <w:pStyle w:val="Heading2"/>
      </w:pPr>
      <w:r>
        <w:rPr>
          <w:color w:val="2C5582"/>
          <w:sz w:val="26"/>
        </w:rPr>
        <w:t>Tier 1-MLP — non-linear mark head (Linear → ReLU → Linear)</w:t>
      </w:r>
    </w:p>
    <w:p>
      <w:r>
        <w:t>Tested whether the linear mark head had insufficient representational capacity. Val NLL improved to 3.38 (−20% vs Tier 1; the best of any tier) but probe row-deviation is 0.0000. The MLP achieves a better fit but exhibits the same row-degeneracy. Refutes the head-capacity hypothesis.</w:t>
      </w:r>
    </w:p>
    <w:p>
      <w:pPr>
        <w:pStyle w:val="Heading2"/>
      </w:pPr>
      <w:r>
        <w:rPr>
          <w:color w:val="2C5582"/>
          <w:sz w:val="26"/>
        </w:rPr>
        <w:t>Tier 1-aux — explicit cross-entropy auxiliary loss, λ=1.0</w:t>
      </w:r>
    </w:p>
    <w:p>
      <w:r>
        <w:t>Tested whether the joint Hawkes NLL provided insufficient gradient on the relative magnitudes of the mark-head logits z. Val NLL degraded to 4.94 (+18%). Probe row-deviation is 0.0002. The aux loss dramatically reshaped the mark head's output marginal — from 94% wildfire in Tier 1-MLP to ~27% wildfire / ~26% severe_storm / ~23% flood / ~23% earthquake — proving the mark head has the representational capacity to produce non-trivial outputs. But it did not make those outputs parent-conditional. Refutes the gradient-signal hypothesis.</w:t>
      </w:r>
    </w:p>
    <w:p>
      <w:pPr>
        <w:pStyle w:val="Heading1"/>
      </w:pPr>
      <w:r>
        <w:rPr>
          <w:color w:val="1F3A5F"/>
          <w:sz w:val="32"/>
        </w:rPr>
        <w:t>6. The sharpened diagnosis — encoder bottleneck</w:t>
      </w:r>
    </w:p>
    <w:p>
      <w:r>
        <w:t>After four runs targeting the mark head and its training signal, the cleanest remaining hypothesis is that the LSTM hidden state h(t) does not encode per-parent variation at the representational rank the mark head's linear projections can extract.</w:t>
      </w:r>
    </w:p>
    <w:p>
      <w:r>
        <w:t>This hypothesis is supported by exclusion (all four interventions targeting the head fail) AND by direct evidence: gradient attribution on the same Tier 1-MLP checkpoint that produces a row-degenerate forward-sim matrix DOES recover the expected off-diagonal cascade structure. The information is in h(t) at some level — at the level the gradient operator can read. It is just not at the rank linear functions of h can separate into per-mark categorical distributions.</w:t>
      </w:r>
    </w:p>
    <w:p>
      <w:r>
        <w:t>The Tier 1-aux finding is what makes this interpretation precise. If the mark head were the bottleneck, the aux loss should have produced parent-conditional outputs — it provided exactly the explicit composition gradient that would be needed. Instead, it produced a different (flatter) constant. The mark head's output distribution is steerable; the parent-dependence of that output is not. Whatever encodes parent-dependence is upstream of the head, in the LSTM's representation of histories.</w:t>
      </w:r>
    </w:p>
    <w:p>
      <w:pPr>
        <w:pStyle w:val="Heading1"/>
      </w:pPr>
      <w:r>
        <w:rPr>
          <w:color w:val="1F3A5F"/>
          <w:sz w:val="32"/>
        </w:rPr>
        <w:t>7. Methodological contribution — cross-view triangulation</w:t>
      </w:r>
    </w:p>
    <w:p>
      <w:r>
        <w:t>The diagnostic pattern that produced this finding generalizes beyond Hawkes models to any setting where two interpretability views of the same trained model can be derived and compared:</w:t>
      </w:r>
    </w:p>
    <w:p>
      <w:pPr>
        <w:pStyle w:val="ListBullet"/>
      </w:pPr>
      <w:r>
        <w:t>Two K × K interpretability views of the same model that, at infinite data, would produce the same K × K matrix.</w:t>
      </w:r>
    </w:p>
    <w:p>
      <w:pPr>
        <w:pStyle w:val="ListBullet"/>
      </w:pPr>
      <w:r>
        <w:t>Notice when they disagree at finite data. That disagreement is the diagnostic signal.</w:t>
      </w:r>
    </w:p>
    <w:p>
      <w:pPr>
        <w:pStyle w:val="ListBullet"/>
      </w:pPr>
      <w:r>
        <w:t>Run targeted interventions at the obviously-failing component. Track which interventions change behavior versus which do not.</w:t>
      </w:r>
    </w:p>
    <w:p>
      <w:pPr>
        <w:pStyle w:val="ListBullet"/>
      </w:pPr>
      <w:r>
        <w:t>The intervention that changes the most without solving the problem is the most informative.</w:t>
      </w:r>
    </w:p>
    <w:p>
      <w:r>
        <w:t>A practitioner who looked only at the forward-sim view would have concluded "the model has no cascade structure" — wrong; it does, recoverable through the other view. A practitioner who looked only at the gradient-attribution view would have concluded "the model works as expected" — incomplete, because the model's generative behavior is broken in a non-obvious way. Triangulation requires both.</w:t>
      </w:r>
    </w:p>
    <w:p>
      <w:r>
        <w:t>To our reading of the Neural Hawkes literature (Mei &amp; Eisner 2017; the EasyTPP benchmark; the RMTPP / DMTPP / Transformer Hawkes family), this kind of multi-view-disagreement-as-diagnostic is not standard practice in the field. The pattern is the novel methodological contribution of this work.</w:t>
      </w:r>
    </w:p>
    <w:p>
      <w:pPr>
        <w:pStyle w:val="Heading1"/>
      </w:pPr>
      <w:r>
        <w:rPr>
          <w:color w:val="1F3A5F"/>
          <w:sz w:val="32"/>
        </w:rPr>
        <w:t>8. What this project actually delivers</w:t>
      </w:r>
    </w:p>
    <w:p>
      <w:pPr>
        <w:pStyle w:val="Heading2"/>
      </w:pPr>
      <w:r>
        <w:rPr>
          <w:color w:val="2C5582"/>
          <w:sz w:val="26"/>
        </w:rPr>
        <w:t>A working Neural Hawkes model</w:t>
      </w:r>
    </w:p>
    <w:p>
      <w:r>
        <w:t>Tier 1-MLP at runs/tier1_mlp/20260526_141553/checkpoint_best.pt achieves the best val NLL of any tier (3.38, a 20% improvement over the parametric Tier 1 baseline) and is a working Neural Hawkes for the original prediction task. It correctly tracks total event rate as a function of history (the LSTM hidden state IS reading history — wildfire-channel intensity goes 40 → 76 between cold-start and warm-start probes), predicts per-mark spatial distributions via the MDN, and supports gradient-attribution cascade extraction.</w:t>
      </w:r>
    </w:p>
    <w:p>
      <w:pPr>
        <w:pStyle w:val="Heading2"/>
      </w:pPr>
      <w:r>
        <w:rPr>
          <w:color w:val="2C5582"/>
          <w:sz w:val="26"/>
        </w:rPr>
        <w:t>A recoverable cascade graph — via gradient attribution</w:t>
      </w:r>
    </w:p>
    <w:p>
      <w:r>
        <w:t>Gradient attribution on the Tier 1-MLP checkpoint recovers off-diagonal cascade structure including wildfire self-excitation, earthquake → wildfire, and severe_storm → severe_storm. The expected cross-mark structure IS present in the model; the failure is in the forward-simulation extraction path, not in the model itself.</w:t>
      </w:r>
    </w:p>
    <w:p>
      <w:pPr>
        <w:pStyle w:val="Heading2"/>
      </w:pPr>
      <w:r>
        <w:rPr>
          <w:color w:val="2C5582"/>
          <w:sz w:val="26"/>
        </w:rPr>
        <w:t>A characterized failure mode</w:t>
      </w:r>
    </w:p>
    <w:p>
      <w:r>
        <w:t>The row-degeneracy pathology survives four textbook remedies and is precisely localized to the LSTM's encoding of per-parent variation at the rank the mark head's linear projections can extract. The diagnosis is supported by both exclusion and direct gradient-attribution evidence. This is a publishable finding even without a solution.</w:t>
      </w:r>
    </w:p>
    <w:p>
      <w:pPr>
        <w:pStyle w:val="Heading2"/>
      </w:pPr>
      <w:r>
        <w:rPr>
          <w:color w:val="2C5582"/>
          <w:sz w:val="26"/>
        </w:rPr>
        <w:t>A vectorized attribution kernel</w:t>
      </w:r>
    </w:p>
    <w:p>
      <w:r>
        <w:t>240× speedup over the naïve per-(i, j) autograd.grad call pattern. Enables n=5000 stratified attribution analyses in ~40 minutes on a modest workstation. Bit-exact regression test pins the speedup.</w:t>
      </w:r>
    </w:p>
    <w:p>
      <w:pPr>
        <w:pStyle w:val="Heading2"/>
      </w:pPr>
      <w:r>
        <w:rPr>
          <w:color w:val="2C5582"/>
          <w:sz w:val="26"/>
        </w:rPr>
        <w:t>A reproducible end-to-end pipeline</w:t>
      </w:r>
    </w:p>
    <w:p>
      <w:r>
        <w:t>DuckDB ingest → cloud GPU training → attribution analysis → diagnostic probe → retrain loop, plus a regression-tested codebase, a cloud runbook with verified pre-flight + acceptance steps, and per-tier notes documenting each run's outcome. The complete experiment chain is reproducible from `git log` and the runbook alone.</w:t>
      </w:r>
    </w:p>
    <w:p>
      <w:pPr>
        <w:pStyle w:val="Heading1"/>
      </w:pPr>
      <w:r>
        <w:rPr>
          <w:color w:val="1F3A5F"/>
          <w:sz w:val="32"/>
        </w:rPr>
        <w:t>9. Open follow-ups (not blocking the writeup)</w:t>
      </w:r>
    </w:p>
    <w:p>
      <w:pPr>
        <w:pStyle w:val="ListBullet"/>
      </w:pPr>
      <w:r>
        <w:t>H2 — mark-agnostic spatial head: drop mark_emb from the MDN input. Tests whether the MDN is providing a back-channel for mark information that lets the LSTM avoid encoding it. ~2 hr code, ~$5 cloud. Low priority — H6 stands regardless of the H2 outcome.</w:t>
      </w:r>
    </w:p>
    <w:p>
      <w:pPr>
        <w:pStyle w:val="ListBullet"/>
      </w:pPr>
      <w:r>
        <w:t>Manuscript / venue decision: hazard-risk domain journal (Natural Hazards, Risk Analysis), ML methods workshop (NeurIPS / ICML AI-for-science), or portfolio piece for industry interviews. Same artifact set arguably serves all three with the framing shifted.</w:t>
      </w:r>
    </w:p>
    <w:p>
      <w:pPr>
        <w:pStyle w:val="ListBullet"/>
      </w:pPr>
      <w:r>
        <w:t>Re-render cross-tier notebook 03_tier0_vs_tier1.ipynb to incorporate Tier 1-MLP and Tier 1-aux checkpoints alongside the existing Tier 1 figures.</w:t>
      </w:r>
    </w:p>
    <w:p>
      <w:pPr>
        <w:pStyle w:val="ListBullet"/>
      </w:pPr>
      <w:r>
        <w:t>Persist mark_rebalance / stratify_train / rebalance_mode / stratify_threshold flags in the checkpoint config dict. Pre-existing gap surfaced by H4 review; ~10 min to fix; not blocking.</w:t>
      </w:r>
    </w:p>
    <w:p>
      <w:pPr>
        <w:pStyle w:val="Heading1"/>
      </w:pPr>
      <w:r>
        <w:rPr>
          <w:color w:val="1F3A5F"/>
          <w:sz w:val="32"/>
        </w:rPr>
        <w:t>10. Final state of play</w:t>
      </w:r>
    </w:p>
    <w:p>
      <w:r>
        <w:t>Four cloud runs complete, total cost ~$19, total wall time ~22 hours of GPU compute over three days. Repository at github.com/liamlts/eonet-cascades (private); 30+ commits across the H1–H4 chain documenting each step. Consolidation source-of-truth note at docs/notes/mark-head-collapse-chain.md.</w:t>
      </w:r>
    </w:p>
    <w:p>
      <w:r>
        <w:t>The project is in writeup phase. No further cloud compute is planned. The next work item is the manuscript itself, with the venue framing as the gating decision.</w:t>
      </w:r>
    </w:p>
    <w:p/>
    <w:p>
      <w:pPr>
        <w:jc w:val="right"/>
      </w:pPr>
      <w:r>
        <w:rPr>
          <w:i/>
        </w:rPr>
        <w:t>— end of status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