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w:t>
            </w:r>
            <w:r>
              <w:rPr>
                <w:b/>
                <w:i w:val="0"/>
                <w:sz w:val="20"/>
                <w:highlight w:val="yellow"/>
              </w:rPr>
              <w:t>[TO CONFIRM]</w:t>
            </w:r>
            <w:r>
              <w:rPr>
                <w:b w:val="0"/>
                <w:i w:val="0"/>
                <w:sz w:val="20"/>
              </w:rPr>
              <w:t xml:space="preserve"> Meeting link; access information on Canvas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highlight w:val="yellow"/>
        </w:rPr>
        <w:t>[TO CONFIRM]</w:t>
      </w:r>
      <w:r>
        <w:rPr>
          <w:b w:val="0"/>
          <w:i w:val="0"/>
        </w:rPr>
        <w:t xml:space="preserve"> Insert the official catalog description and any formal prerequisites. The description above is the working course description.</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 xml:space="preserve">No book purchase is required. Readings will be posted on Canvas under each session's module. </w:t>
      </w:r>
      <w:r>
        <w:rPr>
          <w:b/>
          <w:i w:val="0"/>
          <w:highlight w:val="yellow"/>
        </w:rPr>
        <w:t>[TO CONFIRM]</w:t>
      </w:r>
      <w:r>
        <w:rPr>
          <w:b w:val="0"/>
          <w:i w:val="0"/>
        </w:rPr>
        <w:t xml:space="preserve"> The final reading list, editions, excerpts, and student access.</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Cambridge University Press.</w:t>
      </w:r>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w:t>
      </w:r>
    </w:p>
    <w:p>
      <w:pPr>
        <w:pStyle w:val="Heading2"/>
      </w:pPr>
      <w:r>
        <w:t>Sessions 5–7</w:t>
      </w:r>
    </w:p>
    <w:p>
      <w:r>
        <w:rPr>
          <w:b/>
          <w:i w:val="0"/>
          <w:highlight w:val="yellow"/>
        </w:rPr>
        <w:t>[TO CONFIRM]</w:t>
      </w:r>
      <w:r>
        <w:rPr>
          <w:b w:val="0"/>
          <w:i w:val="0"/>
        </w:rPr>
        <w:t xml:space="preserve"> A sociology-of-knowledge reading for Session 5, a reflection reading for Session 6, and a case on automation for Session 7.</w:t>
      </w:r>
    </w:p>
    <w:p>
      <w:r>
        <w:rPr>
          <w:b/>
          <w:i w:val="0"/>
        </w:rPr>
        <w:t>Canvas</w:t>
      </w:r>
      <w:r>
        <w:rPr>
          <w:b w:val="0"/>
          <w:i w:val="0"/>
        </w:rPr>
        <w:t xml:space="preserve"> carries announcements, materials, assignment instructions, submissions, grades, and private instructor comments. A running document may be used for drafting and collaboration. </w:t>
      </w:r>
      <w:r>
        <w:rPr>
          <w:b/>
          <w:i w:val="0"/>
          <w:highlight w:val="yellow"/>
        </w:rPr>
        <w:t>[TO CONFIRM]</w:t>
      </w:r>
      <w:r>
        <w:rPr>
          <w:b w:val="0"/>
          <w:i w:val="0"/>
        </w:rPr>
        <w:t xml:space="preserve"> Create a new class workspace; do not reuse last year's shared document.</w:t>
      </w:r>
    </w:p>
    <w:p>
      <w:r>
        <w:rPr>
          <w:b w:val="0"/>
          <w:i w:val="0"/>
        </w:rPr>
        <w:t xml:space="preserve">Use a reference manager or another reliable way to retain full citations and notes. AI-supported exercises are part of the proposed seminar design. </w:t>
      </w:r>
      <w:r>
        <w:rPr>
          <w:b/>
          <w:i w:val="0"/>
          <w:highlight w:val="yellow"/>
        </w:rPr>
        <w:t>[TO CONFIRM]</w:t>
      </w:r>
      <w:r>
        <w:rPr>
          <w:b w:val="0"/>
          <w:i w:val="0"/>
        </w:rPr>
        <w:t xml:space="preserve"> Available tools and equivalent alternatives where access, cost, privacy, or accessibility would create a barrier. No paid AI subscription is required by this draft.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 hours per active teaching week</w:t>
      </w:r>
      <w:r>
        <w:rPr>
          <w:b w:val="0"/>
          <w:i w:val="0"/>
        </w:rPr>
        <w:t xml:space="preserve">, including the seminar. This is a proposed workload for the four-credit compressed format; </w:t>
      </w:r>
      <w:r>
        <w:rPr>
          <w:b/>
          <w:i w:val="0"/>
          <w:highlight w:val="yellow"/>
        </w:rPr>
        <w:t>[TO CONFIRM]</w:t>
      </w:r>
      <w:r>
        <w:rPr>
          <w:b w:val="0"/>
          <w:i w:val="0"/>
        </w:rPr>
        <w:t xml:space="preserve"> the final credit and workload expectations.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 xml:space="preserve">Keep a research record containing your question, search decisions, source notes, maps, drafts, feedback, and AI-use notes. The record should let you explain why the review changed. We will not require a particular commercial tool; </w:t>
      </w:r>
      <w:r>
        <w:rPr>
          <w:b/>
          <w:i w:val="0"/>
          <w:highlight w:val="yellow"/>
        </w:rPr>
        <w:t>[TO CONFIRM]</w:t>
      </w:r>
      <w:r>
        <w:rPr>
          <w:b w:val="0"/>
          <w:i w:val="0"/>
        </w:rPr>
        <w:t xml:space="preserve"> the preferred document and reference-management arrangements.</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Proposed feedback arrangements:</w:t>
      </w:r>
      <w:r>
        <w:rPr>
          <w:b w:val="0"/>
          <w:i w:val="0"/>
        </w:rPr>
        <w:t xml:space="preserve"> email responses within two working days and feedback on staged submissions within one week. </w:t>
      </w:r>
      <w:r>
        <w:rPr>
          <w:b/>
          <w:i w:val="0"/>
          <w:highlight w:val="yellow"/>
        </w:rPr>
        <w:t>[TO CONFIRM]</w:t>
      </w:r>
      <w:r>
        <w:rPr>
          <w:b w:val="0"/>
          <w:i w:val="0"/>
        </w:rPr>
        <w:t xml:space="preserve"> Response times and feedback capacity. Plan substantive instructor feedback after the conceptual map and after the structured draft; use peer workshops to support revision between these points.</w:t>
      </w:r>
    </w:p>
    <w:p>
      <w:pPr>
        <w:pStyle w:val="Heading2"/>
      </w:pPr>
      <w:r>
        <w:t>Evaluation</w:t>
      </w:r>
    </w:p>
    <w:p>
      <w:r>
        <w:rPr>
          <w:b w:val="0"/>
          <w:i w:val="0"/>
        </w:rPr>
        <w:t>The starting assessment structure retains the six staged tasks and final review from the previous 590 course.</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separately weighted peer-commentary components have been replaced by 590's staged assignments.</w:t>
      </w:r>
    </w:p>
    <w:p>
      <w:pPr>
        <w:pStyle w:val="Heading2"/>
      </w:pPr>
      <w:r>
        <w:t>1 Research topic and question</w:t>
      </w:r>
    </w:p>
    <w:p>
      <w:r>
        <w:rPr>
          <w:b w:val="0"/>
          <w:i w:val="0"/>
        </w:rPr>
        <w:t xml:space="preserve">State a provisional question and explain its significance, feasibility, and relationship to an initial set of sources. Identify what you would need to read or discover to refine it. </w:t>
      </w:r>
      <w:r>
        <w:rPr>
          <w:b/>
          <w:i w:val="0"/>
          <w:highlight w:val="yellow"/>
        </w:rPr>
        <w:t>[TO CONFIRM]</w:t>
      </w:r>
      <w:r>
        <w:rPr>
          <w:b w:val="0"/>
          <w:i w:val="0"/>
        </w:rPr>
        <w:t xml:space="preserve"> Length and minimum source expectations.</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 xml:space="preserve">Develop a section that synthesizes literature rather than describing articles one at a time. Compare scientific and humanities modes of framing or interpretation; explain which choices serve your question and audience. </w:t>
      </w:r>
      <w:r>
        <w:rPr>
          <w:b/>
          <w:i w:val="0"/>
          <w:highlight w:val="yellow"/>
        </w:rPr>
        <w:t>[TO CONFIRM]</w:t>
      </w:r>
      <w:r>
        <w:rPr>
          <w:b w:val="0"/>
          <w:i w:val="0"/>
        </w:rPr>
        <w:t xml:space="preserve"> Whether students submit two short versions or one version with commentary.</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w:t>
      </w:r>
    </w:p>
    <w:p>
      <w:r>
        <w:rPr>
          <w:b w:val="0"/>
          <w:i w:val="0"/>
        </w:rPr>
        <w:t>Submit a coherent review that develops a defensible contribution from the staged work. It should establish a question and scope, synthesize relevant literature, explain relationships and disagreements, and identify a plausible gap or a different way to frame the problem.</w:t>
      </w:r>
    </w:p>
    <w:p>
      <w:r>
        <w:rPr>
          <w:b w:val="0"/>
          <w:i w:val="0"/>
        </w:rPr>
        <w:t xml:space="preserve">The final literature review is 1,500–2,000 words. Include an AI-use statement and a short revision memo explaining how the review changed in response to evidence and feedback. </w:t>
      </w:r>
      <w:r>
        <w:rPr>
          <w:b/>
          <w:i w:val="0"/>
          <w:highlight w:val="yellow"/>
        </w:rPr>
        <w:t>[TO CONFIRM]</w:t>
      </w:r>
      <w:r>
        <w:rPr>
          <w:b w:val="0"/>
          <w:i w:val="0"/>
        </w:rPr>
        <w:t xml:space="preserve"> Citation expectations, submission format, memo length, and the detailed rubric.</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 xml:space="preserve">The staged tasks emphasize development and reasoned decisions. The final review emphasizes how those decisions work together in the completed argument. </w:t>
      </w:r>
      <w:r>
        <w:rPr>
          <w:b/>
          <w:i w:val="0"/>
          <w:highlight w:val="yellow"/>
        </w:rPr>
        <w:t>[TO CONFIRM]</w:t>
      </w:r>
      <w:r>
        <w:rPr>
          <w:b w:val="0"/>
          <w:i w:val="0"/>
        </w:rPr>
        <w:t xml:space="preserve"> Task-specific descriptors and allocation of marks.</w:t>
      </w:r>
    </w:p>
    <w:p>
      <w:pPr>
        <w:pStyle w:val="Heading2"/>
      </w:pPr>
      <w:r>
        <w:t>Peer commentary</w:t>
      </w:r>
    </w:p>
    <w:p>
      <w:r>
        <w:rPr>
          <w:b w:val="0"/>
          <w:i w:val="0"/>
        </w:rPr>
        <w:t>Peer workshops are proposed in Sessions 4 and 6, with instructor feedback on the map and structured draft. Peer commentary supports revision and carries no separate percentage in this starting assessment structure.</w:t>
      </w:r>
    </w:p>
    <w:p>
      <w:r>
        <w:rPr>
          <w:b w:val="0"/>
          <w:i w:val="0"/>
        </w:rPr>
        <w:t xml:space="preserve">Share only the material needed for the exercise. Use named recipients and institution-supported arrangements. Students may use an anonymized extract or an instructor-mediated alternative. Keep grades and private instructor comments in Canvas. </w:t>
      </w:r>
      <w:r>
        <w:rPr>
          <w:b/>
          <w:i w:val="0"/>
          <w:highlight w:val="yellow"/>
        </w:rPr>
        <w:t>[TO CONFIRM]</w:t>
      </w:r>
      <w:r>
        <w:rPr>
          <w:b w:val="0"/>
          <w:i w:val="0"/>
        </w:rPr>
        <w:t xml:space="preserve"> Pairing, access arrangements, and an accessible alternative before the first workshop.</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w:t>
      </w:r>
      <w:r>
        <w:rPr>
          <w:b/>
          <w:i w:val="0"/>
          <w:highlight w:val="yellow"/>
        </w:rPr>
        <w:t>[TO CONFIRM]</w:t>
      </w:r>
      <w:r>
        <w:rPr>
          <w:b w:val="0"/>
          <w:i w:val="0"/>
        </w:rPr>
        <w:t xml:space="preserve"> Final course AI policy and current University academic-integrity wording.</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Participate in the scheduled seminars and collaborative activities. If you must miss a session, contact me to arrange an equivalent way to engage with the work. </w:t>
      </w:r>
      <w:r>
        <w:rPr>
          <w:b/>
          <w:i w:val="0"/>
          <w:highlight w:val="yellow"/>
        </w:rPr>
        <w:t>[TO CONFIRM]</w:t>
      </w:r>
      <w:r>
        <w:rPr>
          <w:b w:val="0"/>
          <w:i w:val="0"/>
        </w:rPr>
        <w:t xml:space="preserve"> Attendance and participation requirements.</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Accessibility.</w:t>
      </w:r>
      <w:r>
        <w:rPr>
          <w:b w:val="0"/>
          <w:i w:val="0"/>
        </w:rPr>
        <w:t xml:space="preserve"> Contact the instructor about access needs and consult </w:t>
      </w:r>
      <w:hyperlink r:id="rId59">
        <w:r>
          <w:rPr>
            <w:u w:val="single"/>
          </w:rPr>
          <w:t>Disability Resources and Educational Services</w:t>
        </w:r>
      </w:hyperlink>
      <w:r>
        <w:rPr>
          <w:b w:val="0"/>
          <w:i w:val="0"/>
        </w:rPr>
        <w:t xml:space="preserve">. </w:t>
      </w:r>
      <w:r>
        <w:rPr>
          <w:b/>
          <w:i w:val="0"/>
          <w:highlight w:val="yellow"/>
        </w:rPr>
        <w:t>[TO CONFIRM]</w:t>
      </w:r>
      <w:r>
        <w:rPr>
          <w:b w:val="0"/>
          <w:i w:val="0"/>
        </w:rPr>
        <w:t xml:space="preserve"> Insert the current approved accommodations statement and check that readings, documents, maps, and activities have accessible alternatives.</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r>
        <w:rPr>
          <w:b/>
          <w:i w:val="0"/>
        </w:rPr>
        <w:t>Academic integrity.</w:t>
      </w:r>
      <w:r>
        <w:rPr>
          <w:b w:val="0"/>
          <w:i w:val="0"/>
        </w:rPr>
        <w:t xml:space="preserve"> The </w:t>
      </w:r>
      <w:hyperlink r:id="rId60">
        <w:r>
          <w:rPr>
            <w:u w:val="single"/>
          </w:rPr>
          <w:t>University Student Code academic-integrity provisions</w:t>
        </w:r>
      </w:hyperlink>
      <w:r>
        <w:rPr>
          <w:b w:val="0"/>
          <w:i w:val="0"/>
        </w:rPr>
        <w:t xml:space="preserve"> apply alongside the course's AI-use instructions. </w:t>
      </w:r>
      <w:r>
        <w:rPr>
          <w:b/>
          <w:i w:val="0"/>
          <w:highlight w:val="yellow"/>
        </w:rPr>
        <w:t>[TO CONFIRM]</w:t>
      </w:r>
      <w:r>
        <w:rPr>
          <w:b w:val="0"/>
          <w:i w:val="0"/>
        </w:rPr>
        <w:t xml:space="preserve"> Current required institutional wording and procedures.</w:t>
      </w:r>
    </w:p>
    <w:p>
      <w:r>
        <w:rPr>
          <w:b/>
          <w:i w:val="0"/>
        </w:rPr>
        <w:t>Student support.</w:t>
      </w:r>
      <w:r>
        <w:rPr>
          <w:b w:val="0"/>
          <w:i w:val="0"/>
        </w:rPr>
        <w:t xml:space="preserve"> Support information is available through the </w:t>
      </w:r>
      <w:hyperlink r:id="rId61">
        <w:r>
          <w:rPr>
            <w:u w:val="single"/>
          </w:rPr>
          <w:t>Counseling Center</w:t>
        </w:r>
      </w:hyperlink>
      <w:r>
        <w:rPr>
          <w:b w:val="0"/>
          <w:i w:val="0"/>
        </w:rPr>
        <w:t xml:space="preserve">. </w:t>
      </w:r>
      <w:r>
        <w:rPr>
          <w:b/>
          <w:i w:val="0"/>
          <w:highlight w:val="yellow"/>
        </w:rPr>
        <w:t>[TO CONFIRM]</w:t>
      </w:r>
      <w:r>
        <w:rPr>
          <w:b w:val="0"/>
          <w:i w:val="0"/>
        </w:rPr>
        <w:t xml:space="preserve"> Add current College and University syllabus statements and links.</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review</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literature review,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 ] Final literature review due Tuesday 15 December 2026 at 11:59 PM Central.</w:t>
      </w:r>
    </w:p>
    <w:p>
      <w:pPr>
        <w:pStyle w:val="ListBullet"/>
      </w:pPr>
      <w:r>
        <w:rPr>
          <w:b w:val="0"/>
          <w:i w:val="0"/>
        </w:rPr>
        <w:t>[ ] Set lengths, source expectations, submission formats, and task rubrics.</w:t>
      </w:r>
    </w:p>
    <w:p>
      <w:pPr>
        <w:pStyle w:val="ListBullet"/>
      </w:pPr>
      <w:r>
        <w:rPr>
          <w:b w:val="0"/>
          <w:i w:val="0"/>
        </w:rPr>
        <w:t>[ ] Choose readings and update AI examples before each seminar.</w:t>
      </w:r>
    </w:p>
    <w:p>
      <w:pPr>
        <w:pStyle w:val="ListBullet"/>
      </w:pPr>
      <w:r>
        <w:rPr>
          <w:b w:val="0"/>
          <w:i w:val="0"/>
        </w:rPr>
        <w:t>[ ] Confirm the feedback schedule and peer-work alternatives.</w:t>
      </w:r>
    </w:p>
    <w:p>
      <w:pPr>
        <w:pStyle w:val="ListBullet"/>
      </w:pPr>
      <w:r>
        <w:rPr>
          <w:b w:val="0"/>
          <w:i w:val="0"/>
        </w:rPr>
        <w:t>[ ] Create fresh collaborative documents and check student access.</w:t>
      </w:r>
    </w:p>
    <w:p>
      <w:pPr>
        <w:pStyle w:val="ListBullet"/>
      </w:pPr>
      <w:r>
        <w:rPr>
          <w:b w:val="0"/>
          <w:i w:val="0"/>
        </w:rPr>
        <w:t>[ ] Complete the grading, AI, accessibility, recording, and support policies.</w:t>
      </w:r>
    </w:p>
    <w:p>
      <w:pPr>
        <w:pStyle w:val="ListBullet"/>
      </w:pPr>
      <w:r>
        <w:rPr>
          <w:b w:val="0"/>
          <w:i w:val="0"/>
        </w:rPr>
        <w:t>[ ]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www.disability.illinois.edu/" TargetMode="External"/><Relationship Id="rId60" Type="http://schemas.openxmlformats.org/officeDocument/2006/relationships/hyperlink" Target="https://studentcode.illinois.edu/article1/part4/1-401/" TargetMode="External"/><Relationship Id="rId61" Type="http://schemas.openxmlformats.org/officeDocument/2006/relationships/hyperlink" Target="https://counselingcenter.illinois.edu/"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