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80"/>
      </w:pPr>
      <w:r>
        <w:rPr>
          <w:rFonts w:ascii="Calibri" w:hAnsi="Calibri"/>
          <w:b/>
          <w:color w:val="E63946"/>
          <w:sz w:val="22"/>
        </w:rPr>
        <w:t>HUMAN VALIDATION PACK</w:t>
      </w:r>
    </w:p>
    <w:p>
      <w:pPr>
        <w:spacing w:after="240"/>
      </w:pPr>
      <w:r>
        <w:rPr>
          <w:rFonts w:ascii="Calibri" w:hAnsi="Calibri"/>
          <w:b/>
          <w:color w:val="111111"/>
          <w:sz w:val="56"/>
        </w:rPr>
        <w:t>What each task is for — and exactly what to do</w:t>
      </w:r>
    </w:p>
    <w:p>
      <w:pPr>
        <w:spacing w:after="360"/>
      </w:pPr>
      <w:r>
        <w:rPr>
          <w:color w:val="2E74B5"/>
          <w:sz w:val="28"/>
        </w:rPr>
        <w:t>A plain-English field guide for reviewers, coders, study leads, and organizers</w:t>
      </w:r>
    </w:p>
    <w:tbl>
      <w:tblPr>
        <w:tblW w:type="auto" w:w="0"/>
        <w:tblLayout w:type="fixed"/>
        <w:tblLook w:firstColumn="1" w:firstRow="1" w:lastColumn="0" w:lastRow="0" w:noHBand="0" w:noVBand="1" w:val="04A0"/>
      </w:tblPr>
      <w:tblGrid>
        <w:gridCol w:w="9360"/>
      </w:tblGrid>
      <w:tr>
        <w:trPr>
          <w:cantSplit/>
        </w:trPr>
        <w:tc>
          <w:tcPr>
            <w:tcW w:type="dxa" w:w="9360"/>
            <w:shd w:fill="FFF2B8"/>
            <w:tcMar>
              <w:top w:w="150" w:type="dxa"/>
              <w:start w:w="180" w:type="dxa"/>
              <w:bottom w:w="150" w:type="dxa"/>
              <w:end w:w="180" w:type="dxa"/>
            </w:tcMar>
          </w:tcPr>
          <w:p>
            <w:pPr>
              <w:spacing w:after="60"/>
            </w:pPr>
            <w:r>
              <w:rPr>
                <w:b/>
                <w:color w:val="111111"/>
              </w:rPr>
              <w:t>The short version</w:t>
            </w:r>
          </w:p>
          <w:p>
            <w:pPr>
              <w:spacing w:after="0"/>
            </w:pPr>
            <w:r>
              <w:t>The software can check that the tutor runs. These tasks ask people to check whether the tutor’s lesson logic, dialogue labels, internal categories, and scoring rules make sense—and eventually whether real people learn.</w:t>
            </w:r>
          </w:p>
        </w:tc>
      </w:tr>
    </w:tbl>
    <w:p>
      <w:pPr>
        <w:spacing w:after="0"/>
      </w:pPr>
    </w:p>
    <w:p>
      <w:pPr>
        <w:pStyle w:val="Heading2"/>
        <w:keepNext/>
      </w:pPr>
      <w:r>
        <w:t>How to use this pack</w:t>
      </w:r>
    </w:p>
    <w:p>
      <w:pPr>
        <w:pStyle w:val="ListBullet"/>
        <w:keepLines/>
      </w:pPr>
      <w:r>
        <w:t>Read the short project explanation first.</w:t>
      </w:r>
    </w:p>
    <w:p>
      <w:pPr>
        <w:pStyle w:val="ListBullet"/>
        <w:keepLines/>
      </w:pPr>
      <w:r>
        <w:t>Go to the task you have been assigned.</w:t>
      </w:r>
    </w:p>
    <w:p>
      <w:pPr>
        <w:pStyle w:val="ListBullet"/>
        <w:keepLines/>
      </w:pPr>
      <w:r>
        <w:t>Download the linked Excel workbook. The Word file and Excel files should stay in the same folder.</w:t>
      </w:r>
    </w:p>
    <w:p>
      <w:pPr>
        <w:pStyle w:val="ListBullet"/>
        <w:keepLines/>
      </w:pPr>
      <w:r>
        <w:t>Type only in yellow cells. Grey and blue cells are source material.</w:t>
      </w:r>
    </w:p>
    <w:p>
      <w:pPr>
        <w:pStyle w:val="ListBullet"/>
        <w:keepLines/>
      </w:pPr>
      <w:r>
        <w:t>Save a new copy under your own reviewer or coder name before returning it.</w:t>
      </w:r>
    </w:p>
    <w:p>
      <w:pPr>
        <w:pStyle w:val="ListBullet"/>
        <w:keepLines/>
      </w:pPr>
      <w:r>
        <w:t>Do not consult another reviewer or any machine answer key before returning your file.</w:t>
      </w:r>
    </w:p>
    <w:p>
      <w:pPr>
        <w:pStyle w:val="ListBullet"/>
        <w:keepLines/>
      </w:pPr>
      <w:r>
        <w:t>For the taxonomy task, the public Excel file is a blank template. Wait for the organizer to supply a populated private copy before coding.</w:t>
      </w:r>
    </w:p>
    <w:p>
      <w:r>
        <w:br w:type="page"/>
      </w:r>
    </w:p>
    <w:p>
      <w:pPr>
        <w:pStyle w:val="Heading2"/>
        <w:keepNext/>
      </w:pPr>
      <w:r>
        <w:t>Files in this pack</w:t>
      </w:r>
    </w:p>
    <w:tbl>
      <w:tblPr>
        <w:tblStyle w:val="TableGrid"/>
        <w:tblW w:type="auto" w:w="0"/>
        <w:tblLayout w:type="fixed"/>
        <w:tblLook w:firstColumn="1" w:firstRow="1" w:lastColumn="0" w:lastRow="0" w:noHBand="0" w:noVBand="1" w:val="04A0"/>
      </w:tblPr>
      <w:tblGrid>
        <w:gridCol w:w="3024"/>
        <w:gridCol w:w="6336"/>
      </w:tblGrid>
      <w:tr>
        <w:trPr>
          <w:tblHeader w:val="true"/>
        </w:trPr>
        <w:tc>
          <w:tcPr>
            <w:tcW w:type="dxa" w:w="4680"/>
            <w:shd w:fill="111111"/>
          </w:tcPr>
          <w:p>
            <w:r>
              <w:rPr>
                <w:b/>
                <w:color w:val="FFFFFF"/>
              </w:rPr>
              <w:t>TASK</w:t>
            </w:r>
          </w:p>
        </w:tc>
        <w:tc>
          <w:tcPr>
            <w:tcW w:type="dxa" w:w="4680"/>
            <w:shd w:fill="111111"/>
          </w:tcPr>
          <w:p>
            <w:r>
              <w:rPr>
                <w:b/>
                <w:color w:val="FFFFFF"/>
              </w:rPr>
              <w:t>DOWNLOAD</w:t>
            </w:r>
          </w:p>
        </w:tc>
      </w:tr>
      <w:tr>
        <w:trPr>
          <w:cantSplit/>
        </w:trPr>
        <w:tc>
          <w:tcPr>
            <w:tcW w:type="dxa" w:w="3024"/>
            <w:shd w:fill="E8EEF5"/>
            <w:tcMar>
              <w:top w:w="80" w:type="dxa"/>
              <w:start w:w="120" w:type="dxa"/>
              <w:bottom w:w="80" w:type="dxa"/>
              <w:end w:w="120" w:type="dxa"/>
            </w:tcMar>
            <w:vAlign w:val="center"/>
          </w:tcPr>
          <w:p>
            <w:r>
              <w:t>Proof review</w:t>
            </w:r>
          </w:p>
        </w:tc>
        <w:tc>
          <w:tcPr>
            <w:tcW w:type="dxa" w:w="6336"/>
            <w:shd w:fill="FFF2B8"/>
            <w:tcMar>
              <w:top w:w="80" w:type="dxa"/>
              <w:start w:w="120" w:type="dxa"/>
              <w:bottom w:w="80" w:type="dxa"/>
              <w:end w:w="120" w:type="dxa"/>
            </w:tcMar>
            <w:vAlign w:val="center"/>
          </w:tcPr>
          <w:p>
            <w:hyperlink r:id="rId11">
              <w:r>
                <w:rPr>
                  <w:color w:val="2E74B5"/>
                  <w:u w:val="single"/>
                </w:rPr>
                <w:t>proof-dag-review-form.xlsx</w:t>
              </w:r>
            </w:hyperlink>
          </w:p>
        </w:tc>
      </w:tr>
      <w:tr>
        <w:trPr>
          <w:cantSplit/>
        </w:trPr>
        <w:tc>
          <w:tcPr>
            <w:tcW w:type="dxa" w:w="3024"/>
            <w:shd w:fill="E8EEF5"/>
            <w:tcMar>
              <w:top w:w="80" w:type="dxa"/>
              <w:start w:w="120" w:type="dxa"/>
              <w:bottom w:w="80" w:type="dxa"/>
              <w:end w:w="120" w:type="dxa"/>
            </w:tcMar>
            <w:vAlign w:val="center"/>
          </w:tcPr>
          <w:p>
            <w:r>
              <w:t>Dialogue coder A</w:t>
            </w:r>
          </w:p>
        </w:tc>
        <w:tc>
          <w:tcPr>
            <w:tcW w:type="dxa" w:w="6336"/>
            <w:shd w:fill="FFF2B8"/>
            <w:tcMar>
              <w:top w:w="80" w:type="dxa"/>
              <w:start w:w="120" w:type="dxa"/>
              <w:bottom w:w="80" w:type="dxa"/>
              <w:end w:w="120" w:type="dxa"/>
            </w:tcMar>
            <w:vAlign w:val="center"/>
          </w:tcPr>
          <w:p>
            <w:hyperlink r:id="rId12">
              <w:r>
                <w:rPr>
                  <w:color w:val="2E74B5"/>
                  <w:u w:val="single"/>
                </w:rPr>
                <w:t>state-move-coder-a.xlsx</w:t>
              </w:r>
            </w:hyperlink>
          </w:p>
        </w:tc>
      </w:tr>
      <w:tr>
        <w:trPr>
          <w:cantSplit/>
        </w:trPr>
        <w:tc>
          <w:tcPr>
            <w:tcW w:type="dxa" w:w="3024"/>
            <w:shd w:fill="E8EEF5"/>
            <w:tcMar>
              <w:top w:w="80" w:type="dxa"/>
              <w:start w:w="120" w:type="dxa"/>
              <w:bottom w:w="80" w:type="dxa"/>
              <w:end w:w="120" w:type="dxa"/>
            </w:tcMar>
            <w:vAlign w:val="center"/>
          </w:tcPr>
          <w:p>
            <w:r>
              <w:t>Dialogue coder B</w:t>
            </w:r>
          </w:p>
        </w:tc>
        <w:tc>
          <w:tcPr>
            <w:tcW w:type="dxa" w:w="6336"/>
            <w:shd w:fill="FFF2B8"/>
            <w:tcMar>
              <w:top w:w="80" w:type="dxa"/>
              <w:start w:w="120" w:type="dxa"/>
              <w:bottom w:w="80" w:type="dxa"/>
              <w:end w:w="120" w:type="dxa"/>
            </w:tcMar>
            <w:vAlign w:val="center"/>
          </w:tcPr>
          <w:p>
            <w:hyperlink r:id="rId13">
              <w:r>
                <w:rPr>
                  <w:color w:val="2E74B5"/>
                  <w:u w:val="single"/>
                </w:rPr>
                <w:t>state-move-coder-b.xlsx</w:t>
              </w:r>
            </w:hyperlink>
          </w:p>
        </w:tc>
      </w:tr>
      <w:tr>
        <w:trPr>
          <w:cantSplit/>
        </w:trPr>
        <w:tc>
          <w:tcPr>
            <w:tcW w:type="dxa" w:w="3024"/>
            <w:shd w:fill="E8EEF5"/>
            <w:tcMar>
              <w:top w:w="80" w:type="dxa"/>
              <w:start w:w="120" w:type="dxa"/>
              <w:bottom w:w="80" w:type="dxa"/>
              <w:end w:w="120" w:type="dxa"/>
            </w:tcMar>
            <w:vAlign w:val="center"/>
          </w:tcPr>
          <w:p>
            <w:r>
              <w:t>Impasse review</w:t>
            </w:r>
          </w:p>
        </w:tc>
        <w:tc>
          <w:tcPr>
            <w:tcW w:type="dxa" w:w="6336"/>
            <w:shd w:fill="FFF2B8"/>
            <w:tcMar>
              <w:top w:w="80" w:type="dxa"/>
              <w:start w:w="120" w:type="dxa"/>
              <w:bottom w:w="80" w:type="dxa"/>
              <w:end w:w="120" w:type="dxa"/>
            </w:tcMar>
            <w:vAlign w:val="center"/>
          </w:tcPr>
          <w:p>
            <w:hyperlink r:id="rId14">
              <w:r>
                <w:rPr>
                  <w:color w:val="2E74B5"/>
                  <w:u w:val="single"/>
                </w:rPr>
                <w:t>impasse-review-form.xlsx</w:t>
              </w:r>
            </w:hyperlink>
          </w:p>
        </w:tc>
      </w:tr>
      <w:tr>
        <w:trPr>
          <w:cantSplit/>
        </w:trPr>
        <w:tc>
          <w:tcPr>
            <w:tcW w:type="dxa" w:w="3024"/>
            <w:shd w:fill="E8EEF5"/>
            <w:tcMar>
              <w:top w:w="80" w:type="dxa"/>
              <w:start w:w="120" w:type="dxa"/>
              <w:bottom w:w="80" w:type="dxa"/>
              <w:end w:w="120" w:type="dxa"/>
            </w:tcMar>
            <w:vAlign w:val="center"/>
          </w:tcPr>
          <w:p>
            <w:r>
              <w:t>Taxonomy review template</w:t>
            </w:r>
          </w:p>
        </w:tc>
        <w:tc>
          <w:tcPr>
            <w:tcW w:type="dxa" w:w="6336"/>
            <w:shd w:fill="FFF2B8"/>
            <w:tcMar>
              <w:top w:w="80" w:type="dxa"/>
              <w:start w:w="120" w:type="dxa"/>
              <w:bottom w:w="80" w:type="dxa"/>
              <w:end w:w="120" w:type="dxa"/>
            </w:tcMar>
            <w:vAlign w:val="center"/>
          </w:tcPr>
          <w:p>
            <w:hyperlink r:id="rId15">
              <w:r>
                <w:rPr>
                  <w:color w:val="2E74B5"/>
                  <w:u w:val="single"/>
                </w:rPr>
                <w:t>superego-taxonomy-review-form.xlsx</w:t>
              </w:r>
            </w:hyperlink>
          </w:p>
        </w:tc>
      </w:tr>
      <w:tr>
        <w:trPr>
          <w:cantSplit/>
        </w:trPr>
        <w:tc>
          <w:tcPr>
            <w:tcW w:type="dxa" w:w="3024"/>
            <w:shd w:fill="E8EEF5"/>
            <w:tcMar>
              <w:top w:w="80" w:type="dxa"/>
              <w:start w:w="120" w:type="dxa"/>
              <w:bottom w:w="80" w:type="dxa"/>
              <w:end w:w="120" w:type="dxa"/>
            </w:tcMar>
            <w:vAlign w:val="center"/>
          </w:tcPr>
          <w:p>
            <w:r>
              <w:t>Rubric coder A</w:t>
            </w:r>
          </w:p>
        </w:tc>
        <w:tc>
          <w:tcPr>
            <w:tcW w:type="dxa" w:w="6336"/>
            <w:shd w:fill="FFF2B8"/>
            <w:tcMar>
              <w:top w:w="80" w:type="dxa"/>
              <w:start w:w="120" w:type="dxa"/>
              <w:bottom w:w="80" w:type="dxa"/>
              <w:end w:w="120" w:type="dxa"/>
            </w:tcMar>
            <w:vAlign w:val="center"/>
          </w:tcPr>
          <w:p>
            <w:hyperlink r:id="rId16">
              <w:r>
                <w:rPr>
                  <w:color w:val="2E74B5"/>
                  <w:u w:val="single"/>
                </w:rPr>
                <w:t>rubric-v3-coder-a.xlsx</w:t>
              </w:r>
            </w:hyperlink>
          </w:p>
        </w:tc>
      </w:tr>
      <w:tr>
        <w:trPr>
          <w:cantSplit/>
        </w:trPr>
        <w:tc>
          <w:tcPr>
            <w:tcW w:type="dxa" w:w="3024"/>
            <w:shd w:fill="E8EEF5"/>
            <w:tcMar>
              <w:top w:w="80" w:type="dxa"/>
              <w:start w:w="120" w:type="dxa"/>
              <w:bottom w:w="80" w:type="dxa"/>
              <w:end w:w="120" w:type="dxa"/>
            </w:tcMar>
            <w:vAlign w:val="center"/>
          </w:tcPr>
          <w:p>
            <w:r>
              <w:t>Rubric coder B</w:t>
            </w:r>
          </w:p>
        </w:tc>
        <w:tc>
          <w:tcPr>
            <w:tcW w:type="dxa" w:w="6336"/>
            <w:shd w:fill="FFF2B8"/>
            <w:tcMar>
              <w:top w:w="80" w:type="dxa"/>
              <w:start w:w="120" w:type="dxa"/>
              <w:bottom w:w="80" w:type="dxa"/>
              <w:end w:w="120" w:type="dxa"/>
            </w:tcMar>
            <w:vAlign w:val="center"/>
          </w:tcPr>
          <w:p>
            <w:hyperlink r:id="rId17">
              <w:r>
                <w:rPr>
                  <w:color w:val="2E74B5"/>
                  <w:u w:val="single"/>
                </w:rPr>
                <w:t>rubric-v3-coder-b.xlsx</w:t>
              </w:r>
            </w:hyperlink>
          </w:p>
        </w:tc>
      </w:tr>
    </w:tbl>
    <w:p>
      <w:r>
        <w:br w:type="page"/>
      </w:r>
    </w:p>
    <w:p>
      <w:pPr>
        <w:pStyle w:val="Heading1"/>
        <w:keepNext/>
      </w:pPr>
      <w:r>
        <w:t>The project, from first principles</w:t>
      </w:r>
    </w:p>
    <w:p>
      <w:r>
        <w:t>We are trying to build an AI tutor that does more than produce a polished answer. The tutor should notice what kind of difficulty is visible in the learner’s words, choose a suitable teaching move, avoid revealing conclusions before the lesson evidence supports them, deliver the move clearly, and then look at what happened next.</w:t>
      </w:r>
    </w:p>
    <w:tbl>
      <w:tblPr>
        <w:tblStyle w:val="TableGrid"/>
        <w:tblW w:type="auto" w:w="0"/>
        <w:tblLayout w:type="fixed"/>
        <w:tblLook w:firstColumn="1" w:firstRow="1" w:lastColumn="0" w:lastRow="0" w:noHBand="0" w:noVBand="1" w:val="04A0"/>
      </w:tblPr>
      <w:tblGrid>
        <w:gridCol w:w="2592"/>
        <w:gridCol w:w="6768"/>
      </w:tblGrid>
      <w:tr>
        <w:trPr>
          <w:tblHeader w:val="true"/>
        </w:trPr>
        <w:tc>
          <w:tcPr>
            <w:tcW w:type="dxa" w:w="4680"/>
            <w:shd w:fill="111111"/>
            <w:tcMar>
              <w:top w:w="80" w:type="dxa"/>
              <w:start w:w="120" w:type="dxa"/>
              <w:bottom w:w="80" w:type="dxa"/>
              <w:end w:w="120" w:type="dxa"/>
            </w:tcMar>
          </w:tcPr>
          <w:p>
            <w:r>
              <w:rPr>
                <w:b/>
                <w:color w:val="FFFFFF"/>
              </w:rPr>
              <w:t>FIELD</w:t>
            </w:r>
          </w:p>
        </w:tc>
        <w:tc>
          <w:tcPr>
            <w:tcW w:type="dxa" w:w="4680"/>
            <w:shd w:fill="111111"/>
            <w:tcMar>
              <w:top w:w="80" w:type="dxa"/>
              <w:start w:w="120" w:type="dxa"/>
              <w:bottom w:w="80" w:type="dxa"/>
              <w:end w:w="120" w:type="dxa"/>
            </w:tcMar>
          </w:tcPr>
          <w:p>
            <w:r>
              <w:rPr>
                <w:b/>
                <w:color w:val="FFFFFF"/>
              </w:rPr>
              <w:t>WHAT TO ENTER</w:t>
            </w:r>
          </w:p>
        </w:tc>
      </w:tr>
      <w:tr>
        <w:trPr>
          <w:cantSplit/>
        </w:trPr>
        <w:tc>
          <w:tcPr>
            <w:tcW w:type="dxa" w:w="2592"/>
            <w:shd w:fill="E8EEF5"/>
            <w:tcMar>
              <w:top w:w="80" w:type="dxa"/>
              <w:start w:w="120" w:type="dxa"/>
              <w:bottom w:w="80" w:type="dxa"/>
              <w:end w:w="120" w:type="dxa"/>
            </w:tcMar>
            <w:vAlign w:val="top"/>
          </w:tcPr>
          <w:p>
            <w:r>
              <w:t>1. Read</w:t>
            </w:r>
          </w:p>
        </w:tc>
        <w:tc>
          <w:tcPr>
            <w:tcW w:type="dxa" w:w="6768"/>
            <w:shd w:fill="FFF2B8"/>
            <w:tcMar>
              <w:top w:w="80" w:type="dxa"/>
              <w:start w:w="120" w:type="dxa"/>
              <w:bottom w:w="80" w:type="dxa"/>
              <w:end w:w="120" w:type="dxa"/>
            </w:tcMar>
            <w:vAlign w:val="top"/>
          </w:tcPr>
          <w:p>
            <w:r>
              <w:t>What did the learner just say?</w:t>
            </w:r>
          </w:p>
        </w:tc>
      </w:tr>
      <w:tr>
        <w:trPr>
          <w:cantSplit/>
        </w:trPr>
        <w:tc>
          <w:tcPr>
            <w:tcW w:type="dxa" w:w="2592"/>
            <w:shd w:fill="E8EEF5"/>
            <w:tcMar>
              <w:top w:w="80" w:type="dxa"/>
              <w:start w:w="120" w:type="dxa"/>
              <w:bottom w:w="80" w:type="dxa"/>
              <w:end w:w="120" w:type="dxa"/>
            </w:tcMar>
            <w:vAlign w:val="top"/>
          </w:tcPr>
          <w:p>
            <w:r>
              <w:t>2. Diagnose</w:t>
            </w:r>
          </w:p>
        </w:tc>
        <w:tc>
          <w:tcPr>
            <w:tcW w:type="dxa" w:w="6768"/>
            <w:shd w:fill="FFF2B8"/>
            <w:tcMar>
              <w:top w:w="80" w:type="dxa"/>
              <w:start w:w="120" w:type="dxa"/>
              <w:bottom w:w="80" w:type="dxa"/>
              <w:end w:w="120" w:type="dxa"/>
            </w:tcMar>
            <w:vAlign w:val="top"/>
          </w:tcPr>
          <w:p>
            <w:r>
              <w:t>What kind of difficulty is visible here?</w:t>
            </w:r>
          </w:p>
        </w:tc>
      </w:tr>
      <w:tr>
        <w:trPr>
          <w:cantSplit/>
        </w:trPr>
        <w:tc>
          <w:tcPr>
            <w:tcW w:type="dxa" w:w="2592"/>
            <w:shd w:fill="E8EEF5"/>
            <w:tcMar>
              <w:top w:w="80" w:type="dxa"/>
              <w:start w:w="120" w:type="dxa"/>
              <w:bottom w:w="80" w:type="dxa"/>
              <w:end w:w="120" w:type="dxa"/>
            </w:tcMar>
            <w:vAlign w:val="top"/>
          </w:tcPr>
          <w:p>
            <w:r>
              <w:t>3. Choose</w:t>
            </w:r>
          </w:p>
        </w:tc>
        <w:tc>
          <w:tcPr>
            <w:tcW w:type="dxa" w:w="6768"/>
            <w:shd w:fill="FFF2B8"/>
            <w:tcMar>
              <w:top w:w="80" w:type="dxa"/>
              <w:start w:w="120" w:type="dxa"/>
              <w:bottom w:w="80" w:type="dxa"/>
              <w:end w:w="120" w:type="dxa"/>
            </w:tcMar>
            <w:vAlign w:val="top"/>
          </w:tcPr>
          <w:p>
            <w:r>
              <w:t>What teaching move fits that difficulty?</w:t>
            </w:r>
          </w:p>
        </w:tc>
      </w:tr>
      <w:tr>
        <w:trPr>
          <w:cantSplit/>
        </w:trPr>
        <w:tc>
          <w:tcPr>
            <w:tcW w:type="dxa" w:w="2592"/>
            <w:shd w:fill="E8EEF5"/>
            <w:tcMar>
              <w:top w:w="80" w:type="dxa"/>
              <w:start w:w="120" w:type="dxa"/>
              <w:bottom w:w="80" w:type="dxa"/>
              <w:end w:w="120" w:type="dxa"/>
            </w:tcMar>
            <w:vAlign w:val="top"/>
          </w:tcPr>
          <w:p>
            <w:r>
              <w:t>4. Check</w:t>
            </w:r>
          </w:p>
        </w:tc>
        <w:tc>
          <w:tcPr>
            <w:tcW w:type="dxa" w:w="6768"/>
            <w:shd w:fill="FFF2B8"/>
            <w:tcMar>
              <w:top w:w="80" w:type="dxa"/>
              <w:start w:w="120" w:type="dxa"/>
              <w:bottom w:w="80" w:type="dxa"/>
              <w:end w:w="120" w:type="dxa"/>
            </w:tcMar>
            <w:vAlign w:val="top"/>
          </w:tcPr>
          <w:p>
            <w:r>
              <w:t>Is that move and conclusion allowed by the lesson evidence?</w:t>
            </w:r>
          </w:p>
        </w:tc>
      </w:tr>
      <w:tr>
        <w:trPr>
          <w:cantSplit/>
        </w:trPr>
        <w:tc>
          <w:tcPr>
            <w:tcW w:type="dxa" w:w="2592"/>
            <w:shd w:fill="E8EEF5"/>
            <w:tcMar>
              <w:top w:w="80" w:type="dxa"/>
              <w:start w:w="120" w:type="dxa"/>
              <w:bottom w:w="80" w:type="dxa"/>
              <w:end w:w="120" w:type="dxa"/>
            </w:tcMar>
            <w:vAlign w:val="top"/>
          </w:tcPr>
          <w:p>
            <w:r>
              <w:t>5. Speak</w:t>
            </w:r>
          </w:p>
        </w:tc>
        <w:tc>
          <w:tcPr>
            <w:tcW w:type="dxa" w:w="6768"/>
            <w:shd w:fill="FFF2B8"/>
            <w:tcMar>
              <w:top w:w="80" w:type="dxa"/>
              <w:start w:w="120" w:type="dxa"/>
              <w:bottom w:w="80" w:type="dxa"/>
              <w:end w:w="120" w:type="dxa"/>
            </w:tcMar>
            <w:vAlign w:val="top"/>
          </w:tcPr>
          <w:p>
            <w:r>
              <w:t>Did the final tutor reply actually carry out the move?</w:t>
            </w:r>
          </w:p>
        </w:tc>
      </w:tr>
      <w:tr>
        <w:trPr>
          <w:cantSplit/>
        </w:trPr>
        <w:tc>
          <w:tcPr>
            <w:tcW w:type="dxa" w:w="2592"/>
            <w:shd w:fill="E8EEF5"/>
            <w:tcMar>
              <w:top w:w="80" w:type="dxa"/>
              <w:start w:w="120" w:type="dxa"/>
              <w:bottom w:w="80" w:type="dxa"/>
              <w:end w:w="120" w:type="dxa"/>
            </w:tcMar>
            <w:vAlign w:val="top"/>
          </w:tcPr>
          <w:p>
            <w:r>
              <w:t>6. Observe</w:t>
            </w:r>
          </w:p>
        </w:tc>
        <w:tc>
          <w:tcPr>
            <w:tcW w:type="dxa" w:w="6768"/>
            <w:shd w:fill="FFF2B8"/>
            <w:tcMar>
              <w:top w:w="80" w:type="dxa"/>
              <w:start w:w="120" w:type="dxa"/>
              <w:bottom w:w="80" w:type="dxa"/>
              <w:end w:w="120" w:type="dxa"/>
            </w:tcMar>
            <w:vAlign w:val="top"/>
          </w:tcPr>
          <w:p>
            <w:r>
              <w:t>Did the learner’s next response show progress?</w:t>
            </w:r>
          </w:p>
        </w:tc>
      </w:tr>
    </w:tbl>
    <w:p>
      <w:pPr>
        <w:pStyle w:val="Heading2"/>
        <w:keepNext/>
      </w:pPr>
      <w:r>
        <w:t>What the existing tests show</w:t>
      </w:r>
    </w:p>
    <w:p>
      <w:r>
        <w:t>Small controlled tests with simulated learners show that forcing a teaching move matched to a visible learner state can improve the tutor’s immediate state-appropriate conduct compared with forcing a named mismatched move.</w:t>
      </w:r>
    </w:p>
    <w:p>
      <w:pPr>
        <w:pStyle w:val="Heading2"/>
        <w:keepNext/>
      </w:pPr>
      <w:r>
        <w:t>What those tests do not show</w:t>
      </w:r>
    </w:p>
    <w:p>
      <w:pPr>
        <w:pStyle w:val="ListBullet"/>
        <w:keepLines/>
      </w:pPr>
      <w:r>
        <w:t>They do not prove that people agree with the system’s interpretation of the learner.</w:t>
      </w:r>
    </w:p>
    <w:p>
      <w:pPr>
        <w:pStyle w:val="ListBullet"/>
        <w:keepLines/>
      </w:pPr>
      <w:r>
        <w:t>They do not prove that each lesson’s evidence rules are correctly authored.</w:t>
      </w:r>
    </w:p>
    <w:p>
      <w:pPr>
        <w:pStyle w:val="ListBullet"/>
        <w:keepLines/>
      </w:pPr>
      <w:r>
        <w:t>They do not prove that the tutor’s internal categories are stable or meaningful.</w:t>
      </w:r>
    </w:p>
    <w:p>
      <w:pPr>
        <w:pStyle w:val="ListBullet"/>
        <w:keepLines/>
      </w:pPr>
      <w:r>
        <w:t>They do not prove that a proposed scoring guide matches informed human judgment.</w:t>
      </w:r>
    </w:p>
    <w:p>
      <w:pPr>
        <w:pStyle w:val="ListBullet"/>
        <w:keepLines/>
      </w:pPr>
      <w:r>
        <w:t>They do not prove that real learners learn, transfer knowledge, or retain it.</w:t>
      </w:r>
    </w:p>
    <w:tbl>
      <w:tblPr>
        <w:tblW w:type="auto" w:w="0"/>
        <w:tblLayout w:type="fixed"/>
        <w:tblLook w:firstColumn="1" w:firstRow="1" w:lastColumn="0" w:lastRow="0" w:noHBand="0" w:noVBand="1" w:val="04A0"/>
      </w:tblPr>
      <w:tblGrid>
        <w:gridCol w:w="9360"/>
      </w:tblGrid>
      <w:tr>
        <w:trPr>
          <w:cantSplit/>
        </w:trPr>
        <w:tc>
          <w:tcPr>
            <w:tcW w:type="dxa" w:w="9360"/>
            <w:shd w:fill="E8EEF5"/>
            <w:tcMar>
              <w:top w:w="150" w:type="dxa"/>
              <w:start w:w="180" w:type="dxa"/>
              <w:bottom w:w="150" w:type="dxa"/>
              <w:end w:w="180" w:type="dxa"/>
            </w:tcMar>
          </w:tcPr>
          <w:p>
            <w:pPr>
              <w:spacing w:after="60"/>
            </w:pPr>
            <w:r>
              <w:rPr>
                <w:b/>
                <w:color w:val="111111"/>
              </w:rPr>
              <w:t>Why the human tasks exist</w:t>
            </w:r>
          </w:p>
          <w:p>
            <w:pPr>
              <w:spacing w:after="0"/>
            </w:pPr>
            <w:r>
              <w:t>The tutor must not be allowed to validate its own lesson logic, its own labels, its own internal critic, and its own scores. Tasks 1–5 add independent human judgment at those points. Task 6 asks the larger outcome question: does the tutor help real people learn?</w:t>
            </w:r>
          </w:p>
        </w:tc>
      </w:tr>
    </w:tbl>
    <w:p>
      <w:pPr>
        <w:spacing w:after="0"/>
      </w:pPr>
    </w:p>
    <w:p>
      <w:r>
        <w:br w:type="page"/>
      </w:r>
    </w:p>
    <w:p>
      <w:pPr>
        <w:spacing w:after="40"/>
      </w:pPr>
      <w:r>
        <w:rPr>
          <w:rFonts w:ascii="Calibri" w:hAnsi="Calibri"/>
          <w:b/>
          <w:color w:val="E63946"/>
          <w:sz w:val="18"/>
        </w:rPr>
        <w:t>TASK 1  •  READY · TWO INDEPENDENT REVIEWERS</w:t>
      </w:r>
    </w:p>
    <w:p>
      <w:pPr>
        <w:pStyle w:val="Heading1"/>
        <w:keepNext/>
      </w:pPr>
      <w:r>
        <w:t>Review the proof and release rules</w:t>
      </w:r>
    </w:p>
    <w:p>
      <w:pPr>
        <w:pStyle w:val="Heading2"/>
        <w:keepNext/>
      </w:pPr>
      <w:r>
        <w:t>What are we trying to do?</w:t>
      </w:r>
    </w:p>
    <w:p>
      <w:r>
        <w:t>Each proof-based teaching world contains an evidence map: which facts are public now, which rules connect them, and which conclusions are not yet justified. The tutor uses this map to avoid giving away an answer too early or treating a plausible guess as proven.</w:t>
      </w:r>
    </w:p>
    <w:p>
      <w:pPr>
        <w:pStyle w:val="Heading2"/>
        <w:keepNext/>
      </w:pPr>
      <w:r>
        <w:t>What does this contribute?</w:t>
      </w:r>
    </w:p>
    <w:p>
      <w:r>
        <w:t>Two people independently decide what the evidence permits at six moments across three worlds. Agreement supports the narrow claim that the ordinary-language evidence and encoded release timing match in this packet. Disagreement remains uncertain. This does not test learning.</w:t>
      </w:r>
    </w:p>
    <w:tbl>
      <w:tblPr>
        <w:tblW w:type="auto" w:w="0"/>
        <w:tblLayout w:type="fixed"/>
        <w:tblLook w:firstColumn="1" w:firstRow="1" w:lastColumn="0" w:lastRow="0" w:noHBand="0" w:noVBand="1" w:val="04A0"/>
      </w:tblPr>
      <w:tblGrid>
        <w:gridCol w:w="2448"/>
        <w:gridCol w:w="6912"/>
      </w:tblGrid>
      <w:tr>
        <w:tc>
          <w:tcPr>
            <w:tcW w:type="dxa" w:w="4680"/>
            <w:shd w:fill="111111"/>
            <w:tcMar>
              <w:top w:w="140" w:type="dxa"/>
              <w:start w:w="160" w:type="dxa"/>
              <w:bottom w:w="140" w:type="dxa"/>
              <w:end w:w="160" w:type="dxa"/>
            </w:tcMar>
            <w:vAlign w:val="center"/>
          </w:tcPr>
          <w:p>
            <w:r>
              <w:rPr>
                <w:b/>
                <w:color w:val="FFFFFF"/>
              </w:rPr>
              <w:t>DOWNLOAD</w:t>
            </w:r>
          </w:p>
        </w:tc>
        <w:tc>
          <w:tcPr>
            <w:tcW w:type="dxa" w:w="4680"/>
            <w:shd w:fill="E8EEF5"/>
            <w:tcMar>
              <w:top w:w="140" w:type="dxa"/>
              <w:start w:w="160" w:type="dxa"/>
              <w:bottom w:w="140" w:type="dxa"/>
              <w:end w:w="160" w:type="dxa"/>
            </w:tcMar>
            <w:vAlign w:val="center"/>
          </w:tcPr>
          <w:p>
            <w:r/>
            <w:hyperlink r:id="rId11">
              <w:r>
                <w:rPr>
                  <w:color w:val="2E74B5"/>
                  <w:u w:val="single"/>
                </w:rPr>
                <w:t>Proof review workbook</w:t>
              </w:r>
            </w:hyperlink>
          </w:p>
        </w:tc>
      </w:tr>
    </w:tbl>
    <w:p>
      <w:pPr>
        <w:spacing w:after="0"/>
      </w:pPr>
    </w:p>
    <w:p>
      <w:pPr>
        <w:pStyle w:val="Heading2"/>
        <w:keepNext/>
      </w:pPr>
      <w:r>
        <w:t>Who does it</w:t>
      </w:r>
    </w:p>
    <w:p>
      <w:r>
        <w:t>Two reviewers. The organizer makes a separate copy for each person. Reviewers do not work together.</w:t>
      </w:r>
    </w:p>
    <w:p>
      <w:pPr>
        <w:pStyle w:val="Heading2"/>
        <w:keepNext/>
      </w:pPr>
      <w:r>
        <w:t>Step-by-step procedure</w:t>
      </w:r>
    </w:p>
    <w:p>
      <w:pPr>
        <w:spacing w:after="80" w:line="269" w:lineRule="auto"/>
        <w:ind w:left="605" w:hanging="461"/>
      </w:pPr>
      <w:r>
        <w:rPr>
          <w:b/>
        </w:rPr>
        <w:t xml:space="preserve">1.  </w:t>
      </w:r>
      <w:r>
        <w:rPr>
          <w:b/>
        </w:rPr>
        <w:t>Open the workbook.</w:t>
      </w:r>
      <w:r>
        <w:t xml:space="preserve"> Read the Start here sheet. Then open Six cases.</w:t>
      </w:r>
    </w:p>
    <w:p>
      <w:pPr>
        <w:spacing w:after="80" w:line="269" w:lineRule="auto"/>
        <w:ind w:left="605" w:hanging="461"/>
      </w:pPr>
      <w:r>
        <w:rPr>
          <w:b/>
        </w:rPr>
        <w:t xml:space="preserve">2.  </w:t>
      </w:r>
      <w:r>
        <w:rPr>
          <w:b/>
        </w:rPr>
        <w:t>Enter your reviewer ID.</w:t>
      </w:r>
      <w:r>
        <w:t xml:space="preserve"> Use the same ID in every row of your copy.</w:t>
      </w:r>
    </w:p>
    <w:p>
      <w:pPr>
        <w:spacing w:after="80" w:line="269" w:lineRule="auto"/>
        <w:ind w:left="605" w:hanging="461"/>
      </w:pPr>
      <w:r>
        <w:rPr>
          <w:b/>
        </w:rPr>
        <w:t xml:space="preserve">3.  </w:t>
      </w:r>
      <w:r>
        <w:rPr>
          <w:b/>
        </w:rPr>
        <w:t>Read one case.</w:t>
      </w:r>
      <w:r>
        <w:t xml:space="preserve"> Use only the public background, released evidence, public rules, and candidate conclusions printed in that row.</w:t>
      </w:r>
    </w:p>
    <w:p>
      <w:pPr>
        <w:spacing w:after="80" w:line="269" w:lineRule="auto"/>
        <w:ind w:left="605" w:hanging="461"/>
      </w:pPr>
      <w:r>
        <w:rPr>
          <w:b/>
        </w:rPr>
        <w:t xml:space="preserve">4.  </w:t>
      </w:r>
      <w:r>
        <w:rPr>
          <w:b/>
        </w:rPr>
        <w:t>List the available premises.</w:t>
      </w:r>
      <w:r>
        <w:t xml:space="preserve"> In Available premise IDs, enter the IDs of evidence already public at that turn, separated by commas.</w:t>
      </w:r>
    </w:p>
    <w:p>
      <w:pPr>
        <w:spacing w:after="80" w:line="269" w:lineRule="auto"/>
        <w:ind w:left="605" w:hanging="461"/>
      </w:pPr>
      <w:r>
        <w:rPr>
          <w:b/>
        </w:rPr>
        <w:t xml:space="preserve">5.  </w:t>
      </w:r>
      <w:r>
        <w:rPr>
          <w:b/>
        </w:rPr>
        <w:t>List the enabled rules.</w:t>
      </w:r>
      <w:r>
        <w:t xml:space="preserve"> Enter a rule only when every fact needed by that rule is available.</w:t>
      </w:r>
    </w:p>
    <w:p>
      <w:pPr>
        <w:spacing w:after="80" w:line="269" w:lineRule="auto"/>
        <w:ind w:left="605" w:hanging="461"/>
      </w:pPr>
      <w:r>
        <w:rPr>
          <w:b/>
        </w:rPr>
        <w:t xml:space="preserve">6.  </w:t>
      </w:r>
      <w:r>
        <w:rPr>
          <w:b/>
        </w:rPr>
        <w:t>List the licensed candidates.</w:t>
      </w:r>
      <w:r>
        <w:t xml:space="preserve"> Enter each candidate conclusion supported by the available evidence and rules.</w:t>
      </w:r>
    </w:p>
    <w:p>
      <w:pPr>
        <w:spacing w:after="80" w:line="269" w:lineRule="auto"/>
        <w:ind w:left="605" w:hanging="461"/>
      </w:pPr>
      <w:r>
        <w:rPr>
          <w:b/>
        </w:rPr>
        <w:t xml:space="preserve">7.  </w:t>
      </w:r>
      <w:r>
        <w:rPr>
          <w:b/>
        </w:rPr>
        <w:t>List the forbidden candidates.</w:t>
      </w:r>
      <w:r>
        <w:t xml:space="preserve"> Enter every remaining candidate. In a determinate case every candidate must appear in either Licensed or Forbidden.</w:t>
      </w:r>
    </w:p>
    <w:p>
      <w:pPr>
        <w:spacing w:after="80" w:line="269" w:lineRule="auto"/>
        <w:ind w:left="605" w:hanging="461"/>
      </w:pPr>
      <w:r>
        <w:rPr>
          <w:b/>
        </w:rPr>
        <w:t xml:space="preserve">8.  </w:t>
      </w:r>
      <w:r>
        <w:rPr>
          <w:b/>
        </w:rPr>
        <w:t>Mark uncertainty honestly.</w:t>
      </w:r>
      <w:r>
        <w:t xml:space="preserve"> If a field is unclear, choose indeterminate, name the unclear field or fields, and explain the problem in Notes.</w:t>
      </w:r>
    </w:p>
    <w:p>
      <w:pPr>
        <w:spacing w:after="80" w:line="269" w:lineRule="auto"/>
        <w:ind w:left="605" w:hanging="461"/>
      </w:pPr>
      <w:r>
        <w:rPr>
          <w:b/>
        </w:rPr>
        <w:t xml:space="preserve">9.  </w:t>
      </w:r>
      <w:r>
        <w:rPr>
          <w:b/>
        </w:rPr>
        <w:t>Complete all six rows.</w:t>
      </w:r>
      <w:r>
        <w:t xml:space="preserve"> Do not consult the other reviewer or a machine answer key.</w:t>
      </w:r>
    </w:p>
    <w:p>
      <w:pPr>
        <w:spacing w:after="80" w:line="269" w:lineRule="auto"/>
        <w:ind w:left="605" w:hanging="461"/>
      </w:pPr>
      <w:r>
        <w:rPr>
          <w:b/>
        </w:rPr>
        <w:t xml:space="preserve">10.  </w:t>
      </w:r>
      <w:r>
        <w:rPr>
          <w:b/>
        </w:rPr>
        <w:t>Save and return your copy.</w:t>
      </w:r>
      <w:r>
        <w:t xml:space="preserve"> Use a new filename containing your reviewer ID. Do not edit it after returning it.</w:t>
      </w:r>
    </w:p>
    <w:p>
      <w:pPr>
        <w:pStyle w:val="Heading2"/>
        <w:keepNext/>
      </w:pPr>
      <w:r>
        <w:t>What the yellow columns mean</w:t>
      </w:r>
    </w:p>
    <w:tbl>
      <w:tblPr>
        <w:tblStyle w:val="TableGrid"/>
        <w:tblW w:type="auto" w:w="0"/>
        <w:tblLayout w:type="fixed"/>
        <w:tblLook w:firstColumn="1" w:firstRow="1" w:lastColumn="0" w:lastRow="0" w:noHBand="0" w:noVBand="1" w:val="04A0"/>
      </w:tblPr>
      <w:tblGrid>
        <w:gridCol w:w="2592"/>
        <w:gridCol w:w="6768"/>
      </w:tblGrid>
      <w:tr>
        <w:trPr>
          <w:tblHeader w:val="true"/>
        </w:trPr>
        <w:tc>
          <w:tcPr>
            <w:tcW w:type="dxa" w:w="4680"/>
            <w:shd w:fill="111111"/>
            <w:tcMar>
              <w:top w:w="80" w:type="dxa"/>
              <w:start w:w="120" w:type="dxa"/>
              <w:bottom w:w="80" w:type="dxa"/>
              <w:end w:w="120" w:type="dxa"/>
            </w:tcMar>
          </w:tcPr>
          <w:p>
            <w:r>
              <w:rPr>
                <w:b/>
                <w:color w:val="FFFFFF"/>
              </w:rPr>
              <w:t>FIELD</w:t>
            </w:r>
          </w:p>
        </w:tc>
        <w:tc>
          <w:tcPr>
            <w:tcW w:type="dxa" w:w="4680"/>
            <w:shd w:fill="111111"/>
            <w:tcMar>
              <w:top w:w="80" w:type="dxa"/>
              <w:start w:w="120" w:type="dxa"/>
              <w:bottom w:w="80" w:type="dxa"/>
              <w:end w:w="120" w:type="dxa"/>
            </w:tcMar>
          </w:tcPr>
          <w:p>
            <w:r>
              <w:rPr>
                <w:b/>
                <w:color w:val="FFFFFF"/>
              </w:rPr>
              <w:t>WHAT TO ENTER</w:t>
            </w:r>
          </w:p>
        </w:tc>
      </w:tr>
      <w:tr>
        <w:trPr>
          <w:cantSplit/>
        </w:trPr>
        <w:tc>
          <w:tcPr>
            <w:tcW w:type="dxa" w:w="2592"/>
            <w:shd w:fill="E8EEF5"/>
            <w:tcMar>
              <w:top w:w="80" w:type="dxa"/>
              <w:start w:w="120" w:type="dxa"/>
              <w:bottom w:w="80" w:type="dxa"/>
              <w:end w:w="120" w:type="dxa"/>
            </w:tcMar>
            <w:vAlign w:val="top"/>
          </w:tcPr>
          <w:p>
            <w:r>
              <w:t>Available premise IDs</w:t>
            </w:r>
          </w:p>
        </w:tc>
        <w:tc>
          <w:tcPr>
            <w:tcW w:type="dxa" w:w="6768"/>
            <w:shd w:fill="FFF2B8"/>
            <w:tcMar>
              <w:top w:w="80" w:type="dxa"/>
              <w:start w:w="120" w:type="dxa"/>
              <w:bottom w:w="80" w:type="dxa"/>
              <w:end w:w="120" w:type="dxa"/>
            </w:tcMar>
            <w:vAlign w:val="top"/>
          </w:tcPr>
          <w:p>
            <w:r>
              <w:t>Evidence that is publicly available at the case’s release turn.</w:t>
            </w:r>
          </w:p>
        </w:tc>
      </w:tr>
      <w:tr>
        <w:trPr>
          <w:cantSplit/>
        </w:trPr>
        <w:tc>
          <w:tcPr>
            <w:tcW w:type="dxa" w:w="2592"/>
            <w:shd w:fill="E8EEF5"/>
            <w:tcMar>
              <w:top w:w="80" w:type="dxa"/>
              <w:start w:w="120" w:type="dxa"/>
              <w:bottom w:w="80" w:type="dxa"/>
              <w:end w:w="120" w:type="dxa"/>
            </w:tcMar>
            <w:vAlign w:val="top"/>
          </w:tcPr>
          <w:p>
            <w:r>
              <w:t>Enabled rule IDs</w:t>
            </w:r>
          </w:p>
        </w:tc>
        <w:tc>
          <w:tcPr>
            <w:tcW w:type="dxa" w:w="6768"/>
            <w:shd w:fill="FFF2B8"/>
            <w:tcMar>
              <w:top w:w="80" w:type="dxa"/>
              <w:start w:w="120" w:type="dxa"/>
              <w:bottom w:w="80" w:type="dxa"/>
              <w:end w:w="120" w:type="dxa"/>
            </w:tcMar>
            <w:vAlign w:val="top"/>
          </w:tcPr>
          <w:p>
            <w:r>
              <w:t>Rules whose full conditions are satisfied by the available evidence.</w:t>
            </w:r>
          </w:p>
        </w:tc>
      </w:tr>
      <w:tr>
        <w:trPr>
          <w:cantSplit/>
        </w:trPr>
        <w:tc>
          <w:tcPr>
            <w:tcW w:type="dxa" w:w="2592"/>
            <w:shd w:fill="E8EEF5"/>
            <w:tcMar>
              <w:top w:w="80" w:type="dxa"/>
              <w:start w:w="120" w:type="dxa"/>
              <w:bottom w:w="80" w:type="dxa"/>
              <w:end w:w="120" w:type="dxa"/>
            </w:tcMar>
            <w:vAlign w:val="top"/>
          </w:tcPr>
          <w:p>
            <w:r>
              <w:t>Licensed candidate IDs</w:t>
            </w:r>
          </w:p>
        </w:tc>
        <w:tc>
          <w:tcPr>
            <w:tcW w:type="dxa" w:w="6768"/>
            <w:shd w:fill="FFF2B8"/>
            <w:tcMar>
              <w:top w:w="80" w:type="dxa"/>
              <w:start w:w="120" w:type="dxa"/>
              <w:bottom w:w="80" w:type="dxa"/>
              <w:end w:w="120" w:type="dxa"/>
            </w:tcMar>
            <w:vAlign w:val="top"/>
          </w:tcPr>
          <w:p>
            <w:r>
              <w:t>Conclusions supported by those facts and rules.</w:t>
            </w:r>
          </w:p>
        </w:tc>
      </w:tr>
      <w:tr>
        <w:trPr>
          <w:cantSplit/>
        </w:trPr>
        <w:tc>
          <w:tcPr>
            <w:tcW w:type="dxa" w:w="2592"/>
            <w:shd w:fill="E8EEF5"/>
            <w:tcMar>
              <w:top w:w="80" w:type="dxa"/>
              <w:start w:w="120" w:type="dxa"/>
              <w:bottom w:w="80" w:type="dxa"/>
              <w:end w:w="120" w:type="dxa"/>
            </w:tcMar>
            <w:vAlign w:val="top"/>
          </w:tcPr>
          <w:p>
            <w:r>
              <w:t>Forbidden candidate IDs</w:t>
            </w:r>
          </w:p>
        </w:tc>
        <w:tc>
          <w:tcPr>
            <w:tcW w:type="dxa" w:w="6768"/>
            <w:shd w:fill="FFF2B8"/>
            <w:tcMar>
              <w:top w:w="80" w:type="dxa"/>
              <w:start w:w="120" w:type="dxa"/>
              <w:bottom w:w="80" w:type="dxa"/>
              <w:end w:w="120" w:type="dxa"/>
            </w:tcMar>
            <w:vAlign w:val="top"/>
          </w:tcPr>
          <w:p>
            <w:r>
              <w:t>Listed conclusions not yet supported.</w:t>
            </w:r>
          </w:p>
        </w:tc>
      </w:tr>
      <w:tr>
        <w:trPr>
          <w:cantSplit/>
        </w:trPr>
        <w:tc>
          <w:tcPr>
            <w:tcW w:type="dxa" w:w="2592"/>
            <w:shd w:fill="E8EEF5"/>
            <w:tcMar>
              <w:top w:w="80" w:type="dxa"/>
              <w:start w:w="120" w:type="dxa"/>
              <w:bottom w:w="80" w:type="dxa"/>
              <w:end w:w="120" w:type="dxa"/>
            </w:tcMar>
            <w:vAlign w:val="top"/>
          </w:tcPr>
          <w:p>
            <w:r>
              <w:t>Disposition</w:t>
            </w:r>
          </w:p>
        </w:tc>
        <w:tc>
          <w:tcPr>
            <w:tcW w:type="dxa" w:w="6768"/>
            <w:shd w:fill="FFF2B8"/>
            <w:tcMar>
              <w:top w:w="80" w:type="dxa"/>
              <w:start w:w="120" w:type="dxa"/>
              <w:bottom w:w="80" w:type="dxa"/>
              <w:end w:w="120" w:type="dxa"/>
            </w:tcMar>
            <w:vAlign w:val="top"/>
          </w:tcPr>
          <w:p>
            <w:r>
              <w:t>determinate, or indeterminate when the row cannot be judged confidently.</w:t>
            </w:r>
          </w:p>
        </w:tc>
      </w:tr>
      <w:tr>
        <w:trPr>
          <w:cantSplit/>
        </w:trPr>
        <w:tc>
          <w:tcPr>
            <w:tcW w:type="dxa" w:w="2592"/>
            <w:shd w:fill="E8EEF5"/>
            <w:tcMar>
              <w:top w:w="80" w:type="dxa"/>
              <w:start w:w="120" w:type="dxa"/>
              <w:bottom w:w="80" w:type="dxa"/>
              <w:end w:w="120" w:type="dxa"/>
            </w:tcMar>
            <w:vAlign w:val="top"/>
          </w:tcPr>
          <w:p>
            <w:r>
              <w:t>Indeterminate fields</w:t>
            </w:r>
          </w:p>
        </w:tc>
        <w:tc>
          <w:tcPr>
            <w:tcW w:type="dxa" w:w="6768"/>
            <w:shd w:fill="FFF2B8"/>
            <w:tcMar>
              <w:top w:w="80" w:type="dxa"/>
              <w:start w:w="120" w:type="dxa"/>
              <w:bottom w:w="80" w:type="dxa"/>
              <w:end w:w="120" w:type="dxa"/>
            </w:tcMar>
            <w:vAlign w:val="top"/>
          </w:tcPr>
          <w:p>
            <w:r>
              <w:t>The specific field names that are unclear.</w:t>
            </w:r>
          </w:p>
        </w:tc>
      </w:tr>
      <w:tr>
        <w:trPr>
          <w:cantSplit/>
        </w:trPr>
        <w:tc>
          <w:tcPr>
            <w:tcW w:type="dxa" w:w="2592"/>
            <w:shd w:fill="E8EEF5"/>
            <w:tcMar>
              <w:top w:w="80" w:type="dxa"/>
              <w:start w:w="120" w:type="dxa"/>
              <w:bottom w:w="80" w:type="dxa"/>
              <w:end w:w="120" w:type="dxa"/>
            </w:tcMar>
            <w:vAlign w:val="top"/>
          </w:tcPr>
          <w:p>
            <w:r>
              <w:t>Notes</w:t>
            </w:r>
          </w:p>
        </w:tc>
        <w:tc>
          <w:tcPr>
            <w:tcW w:type="dxa" w:w="6768"/>
            <w:shd w:fill="FFF2B8"/>
            <w:tcMar>
              <w:top w:w="80" w:type="dxa"/>
              <w:start w:w="120" w:type="dxa"/>
              <w:bottom w:w="80" w:type="dxa"/>
              <w:end w:w="120" w:type="dxa"/>
            </w:tcMar>
            <w:vAlign w:val="top"/>
          </w:tcPr>
          <w:p>
            <w:r>
              <w:t>A short explanation of uncertainty or an apparent authoring defect.</w:t>
            </w:r>
          </w:p>
        </w:tc>
      </w:tr>
    </w:tbl>
    <w:tbl>
      <w:tblPr>
        <w:tblW w:type="auto" w:w="0"/>
        <w:tblLayout w:type="fixed"/>
        <w:tblLook w:firstColumn="1" w:firstRow="1" w:lastColumn="0" w:lastRow="0" w:noHBand="0" w:noVBand="1" w:val="04A0"/>
      </w:tblPr>
      <w:tblGrid>
        <w:gridCol w:w="9360"/>
      </w:tblGrid>
      <w:tr>
        <w:trPr>
          <w:cantSplit/>
        </w:trPr>
        <w:tc>
          <w:tcPr>
            <w:tcW w:type="dxa" w:w="9360"/>
            <w:shd w:fill="FFF2B8"/>
            <w:tcMar>
              <w:top w:w="150" w:type="dxa"/>
              <w:start w:w="180" w:type="dxa"/>
              <w:bottom w:w="150" w:type="dxa"/>
              <w:end w:w="180" w:type="dxa"/>
            </w:tcMar>
          </w:tcPr>
          <w:p>
            <w:pPr>
              <w:spacing w:after="60"/>
            </w:pPr>
            <w:r>
              <w:rPr>
                <w:b/>
                <w:color w:val="111111"/>
              </w:rPr>
              <w:t>Finished when</w:t>
            </w:r>
          </w:p>
          <w:p>
            <w:pPr>
              <w:spacing w:after="0"/>
            </w:pPr>
            <w:r>
              <w:t>Both reviewers have independently returned all six cases and every uncertainty is explicit. The organizer compares the frozen files and does not rewrite sealed historical results.</w:t>
            </w:r>
          </w:p>
        </w:tc>
      </w:tr>
    </w:tbl>
    <w:p>
      <w:pPr>
        <w:spacing w:after="0"/>
      </w:pPr>
    </w:p>
    <w:p>
      <w:r>
        <w:br w:type="page"/>
      </w:r>
    </w:p>
    <w:p>
      <w:pPr>
        <w:spacing w:after="40"/>
      </w:pPr>
      <w:r>
        <w:rPr>
          <w:rFonts w:ascii="Calibri" w:hAnsi="Calibri"/>
          <w:b/>
          <w:color w:val="E63946"/>
          <w:sz w:val="18"/>
        </w:rPr>
        <w:t>TASK 2  •  READY · CODER A AND CODER B</w:t>
      </w:r>
    </w:p>
    <w:p>
      <w:pPr>
        <w:pStyle w:val="Heading1"/>
        <w:keepNext/>
      </w:pPr>
      <w:r>
        <w:t>Label the learner state and visible tutor move</w:t>
      </w:r>
    </w:p>
    <w:p>
      <w:pPr>
        <w:pStyle w:val="Heading2"/>
        <w:keepNext/>
      </w:pPr>
      <w:r>
        <w:t>What are we trying to do?</w:t>
      </w:r>
    </w:p>
    <w:p>
      <w:r>
        <w:t>The adaptive tutor first identifies the learner’s local difficulty—such as urgency, mockery, confusion, or a grievance—and chooses a teaching move intended for that difficulty. The final reply should visibly carry out that move.</w:t>
      </w:r>
    </w:p>
    <w:p>
      <w:pPr>
        <w:pStyle w:val="Heading2"/>
        <w:keepNext/>
      </w:pPr>
      <w:r>
        <w:t>What does this contribute?</w:t>
      </w:r>
    </w:p>
    <w:p>
      <w:r>
        <w:t>Two people read only the public learner message and tutor reply. Their labels check whether human readers can see the learner states claimed by the system and whether the intended teaching moves survive into the final reply. This does not show whether the learner understood or learned.</w:t>
      </w:r>
    </w:p>
    <w:tbl>
      <w:tblPr>
        <w:tblW w:type="auto" w:w="0"/>
        <w:tblLayout w:type="fixed"/>
        <w:tblLook w:firstColumn="1" w:firstRow="1" w:lastColumn="0" w:lastRow="0" w:noHBand="0" w:noVBand="1" w:val="04A0"/>
      </w:tblPr>
      <w:tblGrid>
        <w:gridCol w:w="2448"/>
        <w:gridCol w:w="6912"/>
      </w:tblGrid>
      <w:tr>
        <w:tc>
          <w:tcPr>
            <w:tcW w:type="dxa" w:w="4680"/>
            <w:shd w:fill="111111"/>
            <w:tcMar>
              <w:top w:w="140" w:type="dxa"/>
              <w:start w:w="160" w:type="dxa"/>
              <w:bottom w:w="140" w:type="dxa"/>
              <w:end w:w="160" w:type="dxa"/>
            </w:tcMar>
            <w:vAlign w:val="center"/>
          </w:tcPr>
          <w:p>
            <w:r>
              <w:rPr>
                <w:b/>
                <w:color w:val="FFFFFF"/>
              </w:rPr>
              <w:t>DOWNLOAD</w:t>
            </w:r>
          </w:p>
        </w:tc>
        <w:tc>
          <w:tcPr>
            <w:tcW w:type="dxa" w:w="4680"/>
            <w:shd w:fill="E8EEF5"/>
            <w:tcMar>
              <w:top w:w="140" w:type="dxa"/>
              <w:start w:w="160" w:type="dxa"/>
              <w:bottom w:w="140" w:type="dxa"/>
              <w:end w:w="160" w:type="dxa"/>
            </w:tcMar>
            <w:vAlign w:val="center"/>
          </w:tcPr>
          <w:p>
            <w:r/>
            <w:hyperlink r:id="rId12">
              <w:r>
                <w:rPr>
                  <w:color w:val="2E74B5"/>
                  <w:u w:val="single"/>
                </w:rPr>
                <w:t>Coder A workbook</w:t>
              </w:r>
            </w:hyperlink>
            <w:r>
              <w:br/>
            </w:r>
            <w:hyperlink r:id="rId13">
              <w:r>
                <w:rPr>
                  <w:color w:val="2E74B5"/>
                  <w:u w:val="single"/>
                </w:rPr>
                <w:t>Coder B workbook</w:t>
              </w:r>
            </w:hyperlink>
          </w:p>
        </w:tc>
      </w:tr>
    </w:tbl>
    <w:p>
      <w:pPr>
        <w:spacing w:after="0"/>
      </w:pPr>
    </w:p>
    <w:p>
      <w:pPr>
        <w:pStyle w:val="Heading2"/>
        <w:keepNext/>
      </w:pPr>
      <w:r>
        <w:t>Who does it</w:t>
      </w:r>
    </w:p>
    <w:p>
      <w:r>
        <w:t>Two independent coders. Each person receives only their assigned workbook. The cases are ordered differently.</w:t>
      </w:r>
    </w:p>
    <w:p>
      <w:pPr>
        <w:pStyle w:val="Heading2"/>
        <w:keepNext/>
      </w:pPr>
      <w:r>
        <w:t>Step-by-step procedure</w:t>
      </w:r>
    </w:p>
    <w:p>
      <w:pPr>
        <w:spacing w:after="80" w:line="269" w:lineRule="auto"/>
        <w:ind w:left="605" w:hanging="461"/>
      </w:pPr>
      <w:r>
        <w:rPr>
          <w:b/>
        </w:rPr>
        <w:t xml:space="preserve">1.  </w:t>
      </w:r>
      <w:r>
        <w:rPr>
          <w:b/>
        </w:rPr>
        <w:t>Open your assigned workbook.</w:t>
      </w:r>
      <w:r>
        <w:t xml:space="preserve"> Coder A uses the A file; coder B uses the B file. Read Start here and Codebook before Coding.</w:t>
      </w:r>
    </w:p>
    <w:p>
      <w:pPr>
        <w:spacing w:after="80" w:line="269" w:lineRule="auto"/>
        <w:ind w:left="605" w:hanging="461"/>
      </w:pPr>
      <w:r>
        <w:rPr>
          <w:b/>
        </w:rPr>
        <w:t xml:space="preserve">2.  </w:t>
      </w:r>
      <w:r>
        <w:rPr>
          <w:b/>
        </w:rPr>
        <w:t>Read one learner turn.</w:t>
      </w:r>
      <w:r>
        <w:t xml:space="preserve"> Choose exactly one learner-state label when the state is clear. Do not infer the experiment’s intended state.</w:t>
      </w:r>
    </w:p>
    <w:p>
      <w:pPr>
        <w:spacing w:after="80" w:line="269" w:lineRule="auto"/>
        <w:ind w:left="605" w:hanging="461"/>
      </w:pPr>
      <w:r>
        <w:rPr>
          <w:b/>
        </w:rPr>
        <w:t xml:space="preserve">3.  </w:t>
      </w:r>
      <w:r>
        <w:rPr>
          <w:b/>
        </w:rPr>
        <w:t>Quote the learner evidence.</w:t>
      </w:r>
      <w:r>
        <w:t xml:space="preserve"> Copy the shortest phrase that supports the state label.</w:t>
      </w:r>
    </w:p>
    <w:p>
      <w:pPr>
        <w:spacing w:after="80" w:line="269" w:lineRule="auto"/>
        <w:ind w:left="605" w:hanging="461"/>
      </w:pPr>
      <w:r>
        <w:rPr>
          <w:b/>
        </w:rPr>
        <w:t xml:space="preserve">4.  </w:t>
      </w:r>
      <w:r>
        <w:rPr>
          <w:b/>
        </w:rPr>
        <w:t>Read the tutor reply.</w:t>
      </w:r>
      <w:r>
        <w:t xml:space="preserve"> Choose every move that is clearly visible. Use Move 1, Move 2, and Move 3 if the reply combines moves.</w:t>
      </w:r>
    </w:p>
    <w:p>
      <w:pPr>
        <w:spacing w:after="80" w:line="269" w:lineRule="auto"/>
        <w:ind w:left="605" w:hanging="461"/>
      </w:pPr>
      <w:r>
        <w:rPr>
          <w:b/>
        </w:rPr>
        <w:t xml:space="preserve">5.  </w:t>
      </w:r>
      <w:r>
        <w:rPr>
          <w:b/>
        </w:rPr>
        <w:t>Use none_observable by itself.</w:t>
      </w:r>
      <w:r>
        <w:t xml:space="preserve"> Do not combine it with any other move label.</w:t>
      </w:r>
    </w:p>
    <w:p>
      <w:pPr>
        <w:spacing w:after="80" w:line="269" w:lineRule="auto"/>
        <w:ind w:left="605" w:hanging="461"/>
      </w:pPr>
      <w:r>
        <w:rPr>
          <w:b/>
        </w:rPr>
        <w:t xml:space="preserve">6.  </w:t>
      </w:r>
      <w:r>
        <w:rPr>
          <w:b/>
        </w:rPr>
        <w:t>Quote the tutor evidence.</w:t>
      </w:r>
      <w:r>
        <w:t xml:space="preserve"> Copy the shortest phrase or phrases that show the move.</w:t>
      </w:r>
    </w:p>
    <w:p>
      <w:pPr>
        <w:spacing w:after="80" w:line="269" w:lineRule="auto"/>
        <w:ind w:left="605" w:hanging="461"/>
      </w:pPr>
      <w:r>
        <w:rPr>
          <w:b/>
        </w:rPr>
        <w:t xml:space="preserve">7.  </w:t>
      </w:r>
      <w:r>
        <w:rPr>
          <w:b/>
        </w:rPr>
        <w:t>Use indeterminate when needed.</w:t>
      </w:r>
      <w:r>
        <w:t xml:space="preserve"> Set the relevant disposition to indeterminate, leave its label blank, and explain the ambiguity.</w:t>
      </w:r>
    </w:p>
    <w:p>
      <w:pPr>
        <w:spacing w:after="80" w:line="269" w:lineRule="auto"/>
        <w:ind w:left="605" w:hanging="461"/>
      </w:pPr>
      <w:r>
        <w:rPr>
          <w:b/>
        </w:rPr>
        <w:t xml:space="preserve">8.  </w:t>
      </w:r>
      <w:r>
        <w:rPr>
          <w:b/>
        </w:rPr>
        <w:t>Complete all 24 cases.</w:t>
      </w:r>
      <w:r>
        <w:t xml:space="preserve"> Use only the displayed pair. Do not consult source traces, machine labels, outcomes, or the other coder.</w:t>
      </w:r>
    </w:p>
    <w:p>
      <w:pPr>
        <w:spacing w:after="80" w:line="269" w:lineRule="auto"/>
        <w:ind w:left="605" w:hanging="461"/>
      </w:pPr>
      <w:r>
        <w:rPr>
          <w:b/>
        </w:rPr>
        <w:t xml:space="preserve">9.  </w:t>
      </w:r>
      <w:r>
        <w:rPr>
          <w:b/>
        </w:rPr>
        <w:t>Complete Attestation.</w:t>
      </w:r>
      <w:r>
        <w:t xml:space="preserve"> Answer both independence questions honestly and add your initials and completion date.</w:t>
      </w:r>
    </w:p>
    <w:p>
      <w:pPr>
        <w:spacing w:after="80" w:line="269" w:lineRule="auto"/>
        <w:ind w:left="605" w:hanging="461"/>
      </w:pPr>
      <w:r>
        <w:rPr>
          <w:b/>
        </w:rPr>
        <w:t xml:space="preserve">10.  </w:t>
      </w:r>
      <w:r>
        <w:rPr>
          <w:b/>
        </w:rPr>
        <w:t>Save and return your file.</w:t>
      </w:r>
      <w:r>
        <w:t xml:space="preserve"> Do not edit it after return.</w:t>
      </w:r>
    </w:p>
    <w:tbl>
      <w:tblPr>
        <w:tblW w:type="auto" w:w="0"/>
        <w:tblLayout w:type="fixed"/>
        <w:tblLook w:firstColumn="1" w:firstRow="1" w:lastColumn="0" w:lastRow="0" w:noHBand="0" w:noVBand="1" w:val="04A0"/>
      </w:tblPr>
      <w:tblGrid>
        <w:gridCol w:w="9360"/>
      </w:tblGrid>
      <w:tr>
        <w:trPr>
          <w:cantSplit/>
        </w:trPr>
        <w:tc>
          <w:tcPr>
            <w:tcW w:type="dxa" w:w="9360"/>
            <w:shd w:fill="FFF2B8"/>
            <w:tcMar>
              <w:top w:w="150" w:type="dxa"/>
              <w:start w:w="180" w:type="dxa"/>
              <w:bottom w:w="150" w:type="dxa"/>
              <w:end w:w="180" w:type="dxa"/>
            </w:tcMar>
          </w:tcPr>
          <w:p>
            <w:pPr>
              <w:spacing w:after="60"/>
            </w:pPr>
            <w:r>
              <w:rPr>
                <w:b/>
                <w:color w:val="111111"/>
              </w:rPr>
              <w:t>Finished when</w:t>
            </w:r>
          </w:p>
          <w:p>
            <w:pPr>
              <w:spacing w:after="0"/>
            </w:pPr>
            <w:r>
              <w:t>Both independently ordered workbooks contain 24 complete judgments and truthful attestations. Disagreements and ambiguity remain visible rather than being forced into agreement.</w:t>
            </w:r>
          </w:p>
        </w:tc>
      </w:tr>
    </w:tbl>
    <w:p>
      <w:pPr>
        <w:spacing w:after="0"/>
      </w:pPr>
    </w:p>
    <w:p>
      <w:r>
        <w:br w:type="page"/>
      </w:r>
    </w:p>
    <w:p>
      <w:pPr>
        <w:spacing w:after="40"/>
      </w:pPr>
      <w:r>
        <w:rPr>
          <w:rFonts w:ascii="Calibri" w:hAnsi="Calibri"/>
          <w:b/>
          <w:color w:val="E63946"/>
          <w:sz w:val="18"/>
        </w:rPr>
        <w:t>TASK 3  •  READY · ORIGINAL PARTICIPANT</w:t>
      </w:r>
    </w:p>
    <w:p>
      <w:pPr>
        <w:pStyle w:val="Heading1"/>
        <w:keepNext/>
      </w:pPr>
      <w:r>
        <w:t>Identify communicative impasses in real sessions</w:t>
      </w:r>
    </w:p>
    <w:p>
      <w:pPr>
        <w:pStyle w:val="Heading2"/>
        <w:keepNext/>
      </w:pPr>
      <w:r>
        <w:t>What are we trying to do?</w:t>
      </w:r>
    </w:p>
    <w:p>
      <w:r>
        <w:t>We need examples of genuine communicative breakdowns: moments when learner and tutor stopped understanding one another, the task stalled, emotion blocked progress, or the tutor failed to respond to what mattered.</w:t>
      </w:r>
    </w:p>
    <w:p>
      <w:pPr>
        <w:pStyle w:val="Heading2"/>
        <w:keepNext/>
      </w:pPr>
      <w:r>
        <w:t>What does this contribute?</w:t>
      </w:r>
    </w:p>
    <w:p>
      <w:r>
        <w:t>The person who experienced the sessions provides first-person criterion labels for 29 excerpts. This creates a small real-interaction reference set for later design checks. Because it comes from one person’s sessions, it is not general evidence that the tutor succeeds or fails.</w:t>
      </w:r>
    </w:p>
    <w:tbl>
      <w:tblPr>
        <w:tblW w:type="auto" w:w="0"/>
        <w:tblLayout w:type="fixed"/>
        <w:tblLook w:firstColumn="1" w:firstRow="1" w:lastColumn="0" w:lastRow="0" w:noHBand="0" w:noVBand="1" w:val="04A0"/>
      </w:tblPr>
      <w:tblGrid>
        <w:gridCol w:w="2448"/>
        <w:gridCol w:w="6912"/>
      </w:tblGrid>
      <w:tr>
        <w:tc>
          <w:tcPr>
            <w:tcW w:type="dxa" w:w="4680"/>
            <w:shd w:fill="111111"/>
            <w:tcMar>
              <w:top w:w="140" w:type="dxa"/>
              <w:start w:w="160" w:type="dxa"/>
              <w:bottom w:w="140" w:type="dxa"/>
              <w:end w:w="160" w:type="dxa"/>
            </w:tcMar>
            <w:vAlign w:val="center"/>
          </w:tcPr>
          <w:p>
            <w:r>
              <w:rPr>
                <w:b/>
                <w:color w:val="FFFFFF"/>
              </w:rPr>
              <w:t>DOWNLOAD</w:t>
            </w:r>
          </w:p>
        </w:tc>
        <w:tc>
          <w:tcPr>
            <w:tcW w:type="dxa" w:w="4680"/>
            <w:shd w:fill="E8EEF5"/>
            <w:tcMar>
              <w:top w:w="140" w:type="dxa"/>
              <w:start w:w="160" w:type="dxa"/>
              <w:bottom w:w="140" w:type="dxa"/>
              <w:end w:w="160" w:type="dxa"/>
            </w:tcMar>
            <w:vAlign w:val="center"/>
          </w:tcPr>
          <w:p>
            <w:r/>
            <w:hyperlink r:id="rId14">
              <w:r>
                <w:rPr>
                  <w:color w:val="2E74B5"/>
                  <w:u w:val="single"/>
                </w:rPr>
                <w:t>Impasse review workbook</w:t>
              </w:r>
            </w:hyperlink>
          </w:p>
        </w:tc>
      </w:tr>
    </w:tbl>
    <w:p>
      <w:pPr>
        <w:spacing w:after="0"/>
      </w:pPr>
    </w:p>
    <w:p>
      <w:pPr>
        <w:pStyle w:val="Heading2"/>
        <w:keepNext/>
      </w:pPr>
      <w:r>
        <w:t>Who does it</w:t>
      </w:r>
    </w:p>
    <w:p>
      <w:r>
        <w:t>The person who took part in the original sessions.</w:t>
      </w:r>
    </w:p>
    <w:p>
      <w:r>
        <w:br w:type="page"/>
      </w:r>
    </w:p>
    <w:p>
      <w:pPr>
        <w:pStyle w:val="Heading2"/>
        <w:keepNext/>
      </w:pPr>
      <w:r>
        <w:t>Step-by-step procedure</w:t>
      </w:r>
    </w:p>
    <w:p>
      <w:pPr>
        <w:spacing w:after="80" w:line="269" w:lineRule="auto"/>
        <w:ind w:left="605" w:hanging="461"/>
      </w:pPr>
      <w:r>
        <w:rPr>
          <w:b/>
        </w:rPr>
        <w:t xml:space="preserve">1.  </w:t>
      </w:r>
      <w:r>
        <w:rPr>
          <w:b/>
        </w:rPr>
        <w:t>Open 29 excerpts.</w:t>
      </w:r>
      <w:r>
        <w:t xml:space="preserve"> Read the exchange in the fifth column and the next two turns or session ending in the sixth.</w:t>
      </w:r>
    </w:p>
    <w:p>
      <w:pPr>
        <w:spacing w:after="80" w:line="269" w:lineRule="auto"/>
        <w:ind w:left="605" w:hanging="461"/>
      </w:pPr>
      <w:r>
        <w:rPr>
          <w:b/>
        </w:rPr>
        <w:t xml:space="preserve">2.  </w:t>
      </w:r>
      <w:r>
        <w:rPr>
          <w:b/>
        </w:rPr>
        <w:t>Decide whether there was an impasse.</w:t>
      </w:r>
      <w:r>
        <w:t xml:space="preserve"> Choose yes only when communication stopped working—not merely because the task was difficult.</w:t>
      </w:r>
    </w:p>
    <w:p>
      <w:pPr>
        <w:spacing w:after="80" w:line="269" w:lineRule="auto"/>
        <w:ind w:left="605" w:hanging="461"/>
      </w:pPr>
      <w:r>
        <w:rPr>
          <w:b/>
        </w:rPr>
        <w:t xml:space="preserve">3.  </w:t>
      </w:r>
      <w:r>
        <w:rPr>
          <w:b/>
        </w:rPr>
        <w:t>Choose the type.</w:t>
      </w:r>
      <w:r>
        <w:t xml:space="preserve"> Use comprehension, task-framing, affective, pacing/stall, uptake/echo, or other. Use a second type only when two genuinely apply.</w:t>
      </w:r>
    </w:p>
    <w:p>
      <w:pPr>
        <w:spacing w:after="80" w:line="269" w:lineRule="auto"/>
        <w:ind w:left="605" w:hanging="461"/>
      </w:pPr>
      <w:r>
        <w:rPr>
          <w:b/>
        </w:rPr>
        <w:t xml:space="preserve">4.  </w:t>
      </w:r>
      <w:r>
        <w:rPr>
          <w:b/>
        </w:rPr>
        <w:t>Explain other.</w:t>
      </w:r>
      <w:r>
        <w:t xml:space="preserve"> If you choose other, write the kind of breakdown in Other type detail.</w:t>
      </w:r>
    </w:p>
    <w:p>
      <w:pPr>
        <w:spacing w:after="80" w:line="269" w:lineRule="auto"/>
        <w:ind w:left="605" w:hanging="461"/>
      </w:pPr>
      <w:r>
        <w:rPr>
          <w:b/>
        </w:rPr>
        <w:t xml:space="preserve">5.  </w:t>
      </w:r>
      <w:r>
        <w:rPr>
          <w:b/>
        </w:rPr>
        <w:t>Judge the tutor response.</w:t>
      </w:r>
      <w:r>
        <w:t xml:space="preserve"> Choose yes, partly, or no for whether the tutor addressed the breakdown.</w:t>
      </w:r>
    </w:p>
    <w:p>
      <w:pPr>
        <w:spacing w:after="80" w:line="269" w:lineRule="auto"/>
        <w:ind w:left="605" w:hanging="461"/>
      </w:pPr>
      <w:r>
        <w:rPr>
          <w:b/>
        </w:rPr>
        <w:t xml:space="preserve">6.  </w:t>
      </w:r>
      <w:r>
        <w:rPr>
          <w:b/>
        </w:rPr>
        <w:t>Judge resolution.</w:t>
      </w:r>
      <w:r>
        <w:t xml:space="preserve"> Choose yes, no, or session ended for whether the impasse cleared within two turns.</w:t>
      </w:r>
    </w:p>
    <w:p>
      <w:pPr>
        <w:spacing w:after="80" w:line="269" w:lineRule="auto"/>
        <w:ind w:left="605" w:hanging="461"/>
      </w:pPr>
      <w:r>
        <w:rPr>
          <w:b/>
        </w:rPr>
        <w:t xml:space="preserve">7.  </w:t>
      </w:r>
      <w:r>
        <w:rPr>
          <w:b/>
        </w:rPr>
        <w:t>Use Notes when useful.</w:t>
      </w:r>
      <w:r>
        <w:t xml:space="preserve"> Add anything important that the excerpt alone does not make obvious. Do not force a memory you do not have.</w:t>
      </w:r>
    </w:p>
    <w:p>
      <w:pPr>
        <w:spacing w:after="80" w:line="269" w:lineRule="auto"/>
        <w:ind w:left="605" w:hanging="461"/>
      </w:pPr>
      <w:r>
        <w:rPr>
          <w:b/>
        </w:rPr>
        <w:t xml:space="preserve">8.  </w:t>
      </w:r>
      <w:r>
        <w:rPr>
          <w:b/>
        </w:rPr>
        <w:t>Complete E01 through E29.</w:t>
      </w:r>
      <w:r>
        <w:t xml:space="preserve"> All 29 main excerpts are required.</w:t>
      </w:r>
    </w:p>
    <w:p>
      <w:pPr>
        <w:spacing w:after="80" w:line="269" w:lineRule="auto"/>
        <w:ind w:left="605" w:hanging="461"/>
      </w:pPr>
      <w:r>
        <w:rPr>
          <w:b/>
        </w:rPr>
        <w:t xml:space="preserve">9.  </w:t>
      </w:r>
      <w:r>
        <w:rPr>
          <w:b/>
        </w:rPr>
        <w:t>Save and return the workbook.</w:t>
      </w:r>
      <w:r>
        <w:t xml:space="preserve"> The abandoned-session candidates are not part of this task.</w:t>
      </w:r>
    </w:p>
    <w:tbl>
      <w:tblPr>
        <w:tblW w:type="auto" w:w="0"/>
        <w:tblLayout w:type="fixed"/>
        <w:tblLook w:firstColumn="1" w:firstRow="1" w:lastColumn="0" w:lastRow="0" w:noHBand="0" w:noVBand="1" w:val="04A0"/>
      </w:tblPr>
      <w:tblGrid>
        <w:gridCol w:w="9360"/>
      </w:tblGrid>
      <w:tr>
        <w:trPr>
          <w:cantSplit/>
        </w:trPr>
        <w:tc>
          <w:tcPr>
            <w:tcW w:type="dxa" w:w="9360"/>
            <w:shd w:fill="FFF2B8"/>
            <w:tcMar>
              <w:top w:w="150" w:type="dxa"/>
              <w:start w:w="180" w:type="dxa"/>
              <w:bottom w:w="150" w:type="dxa"/>
              <w:end w:w="180" w:type="dxa"/>
            </w:tcMar>
          </w:tcPr>
          <w:p>
            <w:pPr>
              <w:spacing w:after="60"/>
            </w:pPr>
            <w:r>
              <w:rPr>
                <w:b/>
                <w:color w:val="111111"/>
              </w:rPr>
              <w:t>Finished when</w:t>
            </w:r>
          </w:p>
          <w:p>
            <w:pPr>
              <w:spacing w:after="0"/>
            </w:pPr>
            <w:r>
              <w:t>E01–E29 have an impasse decision, type where applicable, tutor-response judgment, resolution judgment, and useful notes. The organizer freezes a dated copy tied to these source sessions.</w:t>
            </w:r>
          </w:p>
        </w:tc>
      </w:tr>
    </w:tbl>
    <w:p>
      <w:pPr>
        <w:spacing w:after="0"/>
      </w:pPr>
    </w:p>
    <w:p>
      <w:r>
        <w:br w:type="page"/>
      </w:r>
    </w:p>
    <w:p>
      <w:pPr>
        <w:spacing w:after="40"/>
      </w:pPr>
      <w:r>
        <w:rPr>
          <w:rFonts w:ascii="Calibri" w:hAnsi="Calibri"/>
          <w:b/>
          <w:color w:val="E63946"/>
          <w:sz w:val="18"/>
        </w:rPr>
        <w:t>TASK 4  •  READY · TWO EXPERT REVIEWERS</w:t>
      </w:r>
    </w:p>
    <w:p>
      <w:pPr>
        <w:pStyle w:val="Heading1"/>
        <w:keepNext/>
      </w:pPr>
      <w:r>
        <w:t>Classify the tutor’s internal critic comments</w:t>
      </w:r>
    </w:p>
    <w:p>
      <w:pPr>
        <w:pStyle w:val="Heading2"/>
        <w:keepNext/>
      </w:pPr>
      <w:r>
        <w:t>What are we trying to do?</w:t>
      </w:r>
    </w:p>
    <w:p>
      <w:r>
        <w:t>Some tutor versions use a second AI process—an internal critic—to identify problems in a draft answer before revision. The research groups these comments into categories such as context blindness, vagueness, emotional neglect, or memory failure.</w:t>
      </w:r>
    </w:p>
    <w:p>
      <w:pPr>
        <w:pStyle w:val="Heading2"/>
        <w:keepNext/>
      </w:pPr>
      <w:r>
        <w:t>What does this contribute?</w:t>
      </w:r>
    </w:p>
    <w:p>
      <w:r>
        <w:t>Two experts independently classify the same 40 critic comments. Their agreement tests whether the taxonomy describes stable kinds of criticism rather than one classifier’s quirks. This does not show that the critic improves tutoring or learning.</w:t>
      </w:r>
    </w:p>
    <w:tbl>
      <w:tblPr>
        <w:tblW w:type="auto" w:w="0"/>
        <w:tblLayout w:type="fixed"/>
        <w:tblLook w:firstColumn="1" w:firstRow="1" w:lastColumn="0" w:lastRow="0" w:noHBand="0" w:noVBand="1" w:val="04A0"/>
      </w:tblPr>
      <w:tblGrid>
        <w:gridCol w:w="2448"/>
        <w:gridCol w:w="6912"/>
      </w:tblGrid>
      <w:tr>
        <w:tc>
          <w:tcPr>
            <w:tcW w:type="dxa" w:w="4680"/>
            <w:shd w:fill="111111"/>
            <w:tcMar>
              <w:top w:w="140" w:type="dxa"/>
              <w:start w:w="160" w:type="dxa"/>
              <w:bottom w:w="140" w:type="dxa"/>
              <w:end w:w="160" w:type="dxa"/>
            </w:tcMar>
            <w:vAlign w:val="center"/>
          </w:tcPr>
          <w:p>
            <w:r>
              <w:rPr>
                <w:b/>
                <w:color w:val="FFFFFF"/>
              </w:rPr>
              <w:t>DOWNLOAD</w:t>
            </w:r>
          </w:p>
        </w:tc>
        <w:tc>
          <w:tcPr>
            <w:tcW w:type="dxa" w:w="4680"/>
            <w:shd w:fill="E8EEF5"/>
            <w:tcMar>
              <w:top w:w="140" w:type="dxa"/>
              <w:start w:w="160" w:type="dxa"/>
              <w:bottom w:w="140" w:type="dxa"/>
              <w:end w:w="160" w:type="dxa"/>
            </w:tcMar>
            <w:vAlign w:val="center"/>
          </w:tcPr>
          <w:p>
            <w:r/>
            <w:hyperlink r:id="rId15">
              <w:r>
                <w:rPr>
                  <w:color w:val="2E74B5"/>
                  <w:u w:val="single"/>
                </w:rPr>
                <w:t>Public Excel template — organizer adds the protected items privately</w:t>
              </w:r>
            </w:hyperlink>
          </w:p>
        </w:tc>
      </w:tr>
    </w:tbl>
    <w:p>
      <w:pPr>
        <w:spacing w:after="0"/>
      </w:pPr>
    </w:p>
    <w:p>
      <w:pPr>
        <w:pStyle w:val="Heading2"/>
        <w:keepNext/>
      </w:pPr>
      <w:r>
        <w:t>Who does it</w:t>
      </w:r>
    </w:p>
    <w:p>
      <w:r>
        <w:t>Two expert reviewers. The organizer inserts the protected blinded packet into two private copies, then sends one populated copy to each reviewer.</w:t>
      </w:r>
    </w:p>
    <w:tbl>
      <w:tblPr>
        <w:tblW w:type="auto" w:w="0"/>
        <w:tblLayout w:type="fixed"/>
        <w:tblLook w:firstColumn="1" w:firstRow="1" w:lastColumn="0" w:lastRow="0" w:noHBand="0" w:noVBand="1" w:val="04A0"/>
      </w:tblPr>
      <w:tblGrid>
        <w:gridCol w:w="9360"/>
      </w:tblGrid>
      <w:tr>
        <w:trPr>
          <w:cantSplit/>
        </w:trPr>
        <w:tc>
          <w:tcPr>
            <w:tcW w:type="dxa" w:w="9360"/>
            <w:shd w:fill="FFF2B8"/>
            <w:tcMar>
              <w:top w:w="150" w:type="dxa"/>
              <w:start w:w="180" w:type="dxa"/>
              <w:bottom w:w="150" w:type="dxa"/>
              <w:end w:w="180" w:type="dxa"/>
            </w:tcMar>
          </w:tcPr>
          <w:p>
            <w:pPr>
              <w:spacing w:after="60"/>
            </w:pPr>
            <w:r>
              <w:rPr>
                <w:b/>
                <w:color w:val="111111"/>
              </w:rPr>
              <w:t>Do not code the public template</w:t>
            </w:r>
          </w:p>
          <w:p>
            <w:pPr>
              <w:spacing w:after="0"/>
            </w:pPr>
            <w:r>
              <w:t>The downloadable workbook shows the codebook, fields, colors, and 40-row layout, but it intentionally omits the protected critic comments. Reviewers begin only after the organizer supplies a populated private copy.</w:t>
            </w:r>
          </w:p>
        </w:tc>
      </w:tr>
    </w:tbl>
    <w:p>
      <w:pPr>
        <w:spacing w:after="0"/>
      </w:pPr>
    </w:p>
    <w:p>
      <w:pPr>
        <w:pStyle w:val="Heading2"/>
        <w:keepNext/>
      </w:pPr>
      <w:r>
        <w:t>Step-by-step procedure</w:t>
      </w:r>
    </w:p>
    <w:p>
      <w:pPr>
        <w:spacing w:after="80" w:line="269" w:lineRule="auto"/>
        <w:ind w:left="605" w:hanging="461"/>
      </w:pPr>
      <w:r>
        <w:rPr>
          <w:b/>
        </w:rPr>
        <w:t xml:space="preserve">1.  </w:t>
      </w:r>
      <w:r>
        <w:rPr>
          <w:b/>
        </w:rPr>
        <w:t>Organizer: populate two private copies.</w:t>
      </w:r>
      <w:r>
        <w:t xml:space="preserve"> Replace every blue placeholder with the blinded Item ID, critic feedback, initial response, revised response, and learner context. Do not add machine labels.</w:t>
      </w:r>
    </w:p>
    <w:p>
      <w:pPr>
        <w:spacing w:after="80" w:line="269" w:lineRule="auto"/>
        <w:ind w:left="605" w:hanging="461"/>
      </w:pPr>
      <w:r>
        <w:rPr>
          <w:b/>
        </w:rPr>
        <w:t xml:space="preserve">2.  </w:t>
      </w:r>
      <w:r>
        <w:rPr>
          <w:b/>
        </w:rPr>
        <w:t>Enter your rater ID.</w:t>
      </w:r>
      <w:r>
        <w:t xml:space="preserve"> Use the same ID in every row of your copy.</w:t>
      </w:r>
    </w:p>
    <w:p>
      <w:pPr>
        <w:spacing w:after="80" w:line="269" w:lineRule="auto"/>
        <w:ind w:left="605" w:hanging="461"/>
      </w:pPr>
      <w:r>
        <w:rPr>
          <w:b/>
        </w:rPr>
        <w:t xml:space="preserve">3.  </w:t>
      </w:r>
      <w:r>
        <w:rPr>
          <w:b/>
        </w:rPr>
        <w:t>Read the Codebook.</w:t>
      </w:r>
      <w:r>
        <w:t xml:space="preserve"> The workbook contains all 12 allowed categories and their plain-English meanings.</w:t>
      </w:r>
    </w:p>
    <w:p>
      <w:pPr>
        <w:spacing w:after="80" w:line="269" w:lineRule="auto"/>
        <w:ind w:left="605" w:hanging="461"/>
      </w:pPr>
      <w:r>
        <w:rPr>
          <w:b/>
        </w:rPr>
        <w:t xml:space="preserve">4.  </w:t>
      </w:r>
      <w:r>
        <w:rPr>
          <w:b/>
        </w:rPr>
        <w:t>Read Critic feedback first.</w:t>
      </w:r>
      <w:r>
        <w:t xml:space="preserve"> This is the main text to classify.</w:t>
      </w:r>
    </w:p>
    <w:p>
      <w:pPr>
        <w:spacing w:after="80" w:line="269" w:lineRule="auto"/>
        <w:ind w:left="605" w:hanging="461"/>
      </w:pPr>
      <w:r>
        <w:rPr>
          <w:b/>
        </w:rPr>
        <w:t xml:space="preserve">5.  </w:t>
      </w:r>
      <w:r>
        <w:rPr>
          <w:b/>
        </w:rPr>
        <w:t>Use the surrounding columns only when needed.</w:t>
      </w:r>
      <w:r>
        <w:t xml:space="preserve"> Initial response, revised response, and learner context help with boundary cases.</w:t>
      </w:r>
    </w:p>
    <w:p>
      <w:pPr>
        <w:spacing w:after="80" w:line="269" w:lineRule="auto"/>
        <w:ind w:left="605" w:hanging="461"/>
      </w:pPr>
      <w:r>
        <w:rPr>
          <w:b/>
        </w:rPr>
        <w:t xml:space="preserve">6.  </w:t>
      </w:r>
      <w:r>
        <w:rPr>
          <w:b/>
        </w:rPr>
        <w:t>Choose one primary category.</w:t>
      </w:r>
      <w:r>
        <w:t xml:space="preserve"> Classify what kind of problem the feedback raises—not whether you agree that the response was bad.</w:t>
      </w:r>
    </w:p>
    <w:p>
      <w:pPr>
        <w:spacing w:after="80" w:line="269" w:lineRule="auto"/>
        <w:ind w:left="605" w:hanging="461"/>
      </w:pPr>
      <w:r>
        <w:rPr>
          <w:b/>
        </w:rPr>
        <w:t xml:space="preserve">7.  </w:t>
      </w:r>
      <w:r>
        <w:rPr>
          <w:b/>
        </w:rPr>
        <w:t>Add up to two secondary categories.</w:t>
      </w:r>
      <w:r>
        <w:t xml:space="preserve"> Use these only for genuinely co-equal additional problems.</w:t>
      </w:r>
    </w:p>
    <w:p>
      <w:pPr>
        <w:spacing w:after="80" w:line="269" w:lineRule="auto"/>
        <w:ind w:left="605" w:hanging="461"/>
      </w:pPr>
      <w:r>
        <w:rPr>
          <w:b/>
        </w:rPr>
        <w:t xml:space="preserve">8.  </w:t>
      </w:r>
      <w:r>
        <w:rPr>
          <w:b/>
        </w:rPr>
        <w:t>Record confidence.</w:t>
      </w:r>
      <w:r>
        <w:t xml:space="preserve"> 1 means guessing, 2 plausible, and 3 certain.</w:t>
      </w:r>
    </w:p>
    <w:p>
      <w:pPr>
        <w:spacing w:after="80" w:line="269" w:lineRule="auto"/>
        <w:ind w:left="605" w:hanging="461"/>
      </w:pPr>
      <w:r>
        <w:rPr>
          <w:b/>
        </w:rPr>
        <w:t xml:space="preserve">9.  </w:t>
      </w:r>
      <w:r>
        <w:rPr>
          <w:b/>
        </w:rPr>
        <w:t>Use Notes for hard cases.</w:t>
      </w:r>
      <w:r>
        <w:t xml:space="preserve"> Record disagreement with the critic or explain a close category boundary.</w:t>
      </w:r>
    </w:p>
    <w:p>
      <w:pPr>
        <w:spacing w:after="80" w:line="269" w:lineRule="auto"/>
        <w:ind w:left="605" w:hanging="461"/>
      </w:pPr>
      <w:r>
        <w:rPr>
          <w:b/>
        </w:rPr>
        <w:t xml:space="preserve">10.  </w:t>
      </w:r>
      <w:r>
        <w:rPr>
          <w:b/>
        </w:rPr>
        <w:t>Complete all 40 rows independently.</w:t>
      </w:r>
      <w:r>
        <w:t xml:space="preserve"> Do not consult machine labels or the other reviewer.</w:t>
      </w:r>
    </w:p>
    <w:p>
      <w:pPr>
        <w:spacing w:after="80" w:line="269" w:lineRule="auto"/>
        <w:ind w:left="605" w:hanging="461"/>
      </w:pPr>
      <w:r>
        <w:rPr>
          <w:b/>
        </w:rPr>
        <w:t xml:space="preserve">11.  </w:t>
      </w:r>
      <w:r>
        <w:rPr>
          <w:b/>
        </w:rPr>
        <w:t>Save and return your copy.</w:t>
      </w:r>
      <w:r>
        <w:t xml:space="preserve"> Do not edit it again after return.</w:t>
      </w:r>
    </w:p>
    <w:tbl>
      <w:tblPr>
        <w:tblW w:type="auto" w:w="0"/>
        <w:tblLayout w:type="fixed"/>
        <w:tblLook w:firstColumn="1" w:firstRow="1" w:lastColumn="0" w:lastRow="0" w:noHBand="0" w:noVBand="1" w:val="04A0"/>
      </w:tblPr>
      <w:tblGrid>
        <w:gridCol w:w="9360"/>
      </w:tblGrid>
      <w:tr>
        <w:trPr>
          <w:cantSplit/>
        </w:trPr>
        <w:tc>
          <w:tcPr>
            <w:tcW w:type="dxa" w:w="9360"/>
            <w:shd w:fill="FFF2B8"/>
            <w:tcMar>
              <w:top w:w="150" w:type="dxa"/>
              <w:start w:w="180" w:type="dxa"/>
              <w:bottom w:w="150" w:type="dxa"/>
              <w:end w:w="180" w:type="dxa"/>
            </w:tcMar>
          </w:tcPr>
          <w:p>
            <w:pPr>
              <w:spacing w:after="60"/>
            </w:pPr>
            <w:r>
              <w:rPr>
                <w:b/>
                <w:color w:val="111111"/>
              </w:rPr>
              <w:t>Finished when</w:t>
            </w:r>
          </w:p>
          <w:p>
            <w:pPr>
              <w:spacing w:after="0"/>
            </w:pPr>
            <w:r>
              <w:t>Two independent 40-item files have been returned. The organizer reports agreement and category-specific instability; low agreement is a finding, not a reason to tune away disagreement.</w:t>
            </w:r>
          </w:p>
        </w:tc>
      </w:tr>
    </w:tbl>
    <w:p>
      <w:pPr>
        <w:spacing w:after="0"/>
      </w:pPr>
    </w:p>
    <w:p>
      <w:r>
        <w:br w:type="page"/>
      </w:r>
    </w:p>
    <w:p>
      <w:pPr>
        <w:spacing w:after="40"/>
      </w:pPr>
      <w:r>
        <w:rPr>
          <w:rFonts w:ascii="Calibri" w:hAnsi="Calibri"/>
          <w:b/>
          <w:color w:val="E63946"/>
          <w:sz w:val="18"/>
        </w:rPr>
        <w:t>TASK 5  •  DECISION FIRST · THEN TWO CODERS</w:t>
      </w:r>
    </w:p>
    <w:p>
      <w:pPr>
        <w:pStyle w:val="Heading1"/>
        <w:keepNext/>
      </w:pPr>
      <w:r>
        <w:t>Decide whether to pursue rubric v3—and, if yes, score it</w:t>
      </w:r>
    </w:p>
    <w:p>
      <w:pPr>
        <w:pStyle w:val="Heading2"/>
        <w:keepNext/>
      </w:pPr>
      <w:r>
        <w:t>What are we trying to do?</w:t>
      </w:r>
    </w:p>
    <w:p>
      <w:r>
        <w:t>Rubric v3 is a proposed new way to score tutor responses. The immediate human question is narrow: does the content-accuracy score match informed human judgments on prepared examples?</w:t>
      </w:r>
    </w:p>
    <w:p>
      <w:pPr>
        <w:pStyle w:val="Heading2"/>
        <w:keepNext/>
      </w:pPr>
      <w:r>
        <w:t>What does this contribute?</w:t>
      </w:r>
    </w:p>
    <w:p>
      <w:r>
        <w:t>The project lead first decides whether a new scoring epoch is worth pursuing. If yes, two people independently score 15 development and 5 held-out items. Their work can support a prospective adoption decision; it cannot rewrite or validate historical v2.2 results.</w:t>
      </w:r>
    </w:p>
    <w:tbl>
      <w:tblPr>
        <w:tblW w:type="auto" w:w="0"/>
        <w:tblLayout w:type="fixed"/>
        <w:tblLook w:firstColumn="1" w:firstRow="1" w:lastColumn="0" w:lastRow="0" w:noHBand="0" w:noVBand="1" w:val="04A0"/>
      </w:tblPr>
      <w:tblGrid>
        <w:gridCol w:w="2448"/>
        <w:gridCol w:w="6912"/>
      </w:tblGrid>
      <w:tr>
        <w:tc>
          <w:tcPr>
            <w:tcW w:type="dxa" w:w="4680"/>
            <w:shd w:fill="111111"/>
            <w:tcMar>
              <w:top w:w="140" w:type="dxa"/>
              <w:start w:w="160" w:type="dxa"/>
              <w:bottom w:w="140" w:type="dxa"/>
              <w:end w:w="160" w:type="dxa"/>
            </w:tcMar>
            <w:vAlign w:val="center"/>
          </w:tcPr>
          <w:p>
            <w:r>
              <w:rPr>
                <w:b/>
                <w:color w:val="FFFFFF"/>
              </w:rPr>
              <w:t>DOWNLOAD</w:t>
            </w:r>
          </w:p>
        </w:tc>
        <w:tc>
          <w:tcPr>
            <w:tcW w:type="dxa" w:w="4680"/>
            <w:shd w:fill="E8EEF5"/>
            <w:tcMar>
              <w:top w:w="140" w:type="dxa"/>
              <w:start w:w="160" w:type="dxa"/>
              <w:bottom w:w="140" w:type="dxa"/>
              <w:end w:w="160" w:type="dxa"/>
            </w:tcMar>
            <w:vAlign w:val="center"/>
          </w:tcPr>
          <w:p>
            <w:r/>
            <w:hyperlink r:id="rId16">
              <w:r>
                <w:rPr>
                  <w:color w:val="2E74B5"/>
                  <w:u w:val="single"/>
                </w:rPr>
                <w:t>Coder A workbook</w:t>
              </w:r>
            </w:hyperlink>
            <w:r>
              <w:br/>
            </w:r>
            <w:hyperlink r:id="rId17">
              <w:r>
                <w:rPr>
                  <w:color w:val="2E74B5"/>
                  <w:u w:val="single"/>
                </w:rPr>
                <w:t>Coder B workbook</w:t>
              </w:r>
            </w:hyperlink>
          </w:p>
        </w:tc>
      </w:tr>
    </w:tbl>
    <w:p>
      <w:pPr>
        <w:spacing w:after="0"/>
      </w:pPr>
    </w:p>
    <w:tbl>
      <w:tblPr>
        <w:tblW w:type="auto" w:w="0"/>
        <w:tblLayout w:type="fixed"/>
        <w:tblLook w:firstColumn="1" w:firstRow="1" w:lastColumn="0" w:lastRow="0" w:noHBand="0" w:noVBand="1" w:val="04A0"/>
      </w:tblPr>
      <w:tblGrid>
        <w:gridCol w:w="9360"/>
      </w:tblGrid>
      <w:tr>
        <w:trPr>
          <w:cantSplit/>
        </w:trPr>
        <w:tc>
          <w:tcPr>
            <w:tcW w:type="dxa" w:w="9360"/>
            <w:shd w:fill="FFF2B8"/>
            <w:tcMar>
              <w:top w:w="150" w:type="dxa"/>
              <w:start w:w="180" w:type="dxa"/>
              <w:bottom w:w="150" w:type="dxa"/>
              <w:end w:w="180" w:type="dxa"/>
            </w:tcMar>
          </w:tcPr>
          <w:p>
            <w:pPr>
              <w:spacing w:after="60"/>
            </w:pPr>
            <w:r>
              <w:rPr>
                <w:b/>
                <w:color w:val="111111"/>
              </w:rPr>
              <w:t>Stop before coding</w:t>
            </w:r>
          </w:p>
          <w:p>
            <w:pPr>
              <w:spacing w:after="0"/>
            </w:pPr>
            <w:r>
              <w:t>The project lead must first decide: Do we want to consider replacing the current v2.2 scoring guide with v3? If the answer is no or not yet, nobody needs to code these 20 items.</w:t>
            </w:r>
          </w:p>
        </w:tc>
      </w:tr>
    </w:tbl>
    <w:p>
      <w:pPr>
        <w:spacing w:after="0"/>
      </w:pPr>
    </w:p>
    <w:p>
      <w:pPr>
        <w:pStyle w:val="Heading2"/>
        <w:keepNext/>
      </w:pPr>
      <w:r>
        <w:t>Step-by-step procedure if the answer is yes</w:t>
      </w:r>
    </w:p>
    <w:p>
      <w:pPr>
        <w:spacing w:after="80" w:line="269" w:lineRule="auto"/>
        <w:ind w:left="605" w:hanging="461"/>
      </w:pPr>
      <w:r>
        <w:rPr>
          <w:b/>
        </w:rPr>
        <w:t xml:space="preserve">1.  </w:t>
      </w:r>
      <w:r>
        <w:rPr>
          <w:b/>
        </w:rPr>
        <w:t>Assign coder A and coder B.</w:t>
      </w:r>
      <w:r>
        <w:t xml:space="preserve"> Each person receives only their own workbook and works independently.</w:t>
      </w:r>
    </w:p>
    <w:p>
      <w:pPr>
        <w:spacing w:after="80" w:line="269" w:lineRule="auto"/>
        <w:ind w:left="605" w:hanging="461"/>
      </w:pPr>
      <w:r>
        <w:rPr>
          <w:b/>
        </w:rPr>
        <w:t xml:space="preserve">2.  </w:t>
      </w:r>
      <w:r>
        <w:rPr>
          <w:b/>
        </w:rPr>
        <w:t>Read Start here.</w:t>
      </w:r>
      <w:r>
        <w:t xml:space="preserve"> The workbooks contain the full 1–5 content-accuracy scale.</w:t>
      </w:r>
    </w:p>
    <w:p>
      <w:pPr>
        <w:spacing w:after="80" w:line="269" w:lineRule="auto"/>
        <w:ind w:left="605" w:hanging="461"/>
      </w:pPr>
      <w:r>
        <w:rPr>
          <w:b/>
        </w:rPr>
        <w:t xml:space="preserve">3.  </w:t>
      </w:r>
      <w:r>
        <w:rPr>
          <w:b/>
        </w:rPr>
        <w:t>Complete Development first.</w:t>
      </w:r>
      <w:r>
        <w:t xml:space="preserve"> Score all 15 items before opening Held out.</w:t>
      </w:r>
    </w:p>
    <w:p>
      <w:pPr>
        <w:spacing w:after="80" w:line="269" w:lineRule="auto"/>
        <w:ind w:left="605" w:hanging="461"/>
      </w:pPr>
      <w:r>
        <w:rPr>
          <w:b/>
        </w:rPr>
        <w:t xml:space="preserve">4.  </w:t>
      </w:r>
      <w:r>
        <w:rPr>
          <w:b/>
        </w:rPr>
        <w:t>Choose applicability.</w:t>
      </w:r>
      <w:r>
        <w:t xml:space="preserve"> Use applicable when the tutor turn makes an assessable factual or domain claim. Use not_applicable only when it makes no such claim.</w:t>
      </w:r>
    </w:p>
    <w:p>
      <w:pPr>
        <w:spacing w:after="80" w:line="269" w:lineRule="auto"/>
        <w:ind w:left="605" w:hanging="461"/>
      </w:pPr>
      <w:r>
        <w:rPr>
          <w:b/>
        </w:rPr>
        <w:t xml:space="preserve">5.  </w:t>
      </w:r>
      <w:r>
        <w:rPr>
          <w:b/>
        </w:rPr>
        <w:t>Enter a score for applicable items.</w:t>
      </w:r>
      <w:r>
        <w:t xml:space="preserve"> 1 = major material error; 3 = mostly correct with a minor error; 5 = accurate and appropriately qualified. Use 2 or 4 for genuine intermediate cases.</w:t>
      </w:r>
    </w:p>
    <w:p>
      <w:pPr>
        <w:spacing w:after="80" w:line="269" w:lineRule="auto"/>
        <w:ind w:left="605" w:hanging="461"/>
      </w:pPr>
      <w:r>
        <w:rPr>
          <w:b/>
        </w:rPr>
        <w:t xml:space="preserve">6.  </w:t>
      </w:r>
      <w:r>
        <w:rPr>
          <w:b/>
        </w:rPr>
        <w:t>Leave score blank for not applicable.</w:t>
      </w:r>
      <w:r>
        <w:t xml:space="preserve"> Do not award 5 merely because a turn contains no factual claim.</w:t>
      </w:r>
    </w:p>
    <w:p>
      <w:pPr>
        <w:spacing w:after="80" w:line="269" w:lineRule="auto"/>
        <w:ind w:left="605" w:hanging="461"/>
      </w:pPr>
      <w:r>
        <w:rPr>
          <w:b/>
        </w:rPr>
        <w:t xml:space="preserve">7.  </w:t>
      </w:r>
      <w:r>
        <w:rPr>
          <w:b/>
        </w:rPr>
        <w:t>Record confidence and notes.</w:t>
      </w:r>
      <w:r>
        <w:t xml:space="preserve"> Confidence is 1–3. Use Notes for contested interpretations or borderline errors.</w:t>
      </w:r>
    </w:p>
    <w:p>
      <w:pPr>
        <w:spacing w:after="80" w:line="269" w:lineRule="auto"/>
        <w:ind w:left="605" w:hanging="461"/>
      </w:pPr>
      <w:r>
        <w:rPr>
          <w:b/>
        </w:rPr>
        <w:t xml:space="preserve">8.  </w:t>
      </w:r>
      <w:r>
        <w:rPr>
          <w:b/>
        </w:rPr>
        <w:t>Complete Held out.</w:t>
      </w:r>
      <w:r>
        <w:t xml:space="preserve"> Score the five held-out items only after Development is finished.</w:t>
      </w:r>
    </w:p>
    <w:p>
      <w:pPr>
        <w:spacing w:after="80" w:line="269" w:lineRule="auto"/>
        <w:ind w:left="605" w:hanging="461"/>
      </w:pPr>
      <w:r>
        <w:rPr>
          <w:b/>
        </w:rPr>
        <w:t xml:space="preserve">9.  </w:t>
      </w:r>
      <w:r>
        <w:rPr>
          <w:b/>
        </w:rPr>
        <w:t>Save and return both coder workbooks.</w:t>
      </w:r>
      <w:r>
        <w:t xml:space="preserve"> Machine scores remain hidden until both human files are frozen.</w:t>
      </w:r>
    </w:p>
    <w:tbl>
      <w:tblPr>
        <w:tblW w:type="auto" w:w="0"/>
        <w:tblLayout w:type="fixed"/>
        <w:tblLook w:firstColumn="1" w:firstRow="1" w:lastColumn="0" w:lastRow="0" w:noHBand="0" w:noVBand="1" w:val="04A0"/>
      </w:tblPr>
      <w:tblGrid>
        <w:gridCol w:w="9360"/>
      </w:tblGrid>
      <w:tr>
        <w:trPr>
          <w:cantSplit/>
        </w:trPr>
        <w:tc>
          <w:tcPr>
            <w:tcW w:type="dxa" w:w="9360"/>
            <w:shd w:fill="FFF2B8"/>
            <w:tcMar>
              <w:top w:w="150" w:type="dxa"/>
              <w:start w:w="180" w:type="dxa"/>
              <w:bottom w:w="150" w:type="dxa"/>
              <w:end w:w="180" w:type="dxa"/>
            </w:tcMar>
          </w:tcPr>
          <w:p>
            <w:pPr>
              <w:spacing w:after="60"/>
            </w:pPr>
            <w:r>
              <w:rPr>
                <w:b/>
                <w:color w:val="111111"/>
              </w:rPr>
              <w:t>Finished when</w:t>
            </w:r>
          </w:p>
          <w:p>
            <w:pPr>
              <w:spacing w:after="0"/>
            </w:pPr>
            <w:r>
              <w:t>The decision to pursue v3 is explicit and, if yes, both coders have returned complete development and held-out sheets. Adoption requires a separate reviewed decision; these files do not activate v3 by themselves.</w:t>
            </w:r>
          </w:p>
        </w:tc>
      </w:tr>
    </w:tbl>
    <w:p>
      <w:pPr>
        <w:spacing w:after="0"/>
      </w:pPr>
    </w:p>
    <w:p>
      <w:r>
        <w:br w:type="page"/>
      </w:r>
    </w:p>
    <w:p>
      <w:pPr>
        <w:spacing w:after="40"/>
      </w:pPr>
      <w:r>
        <w:rPr>
          <w:rFonts w:ascii="Calibri" w:hAnsi="Calibri"/>
          <w:b/>
          <w:color w:val="E63946"/>
          <w:sz w:val="18"/>
        </w:rPr>
        <w:t>TASK 6  •  BLOCKED · STUDY TEAM ONLY</w:t>
      </w:r>
    </w:p>
    <w:p>
      <w:pPr>
        <w:pStyle w:val="Heading1"/>
        <w:keepNext/>
      </w:pPr>
      <w:r>
        <w:t>Design the human learner pilot before recruiting anyone</w:t>
      </w:r>
    </w:p>
    <w:p>
      <w:pPr>
        <w:pStyle w:val="Heading2"/>
        <w:keepNext/>
      </w:pPr>
      <w:r>
        <w:t>What are we trying to do?</w:t>
      </w:r>
    </w:p>
    <w:p>
      <w:r>
        <w:t>This is the outcome study: does the canonical adaptive tutor improve real learning, immediate transfer, independently judged explanations, and delayed retention compared with a matched non-adaptive policy?</w:t>
      </w:r>
    </w:p>
    <w:p>
      <w:pPr>
        <w:pStyle w:val="Heading2"/>
        <w:keepNext/>
      </w:pPr>
      <w:r>
        <w:t>What does this contribute?</w:t>
      </w:r>
    </w:p>
    <w:p>
      <w:r>
        <w:t>A properly designed pilot would answer the project’s highest-value question. Existing participant software can be reused, but the old study contrast, consent text, and test items are not suitable for the current tutor. No participant should be recruited yet.</w:t>
      </w:r>
    </w:p>
    <w:tbl>
      <w:tblPr>
        <w:tblW w:type="auto" w:w="0"/>
        <w:tblLayout w:type="fixed"/>
        <w:tblLook w:firstColumn="1" w:firstRow="1" w:lastColumn="0" w:lastRow="0" w:noHBand="0" w:noVBand="1" w:val="04A0"/>
      </w:tblPr>
      <w:tblGrid>
        <w:gridCol w:w="9360"/>
      </w:tblGrid>
      <w:tr>
        <w:trPr>
          <w:cantSplit/>
        </w:trPr>
        <w:tc>
          <w:tcPr>
            <w:tcW w:type="dxa" w:w="9360"/>
            <w:shd w:fill="FFF2B8"/>
            <w:tcMar>
              <w:top w:w="150" w:type="dxa"/>
              <w:start w:w="180" w:type="dxa"/>
              <w:bottom w:w="150" w:type="dxa"/>
              <w:end w:w="180" w:type="dxa"/>
            </w:tcMar>
          </w:tcPr>
          <w:p>
            <w:pPr>
              <w:spacing w:after="60"/>
            </w:pPr>
            <w:r>
              <w:rPr>
                <w:b/>
                <w:color w:val="111111"/>
              </w:rPr>
              <w:t>No participant action yet</w:t>
            </w:r>
          </w:p>
          <w:p>
            <w:pPr>
              <w:spacing w:after="0"/>
            </w:pPr>
            <w:r>
              <w:t>This task is for the study lead, ethics/IRB owner, assessment designer, and engineer. Current consent text and test items are placeholders. Recruitment must remain closed.</w:t>
            </w:r>
          </w:p>
        </w:tc>
      </w:tr>
    </w:tbl>
    <w:p>
      <w:pPr>
        <w:spacing w:after="0"/>
      </w:pPr>
    </w:p>
    <w:p>
      <w:pPr>
        <w:pStyle w:val="Heading2"/>
        <w:keepNext/>
      </w:pPr>
      <w:r>
        <w:t>Step-by-step study-team procedure</w:t>
      </w:r>
    </w:p>
    <w:p>
      <w:pPr>
        <w:spacing w:after="80" w:line="269" w:lineRule="auto"/>
        <w:ind w:left="605" w:hanging="461"/>
      </w:pPr>
      <w:r>
        <w:rPr>
          <w:b/>
        </w:rPr>
        <w:t xml:space="preserve">1.  </w:t>
      </w:r>
      <w:r>
        <w:rPr>
          <w:b/>
        </w:rPr>
        <w:t>Freeze the study question.</w:t>
      </w:r>
      <w:r>
        <w:t xml:space="preserve"> Write the exact claim: whether the canonical closed-loop adaptive tutor improves specified human outcomes in one bounded proof-based domain.</w:t>
      </w:r>
    </w:p>
    <w:p>
      <w:pPr>
        <w:spacing w:after="80" w:line="269" w:lineRule="auto"/>
        <w:ind w:left="605" w:hanging="461"/>
      </w:pPr>
      <w:r>
        <w:rPr>
          <w:b/>
        </w:rPr>
        <w:t xml:space="preserve">2.  </w:t>
      </w:r>
      <w:r>
        <w:rPr>
          <w:b/>
        </w:rPr>
        <w:t>Define the adaptive treatment.</w:t>
      </w:r>
      <w:r>
        <w:t xml:space="preserve"> Specify the state → action → evidence guard → outcome loop that participants will actually receive.</w:t>
      </w:r>
    </w:p>
    <w:p>
      <w:pPr>
        <w:spacing w:after="80" w:line="269" w:lineRule="auto"/>
        <w:ind w:left="605" w:hanging="461"/>
      </w:pPr>
      <w:r>
        <w:rPr>
          <w:b/>
        </w:rPr>
        <w:t xml:space="preserve">3.  </w:t>
      </w:r>
      <w:r>
        <w:rPr>
          <w:b/>
        </w:rPr>
        <w:t>Define a matched control.</w:t>
      </w:r>
      <w:r>
        <w:t xml:space="preserve"> Use a non-adaptive, fixed-policy, or yoked control with comparable moves, resources, time, and model access. The contrast should be adaptation, not extra capability.</w:t>
      </w:r>
    </w:p>
    <w:p>
      <w:pPr>
        <w:spacing w:after="80" w:line="269" w:lineRule="auto"/>
        <w:ind w:left="605" w:hanging="461"/>
      </w:pPr>
      <w:r>
        <w:rPr>
          <w:b/>
        </w:rPr>
        <w:t xml:space="preserve">4.  </w:t>
      </w:r>
      <w:r>
        <w:rPr>
          <w:b/>
        </w:rPr>
        <w:t>Choose one bounded curriculum domain.</w:t>
      </w:r>
      <w:r>
        <w:t xml:space="preserve"> Use a lesson whose proof and release semantics have passed Task 1.</w:t>
      </w:r>
    </w:p>
    <w:p>
      <w:pPr>
        <w:spacing w:after="80" w:line="269" w:lineRule="auto"/>
        <w:ind w:left="605" w:hanging="461"/>
      </w:pPr>
      <w:r>
        <w:rPr>
          <w:b/>
        </w:rPr>
        <w:t xml:space="preserve">5.  </w:t>
      </w:r>
      <w:r>
        <w:rPr>
          <w:b/>
        </w:rPr>
        <w:t>Complete construct validation first.</w:t>
      </w:r>
      <w:r>
        <w:t xml:space="preserve"> Task 1 and Task 2 must be resolved before treating the system’s state and lesson mechanisms as valid study components.</w:t>
      </w:r>
    </w:p>
    <w:p>
      <w:pPr>
        <w:spacing w:after="80" w:line="269" w:lineRule="auto"/>
        <w:ind w:left="605" w:hanging="461"/>
      </w:pPr>
      <w:r>
        <w:rPr>
          <w:b/>
        </w:rPr>
        <w:t xml:space="preserve">6.  </w:t>
      </w:r>
      <w:r>
        <w:rPr>
          <w:b/>
        </w:rPr>
        <w:t>Write real learning outcomes.</w:t>
      </w:r>
      <w:r>
        <w:t xml:space="preserve"> Include pre/post performance, immediate transfer, independently coded explanation, and delayed retention. Transcript-visible simulated-learner change is not a human-learning outcome.</w:t>
      </w:r>
    </w:p>
    <w:p>
      <w:pPr>
        <w:spacing w:after="80" w:line="269" w:lineRule="auto"/>
        <w:ind w:left="605" w:hanging="461"/>
      </w:pPr>
      <w:r>
        <w:rPr>
          <w:b/>
        </w:rPr>
        <w:t xml:space="preserve">7.  </w:t>
      </w:r>
      <w:r>
        <w:rPr>
          <w:b/>
        </w:rPr>
        <w:t>Author final assessment items.</w:t>
      </w:r>
      <w:r>
        <w:t xml:space="preserve"> Replace every placeholder. Counterbalance forms and write server-side scoring rules before recruitment.</w:t>
      </w:r>
    </w:p>
    <w:p>
      <w:pPr>
        <w:spacing w:after="80" w:line="269" w:lineRule="auto"/>
        <w:ind w:left="605" w:hanging="461"/>
      </w:pPr>
      <w:r>
        <w:rPr>
          <w:b/>
        </w:rPr>
        <w:t xml:space="preserve">8.  </w:t>
      </w:r>
      <w:r>
        <w:rPr>
          <w:b/>
        </w:rPr>
        <w:t>Write final consent and privacy text.</w:t>
      </w:r>
      <w:r>
        <w:t xml:space="preserve"> State procedures, risks, benefits, compensation, withdrawal, data handling, and contact details in the language approved for the study.</w:t>
      </w:r>
    </w:p>
    <w:p>
      <w:pPr>
        <w:spacing w:after="80" w:line="269" w:lineRule="auto"/>
        <w:ind w:left="605" w:hanging="461"/>
      </w:pPr>
      <w:r>
        <w:rPr>
          <w:b/>
        </w:rPr>
        <w:t xml:space="preserve">9.  </w:t>
      </w:r>
      <w:r>
        <w:rPr>
          <w:b/>
        </w:rPr>
        <w:t>Obtain ethics/IRB approval.</w:t>
      </w:r>
      <w:r>
        <w:t xml:space="preserve"> Do not enroll or recruit participants before the required institutional approval is in place.</w:t>
      </w:r>
    </w:p>
    <w:p>
      <w:pPr>
        <w:spacing w:after="80" w:line="269" w:lineRule="auto"/>
        <w:ind w:left="605" w:hanging="461"/>
      </w:pPr>
      <w:r>
        <w:rPr>
          <w:b/>
        </w:rPr>
        <w:t xml:space="preserve">10.  </w:t>
      </w:r>
      <w:r>
        <w:rPr>
          <w:b/>
        </w:rPr>
        <w:t>Pre-register the design.</w:t>
      </w:r>
      <w:r>
        <w:t xml:space="preserve"> Record conditions, sample size, exclusion rules, outcomes, analysis, missing-data handling, and stopping rules before opening recruitment.</w:t>
      </w:r>
    </w:p>
    <w:p>
      <w:pPr>
        <w:spacing w:after="80" w:line="269" w:lineRule="auto"/>
        <w:ind w:left="605" w:hanging="461"/>
      </w:pPr>
      <w:r>
        <w:rPr>
          <w:b/>
        </w:rPr>
        <w:t xml:space="preserve">11.  </w:t>
      </w:r>
      <w:r>
        <w:rPr>
          <w:b/>
        </w:rPr>
        <w:t>Connect the canonical tutor to the pilot software.</w:t>
      </w:r>
      <w:r>
        <w:t xml:space="preserve"> Verify that treatment and control route through the intended current kernel and that participant assignment cannot silently drift.</w:t>
      </w:r>
    </w:p>
    <w:p>
      <w:pPr>
        <w:spacing w:after="80" w:line="269" w:lineRule="auto"/>
        <w:ind w:left="605" w:hanging="461"/>
      </w:pPr>
      <w:r>
        <w:rPr>
          <w:b/>
        </w:rPr>
        <w:t xml:space="preserve">12.  </w:t>
      </w:r>
      <w:r>
        <w:rPr>
          <w:b/>
        </w:rPr>
        <w:t>Run internal dogfood.</w:t>
      </w:r>
      <w:r>
        <w:t xml:space="preserve"> Use only team members to test wording, item timing, randomization, data capture, failure handling, and study closeout.</w:t>
      </w:r>
    </w:p>
    <w:p>
      <w:pPr>
        <w:spacing w:after="80" w:line="269" w:lineRule="auto"/>
        <w:ind w:left="605" w:hanging="461"/>
      </w:pPr>
      <w:r>
        <w:rPr>
          <w:b/>
        </w:rPr>
        <w:t xml:space="preserve">13.  </w:t>
      </w:r>
      <w:r>
        <w:rPr>
          <w:b/>
        </w:rPr>
        <w:t>Run an end-to-end dry run.</w:t>
      </w:r>
      <w:r>
        <w:t xml:space="preserve"> Prove that enrollment, consent, intake, pretest, tutoring, post-test, exit, delayed follow-up, and export all work without exposing answer keys.</w:t>
      </w:r>
    </w:p>
    <w:p>
      <w:pPr>
        <w:spacing w:after="80" w:line="269" w:lineRule="auto"/>
        <w:ind w:left="605" w:hanging="461"/>
      </w:pPr>
      <w:r>
        <w:rPr>
          <w:b/>
        </w:rPr>
        <w:t xml:space="preserve">14.  </w:t>
      </w:r>
      <w:r>
        <w:rPr>
          <w:b/>
        </w:rPr>
        <w:t>Open recruitment only after every gate is complete.</w:t>
      </w:r>
      <w:r>
        <w:t xml:space="preserve"> The study lead records the approved protocol, final materials, and launch date before the first participant is enrolled.</w:t>
      </w:r>
    </w:p>
    <w:p>
      <w:pPr>
        <w:pStyle w:val="Heading2"/>
        <w:keepNext/>
      </w:pPr>
      <w:r>
        <w:t>Study-team editable checklist</w:t>
      </w:r>
    </w:p>
    <w:tbl>
      <w:tblPr>
        <w:tblStyle w:val="TableGrid"/>
        <w:tblW w:type="auto" w:w="0"/>
        <w:tblLayout w:type="fixed"/>
        <w:tblLook w:firstColumn="1" w:firstRow="1" w:lastColumn="0" w:lastRow="0" w:noHBand="0" w:noVBand="1" w:val="04A0"/>
      </w:tblPr>
      <w:tblGrid>
        <w:gridCol w:w="2592"/>
        <w:gridCol w:w="6768"/>
      </w:tblGrid>
      <w:tr>
        <w:trPr>
          <w:tblHeader w:val="true"/>
        </w:trPr>
        <w:tc>
          <w:tcPr>
            <w:tcW w:type="dxa" w:w="4680"/>
            <w:shd w:fill="111111"/>
            <w:tcMar>
              <w:top w:w="80" w:type="dxa"/>
              <w:start w:w="120" w:type="dxa"/>
              <w:bottom w:w="80" w:type="dxa"/>
              <w:end w:w="120" w:type="dxa"/>
            </w:tcMar>
          </w:tcPr>
          <w:p>
            <w:r>
              <w:rPr>
                <w:b/>
                <w:color w:val="FFFFFF"/>
              </w:rPr>
              <w:t>FIELD</w:t>
            </w:r>
          </w:p>
        </w:tc>
        <w:tc>
          <w:tcPr>
            <w:tcW w:type="dxa" w:w="4680"/>
            <w:shd w:fill="111111"/>
            <w:tcMar>
              <w:top w:w="80" w:type="dxa"/>
              <w:start w:w="120" w:type="dxa"/>
              <w:bottom w:w="80" w:type="dxa"/>
              <w:end w:w="120" w:type="dxa"/>
            </w:tcMar>
          </w:tcPr>
          <w:p>
            <w:r>
              <w:rPr>
                <w:b/>
                <w:color w:val="FFFFFF"/>
              </w:rPr>
              <w:t>WHAT TO ENTER</w:t>
            </w:r>
          </w:p>
        </w:tc>
      </w:tr>
      <w:tr>
        <w:trPr>
          <w:cantSplit/>
        </w:trPr>
        <w:tc>
          <w:tcPr>
            <w:tcW w:type="dxa" w:w="2592"/>
            <w:shd w:fill="E8EEF5"/>
            <w:tcMar>
              <w:top w:w="80" w:type="dxa"/>
              <w:start w:w="120" w:type="dxa"/>
              <w:bottom w:w="80" w:type="dxa"/>
              <w:end w:w="120" w:type="dxa"/>
            </w:tcMar>
            <w:vAlign w:val="top"/>
          </w:tcPr>
          <w:p>
            <w:r>
              <w:t>Study question</w:t>
            </w:r>
          </w:p>
        </w:tc>
        <w:tc>
          <w:tcPr>
            <w:tcW w:type="dxa" w:w="6768"/>
            <w:shd w:fill="FFF2B8"/>
            <w:tcMar>
              <w:top w:w="80" w:type="dxa"/>
              <w:start w:w="120" w:type="dxa"/>
              <w:bottom w:w="80" w:type="dxa"/>
              <w:end w:w="120" w:type="dxa"/>
            </w:tcMar>
            <w:vAlign w:val="top"/>
          </w:tcPr>
          <w:p>
            <w:r>
              <w:t>____________________________________________________________</w:t>
            </w:r>
          </w:p>
        </w:tc>
      </w:tr>
      <w:tr>
        <w:trPr>
          <w:cantSplit/>
        </w:trPr>
        <w:tc>
          <w:tcPr>
            <w:tcW w:type="dxa" w:w="2592"/>
            <w:shd w:fill="E8EEF5"/>
            <w:tcMar>
              <w:top w:w="80" w:type="dxa"/>
              <w:start w:w="120" w:type="dxa"/>
              <w:bottom w:w="80" w:type="dxa"/>
              <w:end w:w="120" w:type="dxa"/>
            </w:tcMar>
            <w:vAlign w:val="top"/>
          </w:tcPr>
          <w:p>
            <w:r>
              <w:t>Adaptive treatment</w:t>
            </w:r>
          </w:p>
        </w:tc>
        <w:tc>
          <w:tcPr>
            <w:tcW w:type="dxa" w:w="6768"/>
            <w:shd w:fill="FFF2B8"/>
            <w:tcMar>
              <w:top w:w="80" w:type="dxa"/>
              <w:start w:w="120" w:type="dxa"/>
              <w:bottom w:w="80" w:type="dxa"/>
              <w:end w:w="120" w:type="dxa"/>
            </w:tcMar>
            <w:vAlign w:val="top"/>
          </w:tcPr>
          <w:p>
            <w:r>
              <w:t>____________________________________________________________</w:t>
            </w:r>
          </w:p>
        </w:tc>
      </w:tr>
      <w:tr>
        <w:trPr>
          <w:cantSplit/>
        </w:trPr>
        <w:tc>
          <w:tcPr>
            <w:tcW w:type="dxa" w:w="2592"/>
            <w:shd w:fill="E8EEF5"/>
            <w:tcMar>
              <w:top w:w="80" w:type="dxa"/>
              <w:start w:w="120" w:type="dxa"/>
              <w:bottom w:w="80" w:type="dxa"/>
              <w:end w:w="120" w:type="dxa"/>
            </w:tcMar>
            <w:vAlign w:val="top"/>
          </w:tcPr>
          <w:p>
            <w:r>
              <w:t>Matched control</w:t>
            </w:r>
          </w:p>
        </w:tc>
        <w:tc>
          <w:tcPr>
            <w:tcW w:type="dxa" w:w="6768"/>
            <w:shd w:fill="FFF2B8"/>
            <w:tcMar>
              <w:top w:w="80" w:type="dxa"/>
              <w:start w:w="120" w:type="dxa"/>
              <w:bottom w:w="80" w:type="dxa"/>
              <w:end w:w="120" w:type="dxa"/>
            </w:tcMar>
            <w:vAlign w:val="top"/>
          </w:tcPr>
          <w:p>
            <w:r>
              <w:t>____________________________________________________________</w:t>
            </w:r>
          </w:p>
        </w:tc>
      </w:tr>
      <w:tr>
        <w:trPr>
          <w:cantSplit/>
        </w:trPr>
        <w:tc>
          <w:tcPr>
            <w:tcW w:type="dxa" w:w="2592"/>
            <w:shd w:fill="E8EEF5"/>
            <w:tcMar>
              <w:top w:w="80" w:type="dxa"/>
              <w:start w:w="120" w:type="dxa"/>
              <w:bottom w:w="80" w:type="dxa"/>
              <w:end w:w="120" w:type="dxa"/>
            </w:tcMar>
            <w:vAlign w:val="top"/>
          </w:tcPr>
          <w:p>
            <w:r>
              <w:t>Curriculum domain</w:t>
            </w:r>
          </w:p>
        </w:tc>
        <w:tc>
          <w:tcPr>
            <w:tcW w:type="dxa" w:w="6768"/>
            <w:shd w:fill="FFF2B8"/>
            <w:tcMar>
              <w:top w:w="80" w:type="dxa"/>
              <w:start w:w="120" w:type="dxa"/>
              <w:bottom w:w="80" w:type="dxa"/>
              <w:end w:w="120" w:type="dxa"/>
            </w:tcMar>
            <w:vAlign w:val="top"/>
          </w:tcPr>
          <w:p>
            <w:r>
              <w:t>____________________________________________________________</w:t>
            </w:r>
          </w:p>
        </w:tc>
      </w:tr>
      <w:tr>
        <w:trPr>
          <w:cantSplit/>
        </w:trPr>
        <w:tc>
          <w:tcPr>
            <w:tcW w:type="dxa" w:w="2592"/>
            <w:shd w:fill="E8EEF5"/>
            <w:tcMar>
              <w:top w:w="80" w:type="dxa"/>
              <w:start w:w="120" w:type="dxa"/>
              <w:bottom w:w="80" w:type="dxa"/>
              <w:end w:w="120" w:type="dxa"/>
            </w:tcMar>
            <w:vAlign w:val="top"/>
          </w:tcPr>
          <w:p>
            <w:r>
              <w:t>Primary outcome</w:t>
            </w:r>
          </w:p>
        </w:tc>
        <w:tc>
          <w:tcPr>
            <w:tcW w:type="dxa" w:w="6768"/>
            <w:shd w:fill="FFF2B8"/>
            <w:tcMar>
              <w:top w:w="80" w:type="dxa"/>
              <w:start w:w="120" w:type="dxa"/>
              <w:bottom w:w="80" w:type="dxa"/>
              <w:end w:w="120" w:type="dxa"/>
            </w:tcMar>
            <w:vAlign w:val="top"/>
          </w:tcPr>
          <w:p>
            <w:r>
              <w:t>____________________________________________________________</w:t>
            </w:r>
          </w:p>
        </w:tc>
      </w:tr>
      <w:tr>
        <w:trPr>
          <w:cantSplit/>
        </w:trPr>
        <w:tc>
          <w:tcPr>
            <w:tcW w:type="dxa" w:w="2592"/>
            <w:shd w:fill="E8EEF5"/>
            <w:tcMar>
              <w:top w:w="80" w:type="dxa"/>
              <w:start w:w="120" w:type="dxa"/>
              <w:bottom w:w="80" w:type="dxa"/>
              <w:end w:w="120" w:type="dxa"/>
            </w:tcMar>
            <w:vAlign w:val="top"/>
          </w:tcPr>
          <w:p>
            <w:r>
              <w:t>Transfer outcome</w:t>
            </w:r>
          </w:p>
        </w:tc>
        <w:tc>
          <w:tcPr>
            <w:tcW w:type="dxa" w:w="6768"/>
            <w:shd w:fill="FFF2B8"/>
            <w:tcMar>
              <w:top w:w="80" w:type="dxa"/>
              <w:start w:w="120" w:type="dxa"/>
              <w:bottom w:w="80" w:type="dxa"/>
              <w:end w:w="120" w:type="dxa"/>
            </w:tcMar>
            <w:vAlign w:val="top"/>
          </w:tcPr>
          <w:p>
            <w:r>
              <w:t>____________________________________________________________</w:t>
            </w:r>
          </w:p>
        </w:tc>
      </w:tr>
      <w:tr>
        <w:trPr>
          <w:cantSplit/>
        </w:trPr>
        <w:tc>
          <w:tcPr>
            <w:tcW w:type="dxa" w:w="2592"/>
            <w:shd w:fill="E8EEF5"/>
            <w:tcMar>
              <w:top w:w="80" w:type="dxa"/>
              <w:start w:w="120" w:type="dxa"/>
              <w:bottom w:w="80" w:type="dxa"/>
              <w:end w:w="120" w:type="dxa"/>
            </w:tcMar>
            <w:vAlign w:val="top"/>
          </w:tcPr>
          <w:p>
            <w:r>
              <w:t>Delayed outcome</w:t>
            </w:r>
          </w:p>
        </w:tc>
        <w:tc>
          <w:tcPr>
            <w:tcW w:type="dxa" w:w="6768"/>
            <w:shd w:fill="FFF2B8"/>
            <w:tcMar>
              <w:top w:w="80" w:type="dxa"/>
              <w:start w:w="120" w:type="dxa"/>
              <w:bottom w:w="80" w:type="dxa"/>
              <w:end w:w="120" w:type="dxa"/>
            </w:tcMar>
            <w:vAlign w:val="top"/>
          </w:tcPr>
          <w:p>
            <w:r>
              <w:t>____________________________________________________________</w:t>
            </w:r>
          </w:p>
        </w:tc>
      </w:tr>
      <w:tr>
        <w:trPr>
          <w:cantSplit/>
        </w:trPr>
        <w:tc>
          <w:tcPr>
            <w:tcW w:type="dxa" w:w="2592"/>
            <w:shd w:fill="E8EEF5"/>
            <w:tcMar>
              <w:top w:w="80" w:type="dxa"/>
              <w:start w:w="120" w:type="dxa"/>
              <w:bottom w:w="80" w:type="dxa"/>
              <w:end w:w="120" w:type="dxa"/>
            </w:tcMar>
            <w:vAlign w:val="top"/>
          </w:tcPr>
          <w:p>
            <w:r>
              <w:t>IRB / ethics status</w:t>
            </w:r>
          </w:p>
        </w:tc>
        <w:tc>
          <w:tcPr>
            <w:tcW w:type="dxa" w:w="6768"/>
            <w:shd w:fill="FFF2B8"/>
            <w:tcMar>
              <w:top w:w="80" w:type="dxa"/>
              <w:start w:w="120" w:type="dxa"/>
              <w:bottom w:w="80" w:type="dxa"/>
              <w:end w:w="120" w:type="dxa"/>
            </w:tcMar>
            <w:vAlign w:val="top"/>
          </w:tcPr>
          <w:p>
            <w:r>
              <w:t>____________________________________________________________</w:t>
            </w:r>
          </w:p>
        </w:tc>
      </w:tr>
      <w:tr>
        <w:trPr>
          <w:cantSplit/>
        </w:trPr>
        <w:tc>
          <w:tcPr>
            <w:tcW w:type="dxa" w:w="2592"/>
            <w:shd w:fill="E8EEF5"/>
            <w:tcMar>
              <w:top w:w="80" w:type="dxa"/>
              <w:start w:w="120" w:type="dxa"/>
              <w:bottom w:w="80" w:type="dxa"/>
              <w:end w:w="120" w:type="dxa"/>
            </w:tcMar>
            <w:vAlign w:val="top"/>
          </w:tcPr>
          <w:p>
            <w:r>
              <w:t>Pre-registration</w:t>
            </w:r>
          </w:p>
        </w:tc>
        <w:tc>
          <w:tcPr>
            <w:tcW w:type="dxa" w:w="6768"/>
            <w:shd w:fill="FFF2B8"/>
            <w:tcMar>
              <w:top w:w="80" w:type="dxa"/>
              <w:start w:w="120" w:type="dxa"/>
              <w:bottom w:w="80" w:type="dxa"/>
              <w:end w:w="120" w:type="dxa"/>
            </w:tcMar>
            <w:vAlign w:val="top"/>
          </w:tcPr>
          <w:p>
            <w:r>
              <w:t>____________________________________________________________</w:t>
            </w:r>
          </w:p>
        </w:tc>
      </w:tr>
      <w:tr>
        <w:trPr>
          <w:cantSplit/>
        </w:trPr>
        <w:tc>
          <w:tcPr>
            <w:tcW w:type="dxa" w:w="2592"/>
            <w:shd w:fill="E8EEF5"/>
            <w:tcMar>
              <w:top w:w="80" w:type="dxa"/>
              <w:start w:w="120" w:type="dxa"/>
              <w:bottom w:w="80" w:type="dxa"/>
              <w:end w:w="120" w:type="dxa"/>
            </w:tcMar>
            <w:vAlign w:val="top"/>
          </w:tcPr>
          <w:p>
            <w:r>
              <w:t>Technical dry run</w:t>
            </w:r>
          </w:p>
        </w:tc>
        <w:tc>
          <w:tcPr>
            <w:tcW w:type="dxa" w:w="6768"/>
            <w:shd w:fill="FFF2B8"/>
            <w:tcMar>
              <w:top w:w="80" w:type="dxa"/>
              <w:start w:w="120" w:type="dxa"/>
              <w:bottom w:w="80" w:type="dxa"/>
              <w:end w:w="120" w:type="dxa"/>
            </w:tcMar>
            <w:vAlign w:val="top"/>
          </w:tcPr>
          <w:p>
            <w:r>
              <w:t>____________________________________________________________</w:t>
            </w:r>
          </w:p>
        </w:tc>
      </w:tr>
      <w:tr>
        <w:trPr>
          <w:cantSplit/>
        </w:trPr>
        <w:tc>
          <w:tcPr>
            <w:tcW w:type="dxa" w:w="2592"/>
            <w:shd w:fill="E8EEF5"/>
            <w:tcMar>
              <w:top w:w="80" w:type="dxa"/>
              <w:start w:w="120" w:type="dxa"/>
              <w:bottom w:w="80" w:type="dxa"/>
              <w:end w:w="120" w:type="dxa"/>
            </w:tcMar>
            <w:vAlign w:val="top"/>
          </w:tcPr>
          <w:p>
            <w:r>
              <w:t>Recruitment status</w:t>
            </w:r>
          </w:p>
        </w:tc>
        <w:tc>
          <w:tcPr>
            <w:tcW w:type="dxa" w:w="6768"/>
            <w:shd w:fill="FFF2B8"/>
            <w:tcMar>
              <w:top w:w="80" w:type="dxa"/>
              <w:start w:w="120" w:type="dxa"/>
              <w:bottom w:w="80" w:type="dxa"/>
              <w:end w:w="120" w:type="dxa"/>
            </w:tcMar>
            <w:vAlign w:val="top"/>
          </w:tcPr>
          <w:p>
            <w:r>
              <w:t>CLOSED until every item above is complete</w:t>
            </w:r>
          </w:p>
        </w:tc>
      </w:tr>
    </w:tbl>
    <w:tbl>
      <w:tblPr>
        <w:tblW w:type="auto" w:w="0"/>
        <w:tblLayout w:type="fixed"/>
        <w:tblLook w:firstColumn="1" w:firstRow="1" w:lastColumn="0" w:lastRow="0" w:noHBand="0" w:noVBand="1" w:val="04A0"/>
      </w:tblPr>
      <w:tblGrid>
        <w:gridCol w:w="9360"/>
      </w:tblGrid>
      <w:tr>
        <w:trPr>
          <w:cantSplit/>
        </w:trPr>
        <w:tc>
          <w:tcPr>
            <w:tcW w:type="dxa" w:w="9360"/>
            <w:shd w:fill="FFF2B8"/>
            <w:tcMar>
              <w:top w:w="150" w:type="dxa"/>
              <w:start w:w="180" w:type="dxa"/>
              <w:bottom w:w="150" w:type="dxa"/>
              <w:end w:w="180" w:type="dxa"/>
            </w:tcMar>
          </w:tcPr>
          <w:p>
            <w:pPr>
              <w:spacing w:after="60"/>
            </w:pPr>
            <w:r>
              <w:rPr>
                <w:b/>
                <w:color w:val="111111"/>
              </w:rPr>
              <w:t>Finished when</w:t>
            </w:r>
          </w:p>
          <w:p>
            <w:pPr>
              <w:spacing w:after="0"/>
            </w:pPr>
            <w:r>
              <w:t>The replacement prospective design is approved and pre-registered; final consent and assessment materials exist; the current tutor and matched control pass dogfood and end-to-end checks; and recruitment is explicitly opened by the authorized study team.</w:t>
            </w:r>
          </w:p>
        </w:tc>
      </w:tr>
    </w:tbl>
    <w:p>
      <w:pPr>
        <w:spacing w:after="0"/>
      </w:pPr>
    </w:p>
    <w:p>
      <w:r>
        <w:br w:type="page"/>
      </w:r>
    </w:p>
    <w:p>
      <w:pPr>
        <w:pStyle w:val="Heading1"/>
        <w:keepNext/>
      </w:pPr>
      <w:r>
        <w:t>Organizer closeout checklist</w:t>
      </w:r>
    </w:p>
    <w:p>
      <w:pPr>
        <w:pStyle w:val="ListBullet"/>
        <w:keepLines/>
      </w:pPr>
      <w:r>
        <w:t>Keep reviewers independent until their returned files are frozen.</w:t>
      </w:r>
    </w:p>
    <w:p>
      <w:pPr>
        <w:pStyle w:val="ListBullet"/>
        <w:keepLines/>
      </w:pPr>
      <w:r>
        <w:t>Do not send machine answer keys, downstream outcomes, experimental arms, or another reviewer’s file.</w:t>
      </w:r>
    </w:p>
    <w:p>
      <w:pPr>
        <w:pStyle w:val="ListBullet"/>
        <w:keepLines/>
      </w:pPr>
      <w:r>
        <w:t>Preserve uncertainty and disagreement. Do not turn them into negative labels or quietly tune the codebook afterward.</w:t>
      </w:r>
    </w:p>
    <w:p>
      <w:pPr>
        <w:pStyle w:val="ListBullet"/>
        <w:keepLines/>
      </w:pPr>
      <w:r>
        <w:t>Keep original returned Office files unchanged. Perform comparison or conversion on copies.</w:t>
      </w:r>
    </w:p>
    <w:p>
      <w:pPr>
        <w:pStyle w:val="ListBullet"/>
        <w:keepLines/>
      </w:pPr>
      <w:r>
        <w:t>Record the returned filenames, reviewer IDs, completion dates, and the source packet version used.</w:t>
      </w:r>
    </w:p>
    <w:p>
      <w:pPr>
        <w:pStyle w:val="ListBullet"/>
        <w:keepLines/>
      </w:pPr>
      <w:r>
        <w:t>If a human review finds a real authoring defect, correct it prospectively and add a regression check. Do not rewrite sealed historical evidence.</w:t>
      </w:r>
    </w:p>
    <w:p>
      <w:pPr>
        <w:pStyle w:val="ListBullet"/>
        <w:keepLines/>
      </w:pPr>
      <w:r>
        <w:t>Report only the claim each task supports. None of Tasks 1–5 establishes human learning; only an approved and completed Task 6 study can address that question.</w:t>
      </w:r>
    </w:p>
    <w:p>
      <w:pPr>
        <w:pStyle w:val="Heading2"/>
        <w:keepNext/>
      </w:pPr>
      <w:r>
        <w:t>What to send to each person</w:t>
      </w:r>
    </w:p>
    <w:tbl>
      <w:tblPr>
        <w:tblStyle w:val="TableGrid"/>
        <w:tblW w:type="auto" w:w="0"/>
        <w:tblLayout w:type="fixed"/>
        <w:tblLook w:firstColumn="1" w:firstRow="1" w:lastColumn="0" w:lastRow="0" w:noHBand="0" w:noVBand="1" w:val="04A0"/>
      </w:tblPr>
      <w:tblGrid>
        <w:gridCol w:w="2592"/>
        <w:gridCol w:w="6768"/>
      </w:tblGrid>
      <w:tr>
        <w:trPr>
          <w:tblHeader w:val="true"/>
        </w:trPr>
        <w:tc>
          <w:tcPr>
            <w:tcW w:type="dxa" w:w="4680"/>
            <w:shd w:fill="111111"/>
            <w:tcMar>
              <w:top w:w="80" w:type="dxa"/>
              <w:start w:w="120" w:type="dxa"/>
              <w:bottom w:w="80" w:type="dxa"/>
              <w:end w:w="120" w:type="dxa"/>
            </w:tcMar>
          </w:tcPr>
          <w:p>
            <w:r>
              <w:rPr>
                <w:b/>
                <w:color w:val="FFFFFF"/>
              </w:rPr>
              <w:t>FIELD</w:t>
            </w:r>
          </w:p>
        </w:tc>
        <w:tc>
          <w:tcPr>
            <w:tcW w:type="dxa" w:w="4680"/>
            <w:shd w:fill="111111"/>
            <w:tcMar>
              <w:top w:w="80" w:type="dxa"/>
              <w:start w:w="120" w:type="dxa"/>
              <w:bottom w:w="80" w:type="dxa"/>
              <w:end w:w="120" w:type="dxa"/>
            </w:tcMar>
          </w:tcPr>
          <w:p>
            <w:r>
              <w:rPr>
                <w:b/>
                <w:color w:val="FFFFFF"/>
              </w:rPr>
              <w:t>WHAT TO ENTER</w:t>
            </w:r>
          </w:p>
        </w:tc>
      </w:tr>
      <w:tr>
        <w:trPr>
          <w:cantSplit/>
        </w:trPr>
        <w:tc>
          <w:tcPr>
            <w:tcW w:type="dxa" w:w="2592"/>
            <w:shd w:fill="E8EEF5"/>
            <w:tcMar>
              <w:top w:w="80" w:type="dxa"/>
              <w:start w:w="120" w:type="dxa"/>
              <w:bottom w:w="80" w:type="dxa"/>
              <w:end w:w="120" w:type="dxa"/>
            </w:tcMar>
            <w:vAlign w:val="top"/>
          </w:tcPr>
          <w:p>
            <w:r>
              <w:t>Proof reviewer</w:t>
            </w:r>
          </w:p>
        </w:tc>
        <w:tc>
          <w:tcPr>
            <w:tcW w:type="dxa" w:w="6768"/>
            <w:shd w:fill="FFF2B8"/>
            <w:tcMar>
              <w:top w:w="80" w:type="dxa"/>
              <w:start w:w="120" w:type="dxa"/>
              <w:bottom w:w="80" w:type="dxa"/>
              <w:end w:w="120" w:type="dxa"/>
            </w:tcMar>
            <w:vAlign w:val="top"/>
          </w:tcPr>
          <w:p>
            <w:r>
              <w:t>This Word guide + a separate copy of proof-dag-review-form.xlsx</w:t>
            </w:r>
          </w:p>
        </w:tc>
      </w:tr>
      <w:tr>
        <w:trPr>
          <w:cantSplit/>
        </w:trPr>
        <w:tc>
          <w:tcPr>
            <w:tcW w:type="dxa" w:w="2592"/>
            <w:shd w:fill="E8EEF5"/>
            <w:tcMar>
              <w:top w:w="80" w:type="dxa"/>
              <w:start w:w="120" w:type="dxa"/>
              <w:bottom w:w="80" w:type="dxa"/>
              <w:end w:w="120" w:type="dxa"/>
            </w:tcMar>
            <w:vAlign w:val="top"/>
          </w:tcPr>
          <w:p>
            <w:r>
              <w:t>Dialogue coder A</w:t>
            </w:r>
          </w:p>
        </w:tc>
        <w:tc>
          <w:tcPr>
            <w:tcW w:type="dxa" w:w="6768"/>
            <w:shd w:fill="FFF2B8"/>
            <w:tcMar>
              <w:top w:w="80" w:type="dxa"/>
              <w:start w:w="120" w:type="dxa"/>
              <w:bottom w:w="80" w:type="dxa"/>
              <w:end w:w="120" w:type="dxa"/>
            </w:tcMar>
            <w:vAlign w:val="top"/>
          </w:tcPr>
          <w:p>
            <w:r>
              <w:t>This Word guide + state-move-coder-a.xlsx</w:t>
            </w:r>
          </w:p>
        </w:tc>
      </w:tr>
      <w:tr>
        <w:trPr>
          <w:cantSplit/>
        </w:trPr>
        <w:tc>
          <w:tcPr>
            <w:tcW w:type="dxa" w:w="2592"/>
            <w:shd w:fill="E8EEF5"/>
            <w:tcMar>
              <w:top w:w="80" w:type="dxa"/>
              <w:start w:w="120" w:type="dxa"/>
              <w:bottom w:w="80" w:type="dxa"/>
              <w:end w:w="120" w:type="dxa"/>
            </w:tcMar>
            <w:vAlign w:val="top"/>
          </w:tcPr>
          <w:p>
            <w:r>
              <w:t>Dialogue coder B</w:t>
            </w:r>
          </w:p>
        </w:tc>
        <w:tc>
          <w:tcPr>
            <w:tcW w:type="dxa" w:w="6768"/>
            <w:shd w:fill="FFF2B8"/>
            <w:tcMar>
              <w:top w:w="80" w:type="dxa"/>
              <w:start w:w="120" w:type="dxa"/>
              <w:bottom w:w="80" w:type="dxa"/>
              <w:end w:w="120" w:type="dxa"/>
            </w:tcMar>
            <w:vAlign w:val="top"/>
          </w:tcPr>
          <w:p>
            <w:r>
              <w:t>This Word guide + state-move-coder-b.xlsx</w:t>
            </w:r>
          </w:p>
        </w:tc>
      </w:tr>
      <w:tr>
        <w:trPr>
          <w:cantSplit/>
        </w:trPr>
        <w:tc>
          <w:tcPr>
            <w:tcW w:type="dxa" w:w="2592"/>
            <w:shd w:fill="E8EEF5"/>
            <w:tcMar>
              <w:top w:w="80" w:type="dxa"/>
              <w:start w:w="120" w:type="dxa"/>
              <w:bottom w:w="80" w:type="dxa"/>
              <w:end w:w="120" w:type="dxa"/>
            </w:tcMar>
            <w:vAlign w:val="top"/>
          </w:tcPr>
          <w:p>
            <w:r>
              <w:t>Original participant</w:t>
            </w:r>
          </w:p>
        </w:tc>
        <w:tc>
          <w:tcPr>
            <w:tcW w:type="dxa" w:w="6768"/>
            <w:shd w:fill="FFF2B8"/>
            <w:tcMar>
              <w:top w:w="80" w:type="dxa"/>
              <w:start w:w="120" w:type="dxa"/>
              <w:bottom w:w="80" w:type="dxa"/>
              <w:end w:w="120" w:type="dxa"/>
            </w:tcMar>
            <w:vAlign w:val="top"/>
          </w:tcPr>
          <w:p>
            <w:r>
              <w:t>This Word guide + impasse-review-form.xlsx</w:t>
            </w:r>
          </w:p>
        </w:tc>
      </w:tr>
      <w:tr>
        <w:trPr>
          <w:cantSplit/>
        </w:trPr>
        <w:tc>
          <w:tcPr>
            <w:tcW w:type="dxa" w:w="2592"/>
            <w:shd w:fill="E8EEF5"/>
            <w:tcMar>
              <w:top w:w="80" w:type="dxa"/>
              <w:start w:w="120" w:type="dxa"/>
              <w:bottom w:w="80" w:type="dxa"/>
              <w:end w:w="120" w:type="dxa"/>
            </w:tcMar>
            <w:vAlign w:val="top"/>
          </w:tcPr>
          <w:p>
            <w:r>
              <w:t>Taxonomy reviewer</w:t>
            </w:r>
          </w:p>
        </w:tc>
        <w:tc>
          <w:tcPr>
            <w:tcW w:type="dxa" w:w="6768"/>
            <w:shd w:fill="FFF2B8"/>
            <w:tcMar>
              <w:top w:w="80" w:type="dxa"/>
              <w:start w:w="120" w:type="dxa"/>
              <w:bottom w:w="80" w:type="dxa"/>
              <w:end w:w="120" w:type="dxa"/>
            </w:tcMar>
            <w:vAlign w:val="top"/>
          </w:tcPr>
          <w:p>
            <w:r>
              <w:t>This Word guide + a privately populated copy of superego-taxonomy-review-form.xlsx; do not assign the blank public template</w:t>
            </w:r>
          </w:p>
        </w:tc>
      </w:tr>
      <w:tr>
        <w:trPr>
          <w:cantSplit/>
        </w:trPr>
        <w:tc>
          <w:tcPr>
            <w:tcW w:type="dxa" w:w="2592"/>
            <w:shd w:fill="E8EEF5"/>
            <w:tcMar>
              <w:top w:w="80" w:type="dxa"/>
              <w:start w:w="120" w:type="dxa"/>
              <w:bottom w:w="80" w:type="dxa"/>
              <w:end w:w="120" w:type="dxa"/>
            </w:tcMar>
            <w:vAlign w:val="top"/>
          </w:tcPr>
          <w:p>
            <w:r>
              <w:t>Rubric coder A</w:t>
            </w:r>
          </w:p>
        </w:tc>
        <w:tc>
          <w:tcPr>
            <w:tcW w:type="dxa" w:w="6768"/>
            <w:shd w:fill="FFF2B8"/>
            <w:tcMar>
              <w:top w:w="80" w:type="dxa"/>
              <w:start w:w="120" w:type="dxa"/>
              <w:bottom w:w="80" w:type="dxa"/>
              <w:end w:w="120" w:type="dxa"/>
            </w:tcMar>
            <w:vAlign w:val="top"/>
          </w:tcPr>
          <w:p>
            <w:r>
              <w:t>Only after the lead decision: this Word guide + rubric-v3-coder-a.xlsx</w:t>
            </w:r>
          </w:p>
        </w:tc>
      </w:tr>
      <w:tr>
        <w:trPr>
          <w:cantSplit/>
        </w:trPr>
        <w:tc>
          <w:tcPr>
            <w:tcW w:type="dxa" w:w="2592"/>
            <w:shd w:fill="E8EEF5"/>
            <w:tcMar>
              <w:top w:w="80" w:type="dxa"/>
              <w:start w:w="120" w:type="dxa"/>
              <w:bottom w:w="80" w:type="dxa"/>
              <w:end w:w="120" w:type="dxa"/>
            </w:tcMar>
            <w:vAlign w:val="top"/>
          </w:tcPr>
          <w:p>
            <w:r>
              <w:t>Rubric coder B</w:t>
            </w:r>
          </w:p>
        </w:tc>
        <w:tc>
          <w:tcPr>
            <w:tcW w:type="dxa" w:w="6768"/>
            <w:shd w:fill="FFF2B8"/>
            <w:tcMar>
              <w:top w:w="80" w:type="dxa"/>
              <w:start w:w="120" w:type="dxa"/>
              <w:bottom w:w="80" w:type="dxa"/>
              <w:end w:w="120" w:type="dxa"/>
            </w:tcMar>
            <w:vAlign w:val="top"/>
          </w:tcPr>
          <w:p>
            <w:r>
              <w:t>Only after the lead decision: this Word guide + rubric-v3-coder-b.xlsx</w:t>
            </w:r>
          </w:p>
        </w:tc>
      </w:tr>
      <w:tr>
        <w:trPr>
          <w:cantSplit/>
        </w:trPr>
        <w:tc>
          <w:tcPr>
            <w:tcW w:type="dxa" w:w="2592"/>
            <w:shd w:fill="E8EEF5"/>
            <w:tcMar>
              <w:top w:w="80" w:type="dxa"/>
              <w:start w:w="120" w:type="dxa"/>
              <w:bottom w:w="80" w:type="dxa"/>
              <w:end w:w="120" w:type="dxa"/>
            </w:tcMar>
            <w:vAlign w:val="top"/>
          </w:tcPr>
          <w:p>
            <w:r>
              <w:t>Pilot study team</w:t>
            </w:r>
          </w:p>
        </w:tc>
        <w:tc>
          <w:tcPr>
            <w:tcW w:type="dxa" w:w="6768"/>
            <w:shd w:fill="FFF2B8"/>
            <w:tcMar>
              <w:top w:w="80" w:type="dxa"/>
              <w:start w:w="120" w:type="dxa"/>
              <w:bottom w:w="80" w:type="dxa"/>
              <w:end w:w="120" w:type="dxa"/>
            </w:tcMar>
            <w:vAlign w:val="top"/>
          </w:tcPr>
          <w:p>
            <w:r>
              <w:t>This editable Word guide; do not send participant materials until the design and approvals are complete</w:t>
            </w:r>
          </w:p>
        </w:tc>
      </w:tr>
    </w:tbl>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Human validation task guide  •  1 September 2026  •  </w:t>
    </w:r>
    <w:r>
      <w:rPr>
        <w:rFonts w:ascii="Calibri" w:hAnsi="Calibri"/>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E63946"/>
        <w:sz w:val="16"/>
      </w:rPr>
      <w:t>MACHINE SPIRITS  /  HUMAN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proof-dag-review-form.xlsx" TargetMode="External"/><Relationship Id="rId12" Type="http://schemas.openxmlformats.org/officeDocument/2006/relationships/hyperlink" Target="state-move-coder-a.xlsx" TargetMode="External"/><Relationship Id="rId13" Type="http://schemas.openxmlformats.org/officeDocument/2006/relationships/hyperlink" Target="state-move-coder-b.xlsx" TargetMode="External"/><Relationship Id="rId14" Type="http://schemas.openxmlformats.org/officeDocument/2006/relationships/hyperlink" Target="impasse-review-form.xlsx" TargetMode="External"/><Relationship Id="rId15" Type="http://schemas.openxmlformats.org/officeDocument/2006/relationships/hyperlink" Target="superego-taxonomy-review-form.xlsx" TargetMode="External"/><Relationship Id="rId16" Type="http://schemas.openxmlformats.org/officeDocument/2006/relationships/hyperlink" Target="rubric-v3-coder-a.xlsx" TargetMode="External"/><Relationship Id="rId17" Type="http://schemas.openxmlformats.org/officeDocument/2006/relationships/hyperlink" Target="rubric-v3-coder-b.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