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第一次股東大會</w:t>
      </w:r>
      <w:r>
        <w:drawing>
          <wp:anchor distT="0" distB="0" distL="0" distR="0" simplePos="0" relativeHeight="0" behindDoc="1" locked="0" layoutInCell="1" allowOverlap="1" wp14:editId="50D07946">
            <wp:simplePos x="0" y="0"/>
            <wp:positionH relativeFrom="page">
              <wp:posOffset>6286000</wp:posOffset>
            </wp:positionH>
            <wp:positionV relativeFrom="page">
              <wp:posOffset>228600</wp:posOffset>
            </wp:positionV>
            <wp:extent cx="990000" cy="99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252dcad90e745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name="_GoBack" w:id="1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t>09/05/2018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t>东莞市金达房地产开发有限公司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t>CT00000004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中国建设银行股份有限公司东莞市分行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普通债权</w:t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t>Q1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name="_Hlk511831842" w:id="0"/>
      <w:r>
        <w:rPr>
          <w:b/>
          <w:lang w:val="nl-BE"/>
        </w:rPr>
        <w:t>Q2</w:t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t>Q3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t>Q4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2252dcad90e7454e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