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9F00C" w14:textId="1E2F736F" w:rsidR="00373100" w:rsidRPr="001326FB" w:rsidRDefault="00304685" w:rsidP="00373100">
      <w:pPr>
        <w:pStyle w:val="Title"/>
        <w:rPr>
          <w:color w:val="FF0000"/>
        </w:rPr>
      </w:pPr>
      <w:r>
        <w:t xml:space="preserve">Group 2 – </w:t>
      </w:r>
      <w:r w:rsidR="001E1D7B">
        <w:t xml:space="preserve">Day </w:t>
      </w:r>
      <w:r w:rsidR="00503CC5">
        <w:t>ahead load forecasting model</w:t>
      </w:r>
    </w:p>
    <w:p w14:paraId="6DE871B4" w14:textId="1B287601" w:rsidR="002529D2" w:rsidRPr="0049722A" w:rsidRDefault="003914FE" w:rsidP="00205303">
      <w:pPr>
        <w:pStyle w:val="Heading1"/>
        <w:rPr>
          <w:b w:val="0"/>
          <w:sz w:val="26"/>
          <w:szCs w:val="26"/>
        </w:rPr>
      </w:pPr>
      <w:r w:rsidRPr="0049722A">
        <w:rPr>
          <w:b w:val="0"/>
          <w:sz w:val="26"/>
          <w:szCs w:val="26"/>
        </w:rPr>
        <w:t>Introduction</w:t>
      </w:r>
    </w:p>
    <w:p w14:paraId="1A207580" w14:textId="0738D81E" w:rsidR="00D40431" w:rsidRDefault="002529D2" w:rsidP="00373100">
      <w:r>
        <w:t xml:space="preserve">In the context </w:t>
      </w:r>
      <w:r w:rsidR="007B1E8F">
        <w:t>of</w:t>
      </w:r>
      <w:r w:rsidR="000B4185">
        <w:t xml:space="preserve"> electricity networks, </w:t>
      </w:r>
      <w:r w:rsidR="00C675A8">
        <w:t>load forecasting</w:t>
      </w:r>
      <w:r w:rsidR="00B4639F">
        <w:t xml:space="preserve"> emerges as a critical tool </w:t>
      </w:r>
      <w:r w:rsidR="007464CB">
        <w:t xml:space="preserve">used </w:t>
      </w:r>
      <w:r w:rsidR="00267D66">
        <w:t>to</w:t>
      </w:r>
      <w:r w:rsidR="00F05A43">
        <w:t xml:space="preserve"> anticipat</w:t>
      </w:r>
      <w:r w:rsidR="00267D66">
        <w:t>e</w:t>
      </w:r>
      <w:r w:rsidR="00F05A43">
        <w:t xml:space="preserve"> future electricity demand</w:t>
      </w:r>
      <w:r w:rsidR="00E13D5F">
        <w:t xml:space="preserve">, </w:t>
      </w:r>
      <w:r w:rsidR="009D490C">
        <w:t>enabling Distribution Network Operator</w:t>
      </w:r>
      <w:r w:rsidR="0083552C">
        <w:t xml:space="preserve">, and consequently, </w:t>
      </w:r>
      <w:r w:rsidR="009D490C">
        <w:t xml:space="preserve">Transmission monopolies </w:t>
      </w:r>
      <w:r w:rsidR="00D7300D">
        <w:t xml:space="preserve">to </w:t>
      </w:r>
      <w:r w:rsidR="00331029">
        <w:t xml:space="preserve">plan </w:t>
      </w:r>
      <w:r w:rsidR="009D490C">
        <w:t>their network infrastructure</w:t>
      </w:r>
      <w:r w:rsidR="00F361B3">
        <w:t xml:space="preserve"> and future connections</w:t>
      </w:r>
      <w:r w:rsidR="009D490C">
        <w:t>.</w:t>
      </w:r>
      <w:r w:rsidR="00850522">
        <w:t xml:space="preserve"> </w:t>
      </w:r>
      <w:r w:rsidR="0061656B">
        <w:t xml:space="preserve">This is especially </w:t>
      </w:r>
      <w:r w:rsidR="009622E4">
        <w:t>crucial given today’s circumstances with the global shift to green electricity, amplifying the strain on the grid</w:t>
      </w:r>
      <w:r w:rsidR="002122A6">
        <w:t xml:space="preserve"> </w:t>
      </w:r>
      <w:r w:rsidR="00C80BBD">
        <w:t>[1].</w:t>
      </w:r>
      <w:r w:rsidR="002122A6">
        <w:t xml:space="preserve"> </w:t>
      </w:r>
      <w:r w:rsidR="00831719">
        <w:t xml:space="preserve"> </w:t>
      </w:r>
      <w:r w:rsidR="00857942">
        <w:t>F</w:t>
      </w:r>
      <w:r w:rsidR="00B74E9F">
        <w:t>orecasting correctly ensure</w:t>
      </w:r>
      <w:r w:rsidR="00BB6A64">
        <w:t>s</w:t>
      </w:r>
      <w:r w:rsidR="00B74E9F">
        <w:t xml:space="preserve"> that </w:t>
      </w:r>
      <w:r w:rsidR="005C5ACA">
        <w:t>an appropriate amount of electricity is generated and distributed to homes</w:t>
      </w:r>
      <w:r w:rsidR="003C319E">
        <w:t>.</w:t>
      </w:r>
      <w:r w:rsidR="0097038E">
        <w:t xml:space="preserve"> </w:t>
      </w:r>
      <w:r w:rsidR="00D40431">
        <w:t>Under-generation at substation sites could cause power outages, blackouts, and hence safety concerns.</w:t>
      </w:r>
    </w:p>
    <w:p w14:paraId="23A58FEE" w14:textId="6AD43629" w:rsidR="00373100" w:rsidRPr="00303635" w:rsidRDefault="003914FE" w:rsidP="00373100">
      <w:pPr>
        <w:pStyle w:val="Heading2"/>
      </w:pPr>
      <w:r w:rsidRPr="00303635">
        <w:t>Forecast Model Design</w:t>
      </w:r>
    </w:p>
    <w:p w14:paraId="3472159E" w14:textId="7DE41CD2" w:rsidR="00E571FA" w:rsidRDefault="00E571FA" w:rsidP="00373100">
      <w:r>
        <w:t>The proposed models</w:t>
      </w:r>
      <w:r w:rsidR="009D09B3">
        <w:t xml:space="preserve"> follow a time-series approach and</w:t>
      </w:r>
      <w:r>
        <w:t xml:space="preserve"> </w:t>
      </w:r>
      <w:r w:rsidR="00452D47">
        <w:t xml:space="preserve">use </w:t>
      </w:r>
      <w:r w:rsidR="00E8556D">
        <w:t xml:space="preserve">half-hourly </w:t>
      </w:r>
      <w:r w:rsidR="009A7F31">
        <w:t xml:space="preserve">(HH) </w:t>
      </w:r>
      <w:r w:rsidR="008A3095">
        <w:t xml:space="preserve">transformer data </w:t>
      </w:r>
      <w:r w:rsidR="00902447">
        <w:t>on feeder 2</w:t>
      </w:r>
      <w:r w:rsidR="00E213BA">
        <w:t xml:space="preserve"> </w:t>
      </w:r>
      <w:r w:rsidR="002F2AB4">
        <w:t>in July</w:t>
      </w:r>
      <w:r w:rsidR="007659BF">
        <w:t xml:space="preserve">, combined with lag data and weather data, </w:t>
      </w:r>
      <w:r w:rsidR="002F2AB4">
        <w:t>to</w:t>
      </w:r>
      <w:r w:rsidR="000C388E">
        <w:t xml:space="preserve"> </w:t>
      </w:r>
      <w:r w:rsidR="00EF0FB4">
        <w:t xml:space="preserve">predict a load forecast in August. </w:t>
      </w:r>
      <w:r w:rsidR="00E93929">
        <w:t xml:space="preserve">The actual August load data </w:t>
      </w:r>
      <w:r w:rsidR="00A379E7">
        <w:t xml:space="preserve">is used </w:t>
      </w:r>
      <w:r w:rsidR="00962547">
        <w:t xml:space="preserve">in comparison with </w:t>
      </w:r>
      <w:r w:rsidR="00A379E7">
        <w:t>the model’s forecast and generate</w:t>
      </w:r>
      <w:r w:rsidR="009B057A">
        <w:t>s</w:t>
      </w:r>
      <w:r w:rsidR="00A379E7">
        <w:t xml:space="preserve"> error statistics used to gauge the success of the forecast.</w:t>
      </w:r>
    </w:p>
    <w:p w14:paraId="29CE1DD9" w14:textId="4CA87D7E" w:rsidR="00BB5C23" w:rsidRPr="00701A4E" w:rsidRDefault="00EC6ED6" w:rsidP="00373100">
      <w:pPr>
        <w:rPr>
          <w:color w:val="7030A0"/>
        </w:rPr>
      </w:pPr>
      <w:r>
        <w:t xml:space="preserve">A strategically selected </w:t>
      </w:r>
      <w:r w:rsidR="008151AF">
        <w:t>lagged data profile</w:t>
      </w:r>
      <w:r w:rsidR="00962547">
        <w:t xml:space="preserve"> </w:t>
      </w:r>
      <w:r w:rsidR="002D6CB6">
        <w:t xml:space="preserve">and weather observations </w:t>
      </w:r>
      <w:r w:rsidR="00962547">
        <w:t xml:space="preserve">served </w:t>
      </w:r>
      <w:r w:rsidR="00F36057">
        <w:t xml:space="preserve">as </w:t>
      </w:r>
      <w:r w:rsidR="004F6655">
        <w:t>predictors for the models.</w:t>
      </w:r>
      <w:r w:rsidR="00FB1E4C">
        <w:t xml:space="preserve"> The methodology</w:t>
      </w:r>
      <w:r w:rsidR="00C025B0">
        <w:t xml:space="preserve"> involved analysis of Pearson’s </w:t>
      </w:r>
      <w:r w:rsidR="00B86426">
        <w:t xml:space="preserve">correlation </w:t>
      </w:r>
      <w:r w:rsidR="00C025B0">
        <w:t xml:space="preserve">coefficient, </w:t>
      </w:r>
      <w:r w:rsidR="004316BB">
        <w:t xml:space="preserve">mean, and </w:t>
      </w:r>
      <w:r w:rsidR="009219F5">
        <w:t xml:space="preserve">median where </w:t>
      </w:r>
      <w:r w:rsidR="002E59A2">
        <w:t xml:space="preserve">appropriate </w:t>
      </w:r>
      <w:r w:rsidR="00204247">
        <w:t>variables</w:t>
      </w:r>
      <w:r w:rsidR="002E59A2">
        <w:t xml:space="preserve"> were chosen</w:t>
      </w:r>
      <w:r w:rsidR="00FB1E4C">
        <w:t xml:space="preserve"> as predictors for the model.</w:t>
      </w:r>
      <w:r w:rsidR="00D43872">
        <w:t xml:space="preserve"> </w:t>
      </w:r>
      <w:r w:rsidR="005E5FCF">
        <w:t>V</w:t>
      </w:r>
      <w:r w:rsidR="00232C7E">
        <w:t xml:space="preserve">isual inspection of </w:t>
      </w:r>
      <w:r w:rsidR="00854160">
        <w:t xml:space="preserve">Matlab’s RRelief algorithm plotting tool </w:t>
      </w:r>
      <w:r w:rsidR="00D94B46">
        <w:t>gave further reassurance of</w:t>
      </w:r>
      <w:r w:rsidR="005E5FCF">
        <w:t xml:space="preserve"> this selection</w:t>
      </w:r>
      <w:r w:rsidR="00794018">
        <w:t xml:space="preserve"> </w:t>
      </w:r>
      <w:r w:rsidR="00E0498A">
        <w:t>consisting of</w:t>
      </w:r>
      <w:r w:rsidR="00794018">
        <w:t xml:space="preserve">: Lag </w:t>
      </w:r>
      <w:r w:rsidR="007D2EB5">
        <w:t>48</w:t>
      </w:r>
      <w:r w:rsidR="00FE4888">
        <w:t xml:space="preserve">HH, </w:t>
      </w:r>
      <w:r w:rsidR="001B7256">
        <w:t xml:space="preserve">72HH, 96HH, </w:t>
      </w:r>
      <w:r w:rsidR="00011134">
        <w:t>336HH</w:t>
      </w:r>
      <w:r w:rsidR="00C708D2">
        <w:t xml:space="preserve">, </w:t>
      </w:r>
      <w:r w:rsidR="00447212">
        <w:t xml:space="preserve">GSI, </w:t>
      </w:r>
      <w:r w:rsidR="005F117D">
        <w:t>a</w:t>
      </w:r>
      <w:r w:rsidR="00447212">
        <w:t xml:space="preserve">ir temperature, </w:t>
      </w:r>
      <w:r w:rsidR="00E0498A">
        <w:t xml:space="preserve">and wet bulb. </w:t>
      </w:r>
      <w:r w:rsidR="009B2495">
        <w:t>Since the model predicts a day-ahead forecast, then the horizon</w:t>
      </w:r>
      <w:r w:rsidR="00DF7916">
        <w:t xml:space="preserve"> for the lagged data</w:t>
      </w:r>
      <w:r w:rsidR="00157A8F">
        <w:t xml:space="preserve"> is 48</w:t>
      </w:r>
      <w:r w:rsidR="00FA1C42">
        <w:t xml:space="preserve"> HH (1 day)</w:t>
      </w:r>
      <w:r w:rsidR="00664A24">
        <w:t xml:space="preserve"> as</w:t>
      </w:r>
      <w:r w:rsidR="008B0029">
        <w:t xml:space="preserve"> trends </w:t>
      </w:r>
      <w:r w:rsidR="00C36B1A">
        <w:t>throughout the</w:t>
      </w:r>
      <w:r w:rsidR="008B0029">
        <w:t xml:space="preserve"> day will not be captured otherwise.</w:t>
      </w:r>
      <w:r w:rsidR="00065836">
        <w:t xml:space="preserve"> </w:t>
      </w:r>
      <w:r w:rsidR="00F9222A">
        <w:t>This horizon</w:t>
      </w:r>
      <w:r w:rsidR="00A77C97">
        <w:t xml:space="preserve"> </w:t>
      </w:r>
      <w:r w:rsidR="00F25BEE">
        <w:t>states the smallest lag value that can be used.</w:t>
      </w:r>
    </w:p>
    <w:p w14:paraId="7E747BBA" w14:textId="3B1C3E95" w:rsidR="00493F5A" w:rsidRPr="00493F5A" w:rsidRDefault="00493F5A" w:rsidP="00373100">
      <w:r>
        <w:t xml:space="preserve">Recognised for its simplicity and effectiveness, the team opted for </w:t>
      </w:r>
      <w:r w:rsidR="00F915FA">
        <w:t xml:space="preserve">the Linear Regression variation for all 3 models. </w:t>
      </w:r>
      <w:r w:rsidR="00741EEF">
        <w:t xml:space="preserve">Linear regression </w:t>
      </w:r>
      <w:r w:rsidR="00321568">
        <w:t xml:space="preserve">learns the best-fitting linear relationship </w:t>
      </w:r>
      <w:r w:rsidR="00C23627">
        <w:t>between the input and target output data</w:t>
      </w:r>
      <w:r w:rsidR="005D55EB">
        <w:t xml:space="preserve"> </w:t>
      </w:r>
      <w:r w:rsidR="00DF2330">
        <w:t xml:space="preserve">and </w:t>
      </w:r>
      <w:r w:rsidR="00CC3D4D">
        <w:t>forecasts data using this relationship.</w:t>
      </w:r>
    </w:p>
    <w:p w14:paraId="5ABF7EF3" w14:textId="16768E8D" w:rsidR="005C7B14" w:rsidRDefault="003914FE" w:rsidP="00BC2762">
      <w:pPr>
        <w:pStyle w:val="Heading2"/>
      </w:pPr>
      <w:r>
        <w:t>Results and Discussion</w:t>
      </w:r>
    </w:p>
    <w:p w14:paraId="52C07CDF" w14:textId="1EC06D51" w:rsidR="00752201" w:rsidRDefault="009462CB" w:rsidP="00920306">
      <w:r>
        <w:rPr>
          <w:noProof/>
        </w:rPr>
        <w:drawing>
          <wp:anchor distT="0" distB="0" distL="114300" distR="114300" simplePos="0" relativeHeight="251658241" behindDoc="0" locked="0" layoutInCell="1" allowOverlap="1" wp14:anchorId="1C046DBE" wp14:editId="147A0B3F">
            <wp:simplePos x="0" y="0"/>
            <wp:positionH relativeFrom="margin">
              <wp:align>right</wp:align>
            </wp:positionH>
            <wp:positionV relativeFrom="paragraph">
              <wp:posOffset>919480</wp:posOffset>
            </wp:positionV>
            <wp:extent cx="1740535" cy="1775460"/>
            <wp:effectExtent l="0" t="0" r="0" b="0"/>
            <wp:wrapThrough wrapText="bothSides">
              <wp:wrapPolygon edited="0">
                <wp:start x="0" y="0"/>
                <wp:lineTo x="0" y="21322"/>
                <wp:lineTo x="21277" y="21322"/>
                <wp:lineTo x="21277" y="0"/>
                <wp:lineTo x="0" y="0"/>
              </wp:wrapPolygon>
            </wp:wrapThrough>
            <wp:docPr id="1265808482" name="Picture 1265808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08482" name="Picture 12658084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306">
        <w:t xml:space="preserve">The </w:t>
      </w:r>
      <w:r w:rsidR="005F423B">
        <w:t xml:space="preserve">performance of the </w:t>
      </w:r>
      <w:r w:rsidR="000D67C7">
        <w:t xml:space="preserve">load forecasting models were gauged by </w:t>
      </w:r>
      <w:r w:rsidR="000D6159">
        <w:t>R-squared, RMSE</w:t>
      </w:r>
      <w:r w:rsidR="00F97ACE">
        <w:t xml:space="preserve">, MSE, </w:t>
      </w:r>
      <w:r w:rsidR="00FE7A69">
        <w:t xml:space="preserve">and MAE. </w:t>
      </w:r>
      <w:r w:rsidR="00446F70">
        <w:t>R-squared gives an indication of</w:t>
      </w:r>
      <w:r w:rsidR="00C845D8">
        <w:t xml:space="preserve"> </w:t>
      </w:r>
      <w:r w:rsidR="00264DC4">
        <w:t>how much an independent variable influences the change on the dependant variable</w:t>
      </w:r>
      <w:r w:rsidR="00D7032B">
        <w:t xml:space="preserve">. RMSE, MSE, and MAE, </w:t>
      </w:r>
      <w:r w:rsidR="001451A6">
        <w:t>highlight</w:t>
      </w:r>
      <w:r w:rsidR="00A17CCD">
        <w:t xml:space="preserve"> the quantity in which</w:t>
      </w:r>
      <w:r w:rsidR="001451A6">
        <w:t xml:space="preserve"> the forecasted data deviates from the true data</w:t>
      </w:r>
      <w:r w:rsidR="00A75442">
        <w:t xml:space="preserve"> [2].</w:t>
      </w:r>
      <w:r w:rsidR="001451A6">
        <w:t xml:space="preserve"> </w:t>
      </w:r>
      <w:r w:rsidR="00D4677D">
        <w:t xml:space="preserve">The aforementioned array of error metrics </w:t>
      </w:r>
      <w:r w:rsidR="00D0391B">
        <w:t xml:space="preserve">is used to </w:t>
      </w:r>
      <w:r w:rsidR="00D4677D">
        <w:t>a</w:t>
      </w:r>
      <w:r w:rsidR="00752201">
        <w:t>dequately capture the performance of each model</w:t>
      </w:r>
      <w:r w:rsidR="00D0391B">
        <w:t xml:space="preserve"> and </w:t>
      </w:r>
      <w:r w:rsidR="00E468AF">
        <w:t xml:space="preserve">is </w:t>
      </w:r>
      <w:r w:rsidR="00D0391B">
        <w:t>displayed in Table 1.</w:t>
      </w:r>
    </w:p>
    <w:tbl>
      <w:tblPr>
        <w:tblStyle w:val="TableGrid"/>
        <w:tblpPr w:leftFromText="180" w:rightFromText="180" w:vertAnchor="text" w:horzAnchor="margin" w:tblpY="260"/>
        <w:tblW w:w="5040" w:type="dxa"/>
        <w:tblLook w:val="04A0" w:firstRow="1" w:lastRow="0" w:firstColumn="1" w:lastColumn="0" w:noHBand="0" w:noVBand="1"/>
      </w:tblPr>
      <w:tblGrid>
        <w:gridCol w:w="946"/>
        <w:gridCol w:w="1136"/>
        <w:gridCol w:w="986"/>
        <w:gridCol w:w="986"/>
        <w:gridCol w:w="986"/>
      </w:tblGrid>
      <w:tr w:rsidR="00D0326E" w14:paraId="23371555" w14:textId="77777777" w:rsidTr="00D0326E">
        <w:trPr>
          <w:trHeight w:val="232"/>
        </w:trPr>
        <w:tc>
          <w:tcPr>
            <w:tcW w:w="946" w:type="dxa"/>
          </w:tcPr>
          <w:p w14:paraId="6EC47351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Model</w:t>
            </w:r>
          </w:p>
        </w:tc>
        <w:tc>
          <w:tcPr>
            <w:tcW w:w="1136" w:type="dxa"/>
          </w:tcPr>
          <w:p w14:paraId="0188EBD5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R-Squared</w:t>
            </w:r>
          </w:p>
        </w:tc>
        <w:tc>
          <w:tcPr>
            <w:tcW w:w="986" w:type="dxa"/>
          </w:tcPr>
          <w:p w14:paraId="7CCBF22A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RMSE</w:t>
            </w:r>
          </w:p>
        </w:tc>
        <w:tc>
          <w:tcPr>
            <w:tcW w:w="986" w:type="dxa"/>
          </w:tcPr>
          <w:p w14:paraId="37162068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MSE</w:t>
            </w:r>
          </w:p>
        </w:tc>
        <w:tc>
          <w:tcPr>
            <w:tcW w:w="986" w:type="dxa"/>
          </w:tcPr>
          <w:p w14:paraId="66E6116B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MAE</w:t>
            </w:r>
          </w:p>
        </w:tc>
      </w:tr>
      <w:tr w:rsidR="00D0326E" w14:paraId="199F7C59" w14:textId="77777777" w:rsidTr="00D0326E">
        <w:trPr>
          <w:trHeight w:val="209"/>
        </w:trPr>
        <w:tc>
          <w:tcPr>
            <w:tcW w:w="946" w:type="dxa"/>
          </w:tcPr>
          <w:p w14:paraId="133A2118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1</w:t>
            </w:r>
          </w:p>
        </w:tc>
        <w:tc>
          <w:tcPr>
            <w:tcW w:w="1136" w:type="dxa"/>
          </w:tcPr>
          <w:p w14:paraId="38144693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0.83</w:t>
            </w:r>
          </w:p>
        </w:tc>
        <w:tc>
          <w:tcPr>
            <w:tcW w:w="986" w:type="dxa"/>
          </w:tcPr>
          <w:p w14:paraId="7CE4395C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3.1602</w:t>
            </w:r>
          </w:p>
        </w:tc>
        <w:tc>
          <w:tcPr>
            <w:tcW w:w="986" w:type="dxa"/>
          </w:tcPr>
          <w:p w14:paraId="5A7974F5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9.9869</w:t>
            </w:r>
          </w:p>
        </w:tc>
        <w:tc>
          <w:tcPr>
            <w:tcW w:w="986" w:type="dxa"/>
          </w:tcPr>
          <w:p w14:paraId="0088C2A2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2.2596</w:t>
            </w:r>
          </w:p>
        </w:tc>
      </w:tr>
      <w:tr w:rsidR="00D0326E" w14:paraId="05AB181F" w14:textId="77777777" w:rsidTr="00D0326E">
        <w:trPr>
          <w:trHeight w:val="201"/>
        </w:trPr>
        <w:tc>
          <w:tcPr>
            <w:tcW w:w="946" w:type="dxa"/>
          </w:tcPr>
          <w:p w14:paraId="16721E5B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2</w:t>
            </w:r>
          </w:p>
        </w:tc>
        <w:tc>
          <w:tcPr>
            <w:tcW w:w="1136" w:type="dxa"/>
          </w:tcPr>
          <w:p w14:paraId="330334A1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0.81</w:t>
            </w:r>
          </w:p>
        </w:tc>
        <w:tc>
          <w:tcPr>
            <w:tcW w:w="986" w:type="dxa"/>
          </w:tcPr>
          <w:p w14:paraId="1D06E316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bCs/>
                <w:sz w:val="20"/>
                <w:szCs w:val="20"/>
              </w:rPr>
              <w:t>0.1621</w:t>
            </w:r>
          </w:p>
        </w:tc>
        <w:tc>
          <w:tcPr>
            <w:tcW w:w="986" w:type="dxa"/>
          </w:tcPr>
          <w:p w14:paraId="2C4295FA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bCs/>
                <w:sz w:val="20"/>
                <w:szCs w:val="20"/>
              </w:rPr>
              <w:t>0.0263</w:t>
            </w:r>
          </w:p>
        </w:tc>
        <w:tc>
          <w:tcPr>
            <w:tcW w:w="986" w:type="dxa"/>
          </w:tcPr>
          <w:p w14:paraId="118064E3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bCs/>
                <w:sz w:val="20"/>
                <w:szCs w:val="20"/>
              </w:rPr>
              <w:t>0.1195</w:t>
            </w:r>
          </w:p>
        </w:tc>
      </w:tr>
      <w:tr w:rsidR="00D0326E" w14:paraId="141BFBEC" w14:textId="77777777" w:rsidTr="00D0326E">
        <w:trPr>
          <w:trHeight w:val="209"/>
        </w:trPr>
        <w:tc>
          <w:tcPr>
            <w:tcW w:w="946" w:type="dxa"/>
          </w:tcPr>
          <w:p w14:paraId="0FC90936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3</w:t>
            </w:r>
          </w:p>
        </w:tc>
        <w:tc>
          <w:tcPr>
            <w:tcW w:w="1136" w:type="dxa"/>
          </w:tcPr>
          <w:p w14:paraId="2E731155" w14:textId="0244C9CE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0.8</w:t>
            </w:r>
            <w:r w:rsidR="00FB00F2">
              <w:rPr>
                <w:sz w:val="20"/>
                <w:szCs w:val="20"/>
              </w:rPr>
              <w:t>4</w:t>
            </w:r>
          </w:p>
        </w:tc>
        <w:tc>
          <w:tcPr>
            <w:tcW w:w="986" w:type="dxa"/>
          </w:tcPr>
          <w:p w14:paraId="0F6CA843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0.1616</w:t>
            </w:r>
          </w:p>
        </w:tc>
        <w:tc>
          <w:tcPr>
            <w:tcW w:w="986" w:type="dxa"/>
          </w:tcPr>
          <w:p w14:paraId="567FBAEA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0.0261</w:t>
            </w:r>
          </w:p>
        </w:tc>
        <w:tc>
          <w:tcPr>
            <w:tcW w:w="986" w:type="dxa"/>
          </w:tcPr>
          <w:p w14:paraId="7D327769" w14:textId="77777777" w:rsidR="00831719" w:rsidRPr="00D0326E" w:rsidRDefault="00831719" w:rsidP="00831719">
            <w:pPr>
              <w:rPr>
                <w:sz w:val="20"/>
                <w:szCs w:val="20"/>
              </w:rPr>
            </w:pPr>
            <w:r w:rsidRPr="00D0326E">
              <w:rPr>
                <w:sz w:val="20"/>
                <w:szCs w:val="20"/>
              </w:rPr>
              <w:t>0.1216</w:t>
            </w:r>
          </w:p>
        </w:tc>
      </w:tr>
    </w:tbl>
    <w:p w14:paraId="2F282DBD" w14:textId="40280CC3" w:rsidR="00017E17" w:rsidRDefault="00DD2DFC" w:rsidP="00373100">
      <w:pPr>
        <w:rPr>
          <w:b/>
          <w:bCs/>
          <w:sz w:val="18"/>
          <w:szCs w:val="18"/>
        </w:rPr>
      </w:pPr>
      <w:r w:rsidRPr="00DD2DFC">
        <w:rPr>
          <w:b/>
          <w:bCs/>
          <w:sz w:val="18"/>
          <w:szCs w:val="18"/>
        </w:rPr>
        <w:t>Table 1. Model performance metrics</w:t>
      </w:r>
    </w:p>
    <w:p w14:paraId="61FDBC67" w14:textId="7D24EB47" w:rsidR="00142960" w:rsidRDefault="00142960" w:rsidP="00373100">
      <w:pPr>
        <w:rPr>
          <w:b/>
          <w:bCs/>
        </w:rPr>
      </w:pPr>
    </w:p>
    <w:p w14:paraId="22C08B46" w14:textId="403B29D0" w:rsidR="00D0326E" w:rsidRDefault="00D0326E" w:rsidP="00373100">
      <w:pPr>
        <w:rPr>
          <w:b/>
          <w:bCs/>
        </w:rPr>
      </w:pPr>
    </w:p>
    <w:p w14:paraId="10043FE8" w14:textId="77777777" w:rsidR="009462CB" w:rsidRDefault="009462CB" w:rsidP="00373100">
      <w:pPr>
        <w:rPr>
          <w:b/>
          <w:bCs/>
        </w:rPr>
      </w:pPr>
    </w:p>
    <w:p w14:paraId="7938C16C" w14:textId="1CCA0234" w:rsidR="00205118" w:rsidRPr="00853993" w:rsidRDefault="009462CB" w:rsidP="00373100">
      <w:r w:rsidRPr="00F422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4FF3875" wp14:editId="23CF9730">
                <wp:simplePos x="0" y="0"/>
                <wp:positionH relativeFrom="margin">
                  <wp:align>right</wp:align>
                </wp:positionH>
                <wp:positionV relativeFrom="paragraph">
                  <wp:posOffset>588645</wp:posOffset>
                </wp:positionV>
                <wp:extent cx="1740535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277" y="20057"/>
                    <wp:lineTo x="21277" y="0"/>
                    <wp:lineTo x="0" y="0"/>
                  </wp:wrapPolygon>
                </wp:wrapThrough>
                <wp:docPr id="806441490" name="Text Box 806441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A31BA" w14:textId="1539D5CA" w:rsidR="00547965" w:rsidRPr="000141E2" w:rsidRDefault="00547965" w:rsidP="00547965">
                            <w:pPr>
                              <w:pStyle w:val="Caption"/>
                              <w:rPr>
                                <w:noProof/>
                                <w:color w:val="1482AC"/>
                              </w:rPr>
                            </w:pPr>
                            <w:r>
                              <w:t xml:space="preserve">Figure </w:t>
                            </w:r>
                            <w:r w:rsidR="002A55E7">
                              <w:fldChar w:fldCharType="begin"/>
                            </w:r>
                            <w:r w:rsidR="002A55E7">
                              <w:instrText xml:space="preserve"> SEQ Figure \* ARABIC </w:instrText>
                            </w:r>
                            <w:r w:rsidR="002A55E7">
                              <w:fldChar w:fldCharType="separate"/>
                            </w:r>
                            <w:r w:rsidR="00381418">
                              <w:rPr>
                                <w:noProof/>
                              </w:rPr>
                              <w:t>1</w:t>
                            </w:r>
                            <w:r w:rsidR="002A55E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693EC9">
                              <w:t xml:space="preserve">Benchmark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F3875" id="_x0000_t202" coordsize="21600,21600" o:spt="202" path="m,l,21600r21600,l21600,xe">
                <v:stroke joinstyle="miter"/>
                <v:path gradientshapeok="t" o:connecttype="rect"/>
              </v:shapetype>
              <v:shape id="Text Box 806441490" o:spid="_x0000_s1026" type="#_x0000_t202" style="position:absolute;margin-left:85.85pt;margin-top:46.35pt;width:137.05pt;height:.05pt;z-index:25165824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rCFQIAADgEAAAOAAAAZHJzL2Uyb0RvYy54bWysU8Fu2zAMvQ/YPwi6L066tRuCOEWWIsOA&#10;oi2QDj0rshwbkEWNYmJnXz9KtpOt22nYRaZF6lF872lx2zVWHA2GGlwuZ5OpFMZpKGq3z+W35827&#10;T1IEUq5QFpzJ5ckEebt8+2bR+rm5ggpsYVAwiAvz1ueyIvLzLAu6Mo0KE/DGcbIEbBTxL+6zAlXL&#10;6I3NrqbTm6wFLDyCNiHw7l2flMuEX5ZG02NZBkPC5pLvRmnFtO7imi0Xar5H5ataD9dQ/3CLRtWO&#10;m56h7hQpccD6D6im1ggBSppoaDIoy1qbNANPM5u+mmZbKW/SLExO8Geawv+D1Q/HrX9CQd1n6FjA&#10;SEjrwzzwZpynK7GJX76p4DxTeDrTZjoSOh76+GF6/f5aCs25Gw4YI7sc9Rjoi4FGxCCXyJokqtTx&#10;PlBfOpbETgFsXWxqa+NPTKwtiqNi/dqqJjOA/1ZlXax1EE/1gHEnu8wRI+p23TDcDooTz4zQ2yF4&#10;vam50b0K9KSQ9ecx2dP0yEtpoc0lDJEUFeCPv+3HepaFs1K07Kdchu8HhUYK+9WxYNF8Y4BjsBsD&#10;d2jWwCPO+LV4nUI+gGTHsERoXtjqq9iFU8pp7pVLGsM19a7mp6LNapWK2GJe0b3beh2hR0KfuxeF&#10;fpCDWMUHGJ2m5q9U6WuTLn51IKY4SRYJ7VkceGZ7JtGHpxT9/+t/qro8+OVPAAAA//8DAFBLAwQU&#10;AAYACAAAACEA17ZYYN4AAAAGAQAADwAAAGRycy9kb3ducmV2LnhtbEyPwW7CMBBE75X6D9Yi9VIV&#10;hzQCmsZBCLWH9oIIXHoz8RKHxuvIdiD9+5pTe9yZ0czbYjWajl3Q+daSgNk0AYZUW9VSI+Cwf39a&#10;AvNBkpKdJRTwgx5W5f1dIXNlr7TDSxUaFkvI51KADqHPOfe1RiP91PZI0TtZZ2SIp2u4cvIay03H&#10;0ySZcyNbigta9rjRWH9XgxGwzb62+nE4vX2us2f3cRg283NTCfEwGdevwAKO4S8MN/yIDmVkOtqB&#10;lGedgPhIEPCSLoBFN11kM2DHm7AEXhb8P375CwAA//8DAFBLAQItABQABgAIAAAAIQC2gziS/gAA&#10;AOEBAAATAAAAAAAAAAAAAAAAAAAAAABbQ29udGVudF9UeXBlc10ueG1sUEsBAi0AFAAGAAgAAAAh&#10;ADj9If/WAAAAlAEAAAsAAAAAAAAAAAAAAAAALwEAAF9yZWxzLy5yZWxzUEsBAi0AFAAGAAgAAAAh&#10;AK9QmsIVAgAAOAQAAA4AAAAAAAAAAAAAAAAALgIAAGRycy9lMm9Eb2MueG1sUEsBAi0AFAAGAAgA&#10;AAAhANe2WGDeAAAABgEAAA8AAAAAAAAAAAAAAAAAbwQAAGRycy9kb3ducmV2LnhtbFBLBQYAAAAA&#10;BAAEAPMAAAB6BQAAAAA=&#10;" stroked="f">
                <v:textbox style="mso-fit-shape-to-text:t" inset="0,0,0,0">
                  <w:txbxContent>
                    <w:p w14:paraId="66DA31BA" w14:textId="1539D5CA" w:rsidR="00547965" w:rsidRPr="000141E2" w:rsidRDefault="00547965" w:rsidP="00547965">
                      <w:pPr>
                        <w:pStyle w:val="Caption"/>
                        <w:rPr>
                          <w:noProof/>
                          <w:color w:val="1482AC"/>
                        </w:rPr>
                      </w:pPr>
                      <w:r>
                        <w:t xml:space="preserve">Figure </w:t>
                      </w:r>
                      <w:r w:rsidR="002A55E7">
                        <w:fldChar w:fldCharType="begin"/>
                      </w:r>
                      <w:r w:rsidR="002A55E7">
                        <w:instrText xml:space="preserve"> SEQ Figure \* ARABIC </w:instrText>
                      </w:r>
                      <w:r w:rsidR="002A55E7">
                        <w:fldChar w:fldCharType="separate"/>
                      </w:r>
                      <w:r w:rsidR="00381418">
                        <w:rPr>
                          <w:noProof/>
                        </w:rPr>
                        <w:t>1</w:t>
                      </w:r>
                      <w:r w:rsidR="002A55E7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="00693EC9">
                        <w:t xml:space="preserve">Benchmark model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828A7" w:rsidRPr="00F541DF">
        <w:rPr>
          <w:b/>
          <w:bCs/>
        </w:rPr>
        <w:t>Model 1:</w:t>
      </w:r>
      <w:r w:rsidR="00E828A7" w:rsidRPr="00E828A7">
        <w:t xml:space="preserve"> </w:t>
      </w:r>
      <w:r w:rsidR="00853993">
        <w:t xml:space="preserve">The benchmark model was created by using </w:t>
      </w:r>
      <w:r w:rsidR="00E3668F">
        <w:t xml:space="preserve">the Linear Regression Learner </w:t>
      </w:r>
      <w:r w:rsidR="00C31B77">
        <w:t>and feeding</w:t>
      </w:r>
      <w:r w:rsidR="004C0FA8">
        <w:t xml:space="preserve"> the strategically selected lagged load and weather data. The results, depicted in Figure 1, exhibit a vague linear relationship between the forecasted and true response</w:t>
      </w:r>
      <w:r w:rsidR="00DD56FA">
        <w:t>, giv</w:t>
      </w:r>
      <w:r w:rsidR="005E1A80">
        <w:t>en</w:t>
      </w:r>
      <w:r w:rsidR="00DD56FA">
        <w:t xml:space="preserve"> by a R-squared of </w:t>
      </w:r>
      <w:r w:rsidR="00CF24D4">
        <w:t>0.83.</w:t>
      </w:r>
      <w:r w:rsidR="008A29DA">
        <w:t xml:space="preserve"> </w:t>
      </w:r>
      <w:r w:rsidR="00E7733D">
        <w:t>L</w:t>
      </w:r>
      <w:r w:rsidR="00800C70">
        <w:t>arge</w:t>
      </w:r>
      <w:r w:rsidR="001F7831">
        <w:t xml:space="preserve"> RMSE, MSE, and MAE values</w:t>
      </w:r>
      <w:r w:rsidR="00A012FE">
        <w:t xml:space="preserve"> </w:t>
      </w:r>
      <w:r w:rsidR="00205118">
        <w:t>indicate poor predictive performance.</w:t>
      </w:r>
      <w:r w:rsidR="00FC7178">
        <w:t xml:space="preserve"> </w:t>
      </w:r>
    </w:p>
    <w:p w14:paraId="4019D71E" w14:textId="0A24B3F9" w:rsidR="00C46E45" w:rsidRDefault="00CC798F" w:rsidP="00373100">
      <w:r w:rsidRPr="00F422DF">
        <w:rPr>
          <w:b/>
          <w:bCs/>
          <w:noProof/>
        </w:rPr>
        <w:drawing>
          <wp:anchor distT="0" distB="0" distL="114300" distR="114300" simplePos="0" relativeHeight="251658243" behindDoc="0" locked="0" layoutInCell="1" allowOverlap="1" wp14:anchorId="7780237A" wp14:editId="5C2F113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740535" cy="1767840"/>
            <wp:effectExtent l="0" t="0" r="0" b="3810"/>
            <wp:wrapSquare wrapText="bothSides"/>
            <wp:docPr id="227563194" name="Picture 227563194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63194" name="Picture 2" descr="A graph with blue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E45" w:rsidRPr="00F422DF">
        <w:rPr>
          <w:b/>
          <w:bCs/>
        </w:rPr>
        <w:t>Model 2:</w:t>
      </w:r>
      <w:r w:rsidR="00C46E45">
        <w:t xml:space="preserve"> To improve Model 1, </w:t>
      </w:r>
      <w:r w:rsidR="002443B7">
        <w:t>pre</w:t>
      </w:r>
      <w:r w:rsidR="0073014A">
        <w:t>-</w:t>
      </w:r>
      <w:r w:rsidR="002443B7">
        <w:t xml:space="preserve">processing of </w:t>
      </w:r>
      <w:r w:rsidR="0024550D">
        <w:t xml:space="preserve">the load data </w:t>
      </w:r>
      <w:r w:rsidR="000C67D9">
        <w:t xml:space="preserve">for the train and test </w:t>
      </w:r>
      <w:r w:rsidR="007A1646">
        <w:t xml:space="preserve">data </w:t>
      </w:r>
      <w:r w:rsidR="000C67D9">
        <w:t xml:space="preserve">set was </w:t>
      </w:r>
      <w:r w:rsidR="00516B00">
        <w:t>executed</w:t>
      </w:r>
      <w:r w:rsidR="002443B7">
        <w:t xml:space="preserve"> </w:t>
      </w:r>
      <w:r w:rsidR="004944A3">
        <w:t xml:space="preserve">to </w:t>
      </w:r>
      <w:r w:rsidR="004D3E08">
        <w:t>create more normally distributed data</w:t>
      </w:r>
      <w:r w:rsidR="000C67D9">
        <w:t>.</w:t>
      </w:r>
      <w:r w:rsidR="00903B54">
        <w:t xml:space="preserve"> Preprocessing involved </w:t>
      </w:r>
      <w:r w:rsidR="00A01FD3">
        <w:t xml:space="preserve">extracting a log of the data </w:t>
      </w:r>
      <w:r w:rsidR="00551F92">
        <w:t xml:space="preserve">which </w:t>
      </w:r>
      <w:r w:rsidR="00ED3851">
        <w:t xml:space="preserve">normalises the mean </w:t>
      </w:r>
      <w:r w:rsidR="00516788">
        <w:t>for test and train data.</w:t>
      </w:r>
      <w:r w:rsidR="000C67D9">
        <w:t xml:space="preserve"> This is</w:t>
      </w:r>
      <w:r w:rsidR="00516788">
        <w:t xml:space="preserve"> done </w:t>
      </w:r>
      <w:r w:rsidR="0061268F">
        <w:t>du</w:t>
      </w:r>
      <w:r w:rsidR="000C67D9">
        <w:t xml:space="preserve">e to </w:t>
      </w:r>
      <w:r w:rsidR="00A67586">
        <w:t>linear models performing better with normal distributed data</w:t>
      </w:r>
      <w:r w:rsidR="00547965">
        <w:t xml:space="preserve"> [3].</w:t>
      </w:r>
      <w:r w:rsidR="0046189D">
        <w:t xml:space="preserve"> This </w:t>
      </w:r>
      <w:r>
        <w:t>greatly</w:t>
      </w:r>
      <w:r w:rsidR="00EE36A0">
        <w:t xml:space="preserve"> decreased errors however </w:t>
      </w:r>
      <w:r w:rsidR="00120C9D">
        <w:t>furthered the problem of outliers</w:t>
      </w:r>
      <w:r w:rsidR="00950E2A">
        <w:t xml:space="preserve"> as seen in </w:t>
      </w:r>
      <w:r w:rsidR="002B4DDE">
        <w:t>F</w:t>
      </w:r>
      <w:r w:rsidR="00950E2A">
        <w:t>igure 2</w:t>
      </w:r>
      <w:r w:rsidR="00120C9D">
        <w:t xml:space="preserve">. </w:t>
      </w:r>
      <w:r w:rsidR="00547965">
        <w:t xml:space="preserve"> </w:t>
      </w:r>
    </w:p>
    <w:p w14:paraId="2C24F537" w14:textId="78B28FC2" w:rsidR="00B23C1B" w:rsidRPr="00831719" w:rsidRDefault="00F07213" w:rsidP="0037310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0B1A0203" wp14:editId="0752F47D">
            <wp:simplePos x="0" y="0"/>
            <wp:positionH relativeFrom="margin">
              <wp:align>right</wp:align>
            </wp:positionH>
            <wp:positionV relativeFrom="paragraph">
              <wp:posOffset>875030</wp:posOffset>
            </wp:positionV>
            <wp:extent cx="1722120" cy="1722120"/>
            <wp:effectExtent l="0" t="0" r="0" b="0"/>
            <wp:wrapThrough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hrough>
            <wp:docPr id="1547594478" name="Picture 1547594478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94478" name="Picture 1" descr="A graph with blue do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73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F411CFA" wp14:editId="3D2B0A58">
                <wp:simplePos x="0" y="0"/>
                <wp:positionH relativeFrom="margin">
                  <wp:align>right</wp:align>
                </wp:positionH>
                <wp:positionV relativeFrom="paragraph">
                  <wp:posOffset>445770</wp:posOffset>
                </wp:positionV>
                <wp:extent cx="1679575" cy="635"/>
                <wp:effectExtent l="0" t="0" r="0" b="0"/>
                <wp:wrapSquare wrapText="bothSides"/>
                <wp:docPr id="1126298039" name="Text Box 1126298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8C862" w14:textId="7C35B0AE" w:rsidR="00525C5F" w:rsidRPr="007D1AD2" w:rsidRDefault="00525C5F" w:rsidP="00525C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A55E7">
                              <w:fldChar w:fldCharType="begin"/>
                            </w:r>
                            <w:r w:rsidR="002A55E7">
                              <w:instrText xml:space="preserve"> SEQ Figure \* ARABIC </w:instrText>
                            </w:r>
                            <w:r w:rsidR="002A55E7">
                              <w:fldChar w:fldCharType="separate"/>
                            </w:r>
                            <w:r w:rsidR="00381418">
                              <w:rPr>
                                <w:noProof/>
                              </w:rPr>
                              <w:t>2</w:t>
                            </w:r>
                            <w:r w:rsidR="002A55E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73014A">
                              <w:t>Pre-processed</w:t>
                            </w:r>
                            <w:r w:rsidR="00716B04">
                              <w:t xml:space="preserve"> data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11CFA" id="Text Box 1126298039" o:spid="_x0000_s1027" type="#_x0000_t202" style="position:absolute;margin-left:81.05pt;margin-top:35.1pt;width:132.25pt;height:.05pt;z-index:2516582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cpGAIAAD8EAAAOAAAAZHJzL2Uyb0RvYy54bWysU8GO2jAQvVfqP1i+l8BWsG1EWFFWVJXQ&#10;7kpstWfjOMSS43HHhoR+fccOge22p6oXZ+IZv/G89zy/6xrDjgq9BlvwyWjMmbISSm33Bf/+vP7w&#10;iTMfhC2FAasKflKe3y3ev5u3Llc3UIMpFTICsT5vXcHrEFyeZV7WqhF+BE5ZSlaAjQj0i/usRNES&#10;emOym/F4lrWApUOQynvave+TfJHwq0rJ8FhVXgVmCk53C2nFtO7imi3mIt+jcLWW52uIf7hFI7Sl&#10;pheoexEEO6D+A6rREsFDFUYSmgyqSkuVZqBpJuM302xr4VSahcjx7kKT/3+w8uG4dU/IQvcFOhIw&#10;EtI6n3vajPN0FTbxSzdllCcKTxfaVBeYjIdmt5+nt1POJOVmH6cRI7sedejDVwUNi0HBkTRJVInj&#10;xoe+dCiJnTwYXa61MfEnJlYG2VGQfm2tgzqD/1ZlbKy1EE/1gHEnu84Ro9DtOqbLVzPuoDzR6Ai9&#10;K7yTa039NsKHJ4FkA5qWrB0eaakMtAWHc8RZDfjzb/uxntShLGct2arg/sdBoOLMfLOkW/TgEOAQ&#10;7IbAHpoV0KQTejROppAOYDBDWCE0L+T4ZexCKWEl9Sp4GMJV6M1NL0aq5TIVkdOcCBu7dTJCD7w+&#10;dy8C3VmVQGI+wGA4kb8Rp69N8rjlIRDTSbnIa8/imW5yadL+/KLiM3j9n6qu737xCwAA//8DAFBL&#10;AwQUAAYACAAAACEAg7voit4AAAAGAQAADwAAAGRycy9kb3ducmV2LnhtbEyPwU7DMBBE70j9B2sr&#10;cUHUIU0DCnGqqoIDXCrSXri58TYOxOvIdtrw97gnOO7MaOZtuZ5Mz87ofGdJwMMiAYbUWNVRK+Cw&#10;f71/AuaDJCV7SyjgBz2sq9lNKQtlL/SB5zq0LJaQL6QAHcJQcO4bjUb6hR2QoneyzsgQT9dy5eQl&#10;lpuep0mScyM7igtaDrjV2HzXoxGwyz53+m48vbxvsqV7O4zb/KuthbidT5tnYAGn8BeGK35Ehyoy&#10;He1IyrNeQHwkCHhMUmDRTfNsBex4FZbAq5L/x69+AQAA//8DAFBLAQItABQABgAIAAAAIQC2gziS&#10;/gAAAOEBAAATAAAAAAAAAAAAAAAAAAAAAABbQ29udGVudF9UeXBlc10ueG1sUEsBAi0AFAAGAAgA&#10;AAAhADj9If/WAAAAlAEAAAsAAAAAAAAAAAAAAAAALwEAAF9yZWxzLy5yZWxzUEsBAi0AFAAGAAgA&#10;AAAhADKoJykYAgAAPwQAAA4AAAAAAAAAAAAAAAAALgIAAGRycy9lMm9Eb2MueG1sUEsBAi0AFAAG&#10;AAgAAAAhAIO76IreAAAABgEAAA8AAAAAAAAAAAAAAAAAcgQAAGRycy9kb3ducmV2LnhtbFBLBQYA&#10;AAAABAAEAPMAAAB9BQAAAAA=&#10;" stroked="f">
                <v:textbox style="mso-fit-shape-to-text:t" inset="0,0,0,0">
                  <w:txbxContent>
                    <w:p w14:paraId="00A8C862" w14:textId="7C35B0AE" w:rsidR="00525C5F" w:rsidRPr="007D1AD2" w:rsidRDefault="00525C5F" w:rsidP="00525C5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A55E7">
                        <w:fldChar w:fldCharType="begin"/>
                      </w:r>
                      <w:r w:rsidR="002A55E7">
                        <w:instrText xml:space="preserve"> SEQ Figure \* ARABIC </w:instrText>
                      </w:r>
                      <w:r w:rsidR="002A55E7">
                        <w:fldChar w:fldCharType="separate"/>
                      </w:r>
                      <w:r w:rsidR="00381418">
                        <w:rPr>
                          <w:noProof/>
                        </w:rPr>
                        <w:t>2</w:t>
                      </w:r>
                      <w:r w:rsidR="002A55E7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="0073014A">
                        <w:t>Pre-processed</w:t>
                      </w:r>
                      <w:r w:rsidR="00716B04">
                        <w:t xml:space="preserve"> data approach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0D47" w:rsidRPr="00EF1736">
        <w:rPr>
          <w:b/>
          <w:bCs/>
        </w:rPr>
        <w:t>Model 3</w:t>
      </w:r>
      <w:r w:rsidR="00EF1736" w:rsidRPr="00EF1736">
        <w:rPr>
          <w:b/>
          <w:bCs/>
        </w:rPr>
        <w:t>:</w:t>
      </w:r>
      <w:r w:rsidR="00831719">
        <w:rPr>
          <w:b/>
          <w:bCs/>
        </w:rPr>
        <w:t xml:space="preserve"> </w:t>
      </w:r>
      <w:r w:rsidR="00E95CC3">
        <w:t xml:space="preserve">Model 3 introduced the notion of removing outliers at the pre-processing phase. </w:t>
      </w:r>
      <w:r w:rsidR="00E5739B">
        <w:t xml:space="preserve">This was accomplished by </w:t>
      </w:r>
      <w:r w:rsidR="007F6EEF">
        <w:t xml:space="preserve">evaluating the train and test data and omitting datapoints that </w:t>
      </w:r>
      <w:r w:rsidR="001757B1">
        <w:t>exceeded 3 standard deviations of the mean</w:t>
      </w:r>
      <w:r w:rsidR="007C3D3D">
        <w:t xml:space="preserve"> resulting in</w:t>
      </w:r>
      <w:r w:rsidR="000D64D7">
        <w:t xml:space="preserve"> cleaner, less noisy data sets.</w:t>
      </w:r>
      <w:r w:rsidR="007C3D3D">
        <w:t xml:space="preserve"> </w:t>
      </w:r>
      <w:r w:rsidR="00D577CD">
        <w:t xml:space="preserve">The outcome of this approach has </w:t>
      </w:r>
      <w:r w:rsidR="00635E5F">
        <w:t xml:space="preserve">further refined </w:t>
      </w:r>
      <w:r w:rsidR="00A370C8">
        <w:t xml:space="preserve">the </w:t>
      </w:r>
      <w:r w:rsidR="005C77BB">
        <w:t>model’s</w:t>
      </w:r>
      <w:r w:rsidR="00A370C8">
        <w:t xml:space="preserve"> performance, </w:t>
      </w:r>
      <w:r w:rsidR="00DA6512">
        <w:t>improving R-squared, RMSE, and MSE metrics.</w:t>
      </w:r>
    </w:p>
    <w:p w14:paraId="7BFD8252" w14:textId="1627ACB7" w:rsidR="00DF7915" w:rsidRDefault="00180179" w:rsidP="00373100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AC2F4BB" wp14:editId="399EF1C2">
                <wp:simplePos x="0" y="0"/>
                <wp:positionH relativeFrom="margin">
                  <wp:align>right</wp:align>
                </wp:positionH>
                <wp:positionV relativeFrom="paragraph">
                  <wp:posOffset>1430020</wp:posOffset>
                </wp:positionV>
                <wp:extent cx="1715135" cy="279400"/>
                <wp:effectExtent l="0" t="0" r="0" b="6350"/>
                <wp:wrapThrough wrapText="bothSides">
                  <wp:wrapPolygon edited="0">
                    <wp:start x="0" y="0"/>
                    <wp:lineTo x="0" y="20618"/>
                    <wp:lineTo x="21352" y="20618"/>
                    <wp:lineTo x="21352" y="0"/>
                    <wp:lineTo x="0" y="0"/>
                  </wp:wrapPolygon>
                </wp:wrapThrough>
                <wp:docPr id="729553684" name="Text Box 729553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67420" w14:textId="4E994C4C" w:rsidR="00381418" w:rsidRPr="004D3BD3" w:rsidRDefault="00381418" w:rsidP="0038141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A55E7">
                              <w:fldChar w:fldCharType="begin"/>
                            </w:r>
                            <w:r w:rsidR="002A55E7">
                              <w:instrText xml:space="preserve"> SEQ Figure \* ARABIC </w:instrText>
                            </w:r>
                            <w:r w:rsidR="002A55E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2A55E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716B04">
                              <w:t>Removing outliers and</w:t>
                            </w:r>
                            <w:r w:rsidR="00C31662">
                              <w:t xml:space="preserve"> then</w:t>
                            </w:r>
                            <w:r w:rsidR="00716B04">
                              <w:t xml:space="preserve"> pre</w:t>
                            </w:r>
                            <w:r w:rsidR="0073014A">
                              <w:t>-</w:t>
                            </w:r>
                            <w:r w:rsidR="00716B04">
                              <w:t>processing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F4BB" id="Text Box 729553684" o:spid="_x0000_s1028" type="#_x0000_t202" style="position:absolute;margin-left:83.85pt;margin-top:112.6pt;width:135.05pt;height:22pt;z-index:25165824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PHHAIAAEIEAAAOAAAAZHJzL2Uyb0RvYy54bWysU11v0zAUfUfiP1h+p2kLY6NqOpVORUjT&#10;NqlDe3Ydu7Hk+Jprt0n59Vw7TQuDJ8SLc+P7fc7x/LZrLDsoDAZcySejMWfKSaiM25X82/P63Q1n&#10;IQpXCQtOlfyoAr9dvH0zb/1MTaEGWylkVMSFWetLXsfoZ0URZK0aEUbglSOnBmxEpF/cFRWKlqo3&#10;tpiOxx+LFrDyCFKFQLd3vZMvcn2tlYyPWgcVmS05zRbzifncprNYzMVsh8LXRp7GEP8wRSOMo6bn&#10;UnciCrZH80epxkiEADqOJDQFaG2kyjvQNpPxq202tfAq70LgBH+GKfy/svLhsPFPyGL3GToiMAHS&#10;+jALdJn26TQ26UuTMvIThMczbKqLTKak68nV5P0VZ5J80+tPH8YZ1+KS7THELwoaloySI9GS0RKH&#10;+xCpI4UOIalZAGuqtbE2/STHyiI7CKKwrU1UaUbK+C3KuhTrIGX17nRTXFZJVuy2HTMVDTmsuYXq&#10;SNsj9MIIXq4N9bsXIT4JJCXQwqTu+EiHttCWHE4WZzXgj7/dp3giiLyctaSskofve4GKM/vVEXVJ&#10;hoOBg7EdDLdvVkCbTujdeJlNSsBoB1MjNC8k+mXqQi7hJPUqeRzMVez1TY9GquUyB5HYvIj3buNl&#10;Kj3g+ty9CPQnViLx+QCD5sTsFTl9bI/ych9Bm8xcwrVH8QQ3CTXTc3pU6SX8+p+jLk9/8RMAAP//&#10;AwBQSwMEFAAGAAgAAAAhAI5EzeTdAAAACAEAAA8AAABkcnMvZG93bnJldi54bWxMj8FOwzAQRO9I&#10;/IO1SFwQdWqJACFOBS3c4NBS9byNTRIRryPbadK/ZznBbVazmnlTrmbXi5MNsfOkYbnIQFiqvemo&#10;0bD/fLt9ABETksHek9VwthFW1eVFiYXxE23taZcawSEUC9TQpjQUUsa6tQ7jwg+W2PvywWHiMzTS&#10;BJw43PVSZVkuHXbEDS0Odt3a+ns3Og35JozTltY3m/3rO34MjTq8nA9aX1/Nz08gkp3T3zP84jM6&#10;VMx09COZKHoNPCRpUOpOgWBb3WdLEEcW+aMCWZXy/4DqBwAA//8DAFBLAQItABQABgAIAAAAIQC2&#10;gziS/gAAAOEBAAATAAAAAAAAAAAAAAAAAAAAAABbQ29udGVudF9UeXBlc10ueG1sUEsBAi0AFAAG&#10;AAgAAAAhADj9If/WAAAAlAEAAAsAAAAAAAAAAAAAAAAALwEAAF9yZWxzLy5yZWxzUEsBAi0AFAAG&#10;AAgAAAAhAG5wQ8ccAgAAQgQAAA4AAAAAAAAAAAAAAAAALgIAAGRycy9lMm9Eb2MueG1sUEsBAi0A&#10;FAAGAAgAAAAhAI5EzeTdAAAACAEAAA8AAAAAAAAAAAAAAAAAdgQAAGRycy9kb3ducmV2LnhtbFBL&#10;BQYAAAAABAAEAPMAAACABQAAAAA=&#10;" stroked="f">
                <v:textbox inset="0,0,0,0">
                  <w:txbxContent>
                    <w:p w14:paraId="1D667420" w14:textId="4E994C4C" w:rsidR="00381418" w:rsidRPr="004D3BD3" w:rsidRDefault="00381418" w:rsidP="0038141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A55E7">
                        <w:fldChar w:fldCharType="begin"/>
                      </w:r>
                      <w:r w:rsidR="002A55E7">
                        <w:instrText xml:space="preserve"> SEQ Figure \* ARABIC </w:instrText>
                      </w:r>
                      <w:r w:rsidR="002A55E7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2A55E7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="00716B04">
                        <w:t>Removing outliers and</w:t>
                      </w:r>
                      <w:r w:rsidR="00C31662">
                        <w:t xml:space="preserve"> then</w:t>
                      </w:r>
                      <w:r w:rsidR="00716B04">
                        <w:t xml:space="preserve"> pre</w:t>
                      </w:r>
                      <w:r w:rsidR="0073014A">
                        <w:t>-</w:t>
                      </w:r>
                      <w:r w:rsidR="00716B04">
                        <w:t>processing data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40FCB">
        <w:t xml:space="preserve">Feasibility of </w:t>
      </w:r>
      <w:r w:rsidR="00F8189C">
        <w:t xml:space="preserve">model 1 is hindered by its poor </w:t>
      </w:r>
      <w:r w:rsidR="004E30FC">
        <w:t xml:space="preserve">RMSE, MSE, and MAE values </w:t>
      </w:r>
      <w:r w:rsidR="007B37A3">
        <w:t xml:space="preserve">indicating the model predictions are far from the </w:t>
      </w:r>
      <w:r w:rsidR="006954D1">
        <w:t>actual load values</w:t>
      </w:r>
      <w:r w:rsidR="00752FB5">
        <w:t xml:space="preserve">. However, its high </w:t>
      </w:r>
      <w:r w:rsidR="00F408B0">
        <w:t xml:space="preserve">R-squared value hints that </w:t>
      </w:r>
      <w:r w:rsidR="00340119">
        <w:t xml:space="preserve">most of the load fluctuations and trends are captured. </w:t>
      </w:r>
      <w:r w:rsidR="00AD7411">
        <w:t>Model 2 demonstrates opposite traits to 1 and hence is also deemed not feasible.</w:t>
      </w:r>
      <w:r w:rsidR="00971DB9">
        <w:t xml:space="preserve"> Given their error margins, use of these models in the real world could result in poor forecasting</w:t>
      </w:r>
      <w:r w:rsidR="00A82552">
        <w:t>, potentially resulting in unexpected peak loads which could</w:t>
      </w:r>
      <w:r w:rsidR="002877B5">
        <w:t xml:space="preserve"> cause unexpected blackouts and power outages due to </w:t>
      </w:r>
      <w:r w:rsidR="0021025E">
        <w:t>the power network not having enough capacity.</w:t>
      </w:r>
      <w:r w:rsidR="00971DB9">
        <w:t xml:space="preserve"> </w:t>
      </w:r>
      <w:r w:rsidR="00FD6147">
        <w:t>Model 3 strikes a balance between error metrics</w:t>
      </w:r>
      <w:r w:rsidR="00900604">
        <w:t xml:space="preserve"> </w:t>
      </w:r>
      <w:r w:rsidR="00145810">
        <w:t>establish</w:t>
      </w:r>
      <w:r w:rsidR="00900604">
        <w:t>ing</w:t>
      </w:r>
      <w:r w:rsidR="00145810">
        <w:t xml:space="preserve"> itself as the most </w:t>
      </w:r>
      <w:r w:rsidR="00460883">
        <w:t>feasible</w:t>
      </w:r>
      <w:r w:rsidR="00524264">
        <w:t>.</w:t>
      </w:r>
      <w:r w:rsidR="00F96491">
        <w:t xml:space="preserve"> Figure 3 </w:t>
      </w:r>
      <w:r w:rsidR="0068334B">
        <w:t>suggests that</w:t>
      </w:r>
      <w:r w:rsidR="00EB121B">
        <w:t xml:space="preserve"> this</w:t>
      </w:r>
      <w:r w:rsidR="0068334B">
        <w:t xml:space="preserve"> model is </w:t>
      </w:r>
      <w:r w:rsidR="00193C12">
        <w:t>great at predicting lower loads</w:t>
      </w:r>
      <w:r w:rsidR="00561272">
        <w:t>, given by the densely populated</w:t>
      </w:r>
      <w:r w:rsidR="002261AE">
        <w:t xml:space="preserve"> </w:t>
      </w:r>
      <w:r w:rsidR="00FB6FD9">
        <w:t>points around the line, but poor with higher loads</w:t>
      </w:r>
      <w:r w:rsidR="002B1F43">
        <w:t xml:space="preserve"> since the points are scattered.</w:t>
      </w:r>
    </w:p>
    <w:p w14:paraId="518D9EC7" w14:textId="3D2C8451" w:rsidR="003914FE" w:rsidRDefault="003914FE" w:rsidP="000E062F">
      <w:pPr>
        <w:pStyle w:val="Heading2"/>
      </w:pPr>
      <w:r>
        <w:t>Conclusion</w:t>
      </w:r>
    </w:p>
    <w:p w14:paraId="0A2E280D" w14:textId="200F14B4" w:rsidR="00DF7915" w:rsidRPr="00373100" w:rsidRDefault="008C2D1D" w:rsidP="00373100">
      <w:r>
        <w:rPr>
          <w:noProof/>
        </w:rPr>
        <mc:AlternateContent>
          <mc:Choice Requires="wps">
            <w:drawing>
              <wp:anchor distT="365760" distB="365760" distL="0" distR="0" simplePos="0" relativeHeight="251658240" behindDoc="0" locked="0" layoutInCell="1" allowOverlap="1" wp14:anchorId="0528447D" wp14:editId="2F40881D">
                <wp:simplePos x="0" y="0"/>
                <wp:positionH relativeFrom="margin">
                  <wp:align>right</wp:align>
                </wp:positionH>
                <wp:positionV relativeFrom="margin">
                  <wp:posOffset>6791325</wp:posOffset>
                </wp:positionV>
                <wp:extent cx="3476625" cy="1810512"/>
                <wp:effectExtent l="0" t="0" r="2540" b="0"/>
                <wp:wrapTopAndBottom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B81FE" w14:textId="77777777" w:rsidR="003914FE" w:rsidRDefault="003914FE">
                            <w:pPr>
                              <w:pBdr>
                                <w:top w:val="single" w:sz="6" w:space="6" w:color="5B9BD5" w:themeColor="accent1"/>
                                <w:bottom w:val="single" w:sz="6" w:space="6" w:color="5B9BD5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14:paraId="2716C53E" w14:textId="77777777" w:rsidR="003914FE" w:rsidRDefault="00EC0332" w:rsidP="003914FE">
                            <w:pPr>
                              <w:rPr>
                                <w:color w:val="000000" w:themeColor="text1"/>
                              </w:rPr>
                            </w:pPr>
                            <w:r w:rsidRPr="00EC0332">
                              <w:rPr>
                                <w:color w:val="000000" w:themeColor="text1"/>
                              </w:rPr>
                              <w:t xml:space="preserve">[1] IET, "Forecasting the load of electrical power systems in mid- and long-term horizons," 01 Decemeber 2016. </w:t>
                            </w:r>
                            <w:r w:rsidRPr="00EC0332">
                              <w:rPr>
                                <w:color w:val="000000" w:themeColor="text1"/>
                                <w:lang w:val="fr-FR"/>
                              </w:rPr>
                              <w:t xml:space="preserve">[Online]. Available: https://ietresearch.onlinelibrary.wiley.com/doi/10.1049/iet-gtd.2016.0340. </w:t>
                            </w:r>
                            <w:r w:rsidRPr="00EC0332">
                              <w:rPr>
                                <w:color w:val="000000" w:themeColor="text1"/>
                              </w:rPr>
                              <w:t>[Accessed 22 11 2023].</w:t>
                            </w:r>
                          </w:p>
                          <w:p w14:paraId="2F999871" w14:textId="77777777" w:rsidR="003914FE" w:rsidRDefault="00FB2099" w:rsidP="00FB2099">
                            <w:pPr>
                              <w:pStyle w:val="Bibliography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[2] </w:t>
                            </w:r>
                            <w:r w:rsidRPr="00FB2099">
                              <w:rPr>
                                <w:color w:val="000000" w:themeColor="text1"/>
                              </w:rPr>
                              <w:t>Y. Yoshikawa, "Gaussian Process Regression With Interpretable Sample-Wise Feature Weights"</w:t>
                            </w:r>
                            <w:r w:rsidR="00144870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FB2099">
                              <w:rPr>
                                <w:color w:val="000000" w:themeColor="text1"/>
                              </w:rPr>
                              <w:t xml:space="preserve"> IEEE Explore, 10 December 2021. [Online]. Available: https://ieeexplore.ieee.org/document/9646444. [Accessed 27 November 2023].</w:t>
                            </w:r>
                          </w:p>
                          <w:p w14:paraId="3279F461" w14:textId="77777777" w:rsidR="00432E74" w:rsidRPr="00432E74" w:rsidRDefault="00432E74" w:rsidP="00432E74">
                            <w:r w:rsidRPr="00432E74">
                              <w:rPr>
                                <w:noProof/>
                              </w:rPr>
                              <w:drawing>
                                <wp:inline distT="0" distB="0" distL="0" distR="0" wp14:anchorId="74B3A00E" wp14:editId="63F57D17">
                                  <wp:extent cx="5718810" cy="654050"/>
                                  <wp:effectExtent l="0" t="0" r="0" b="0"/>
                                  <wp:docPr id="884532986" name="Picture 8845329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8810" cy="654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01A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447D" id="Rectangle 148" o:spid="_x0000_s1029" style="position:absolute;margin-left:222.55pt;margin-top:534.75pt;width:273.75pt;height:142.55pt;z-index:251658240;visibility:visible;mso-wrap-style:square;mso-width-percent:1000;mso-height-percent:0;mso-wrap-distance-left:0;mso-wrap-distance-top:28.8pt;mso-wrap-distance-right:0;mso-wrap-distance-bottom:28.8pt;mso-position-horizontal:right;mso-position-horizontal-relative:margin;mso-position-vertical:absolute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3dvawIAADcFAAAOAAAAZHJzL2Uyb0RvYy54bWysVE1v2zAMvQ/YfxB0X21na1cEdYqgRYcB&#10;RVssHXpWZKk2IIsapcTOfv0o+SNbW+wwLAeFpshH8pHUxWXfGrZX6BuwJS9Ocs6UlVA19rnk3x9v&#10;Ppxz5oOwlTBgVckPyvPL1ft3F51bqgXUYCqFjECsX3au5HUIbpllXtaqFf4EnLJ0qQFbEegTn7MK&#10;RUforckWeX6WdYCVQ5DKe9JeD5d8lfC1VjLca+1VYKbklFtIJ6ZzG89sdSGWzyhc3cgxDfEPWbSi&#10;sRR0hroWQbAdNq+g2kYieNDhREKbgdaNVKkGqqbIX1SzqYVTqRYix7uZJv//YOXdfuMekGjonF96&#10;EmMVvcY2/lN+rE9kHWayVB+YJOXHT5/PzhannEm6K86L/LRYRDqzo7tDH74oaFkUSo7UjUSS2N/6&#10;MJhOJjGahZvGmNQRY/9QEGbUZMcckxQORkU7Y78pzZqKslqkAGl81JVBthfUeCGlsqEYrmpRqUF9&#10;mtNvTHn2SAUkwIisKaEZewSIo/kaeyhntI+uKk3f7Jz/LbHBefZIkcGG2bltLOBbAIaqGiMP9hNJ&#10;AzWRpdBve+KGGhYto2YL1eEBGcKwDd7Jm4YadCt8eBBI40+LQisd7unQBrqSwyhxVgP+fEsf7Wkq&#10;6Zazjtap5P7HTqDizHy1NK9x9yYBJ2E7CXbXXgE1qqDHwskkkgMGM4kaoX2iTV/HKHQlrKRYJQ+T&#10;eBWGpaaXQqr1OhnRhjkRbu3GyQgdWY3j9tg/CXTjTAYa5zuYFk0sX4zmYBs9vVvvAg1omtsjiyPf&#10;tJ1pcMaXJK7/79/J6vjerX4BAAD//wMAUEsDBBQABgAIAAAAIQDhARRp3wAAAAoBAAAPAAAAZHJz&#10;L2Rvd25yZXYueG1sTI9BT8MwDIXvSPyHyEhcEEuBtWOl6QSTQOLAgTFp1ywxTUXjVE3alX+POcHN&#10;fs96/l61mX0nJhxiG0jBzSIDgWSCbalRsP94vr4HEZMmq7tAqOAbI2zq87NKlzac6B2nXWoEh1As&#10;tQKXUl9KGY1Dr+Mi9EjsfYbB68Tr0Eg76BOH+07eZlkhvW6JPzjd49ah+dqNXsH8trXGv9qXtRvb&#10;JzNdHUa9J6UuL+bHBxAJ5/R3DL/4jA41Mx3DSDaKTgEXSaxmxToHwX6+XPFwZOkuXxYg60r+r1D/&#10;AAAA//8DAFBLAQItABQABgAIAAAAIQC2gziS/gAAAOEBAAATAAAAAAAAAAAAAAAAAAAAAABbQ29u&#10;dGVudF9UeXBlc10ueG1sUEsBAi0AFAAGAAgAAAAhADj9If/WAAAAlAEAAAsAAAAAAAAAAAAAAAAA&#10;LwEAAF9yZWxzLy5yZWxzUEsBAi0AFAAGAAgAAAAhAGlrd29rAgAANwUAAA4AAAAAAAAAAAAAAAAA&#10;LgIAAGRycy9lMm9Eb2MueG1sUEsBAi0AFAAGAAgAAAAhAOEBFGnfAAAACgEAAA8AAAAAAAAAAAAA&#10;AAAAxQQAAGRycy9kb3ducmV2LnhtbFBLBQYAAAAABAAEAPMAAADRBQAAAAA=&#10;" filled="f" stroked="f" strokeweight="1pt">
                <v:textbox style="mso-fit-shape-to-text:t" inset="0,0,0,0">
                  <w:txbxContent>
                    <w:p w14:paraId="53DB81FE" w14:textId="77777777" w:rsidR="003914FE" w:rsidRDefault="003914FE">
                      <w:pPr>
                        <w:pBdr>
                          <w:top w:val="single" w:sz="6" w:space="6" w:color="5B9BD5" w:themeColor="accent1"/>
                          <w:bottom w:val="single" w:sz="6" w:space="6" w:color="5B9BD5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5B9BD5" w:themeColor="accent1"/>
                          <w:sz w:val="24"/>
                          <w:szCs w:val="24"/>
                        </w:rPr>
                        <w:t>References</w:t>
                      </w:r>
                    </w:p>
                    <w:p w14:paraId="2716C53E" w14:textId="77777777" w:rsidR="003914FE" w:rsidRDefault="00EC0332" w:rsidP="003914FE">
                      <w:pPr>
                        <w:rPr>
                          <w:color w:val="000000" w:themeColor="text1"/>
                        </w:rPr>
                      </w:pPr>
                      <w:r w:rsidRPr="00EC0332">
                        <w:rPr>
                          <w:color w:val="000000" w:themeColor="text1"/>
                        </w:rPr>
                        <w:t xml:space="preserve">[1] IET, "Forecasting the load of electrical power systems in mid- and long-term horizons," 01 Decemeber 2016. </w:t>
                      </w:r>
                      <w:r w:rsidRPr="00EC0332">
                        <w:rPr>
                          <w:color w:val="000000" w:themeColor="text1"/>
                          <w:lang w:val="fr-FR"/>
                        </w:rPr>
                        <w:t xml:space="preserve">[Online]. Available: https://ietresearch.onlinelibrary.wiley.com/doi/10.1049/iet-gtd.2016.0340. </w:t>
                      </w:r>
                      <w:r w:rsidRPr="00EC0332">
                        <w:rPr>
                          <w:color w:val="000000" w:themeColor="text1"/>
                        </w:rPr>
                        <w:t>[Accessed 22 11 2023].</w:t>
                      </w:r>
                    </w:p>
                    <w:p w14:paraId="2F999871" w14:textId="77777777" w:rsidR="003914FE" w:rsidRDefault="00FB2099" w:rsidP="00FB2099">
                      <w:pPr>
                        <w:pStyle w:val="Bibliography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[2] </w:t>
                      </w:r>
                      <w:r w:rsidRPr="00FB2099">
                        <w:rPr>
                          <w:color w:val="000000" w:themeColor="text1"/>
                        </w:rPr>
                        <w:t>Y. Yoshikawa, "Gaussian Process Regression With Interpretable Sample-Wise Feature Weights"</w:t>
                      </w:r>
                      <w:r w:rsidR="00144870">
                        <w:rPr>
                          <w:color w:val="000000" w:themeColor="text1"/>
                        </w:rPr>
                        <w:t>,</w:t>
                      </w:r>
                      <w:r w:rsidRPr="00FB2099">
                        <w:rPr>
                          <w:color w:val="000000" w:themeColor="text1"/>
                        </w:rPr>
                        <w:t xml:space="preserve"> IEEE Explore, 10 December 2021. [Online]. Available: https://ieeexplore.ieee.org/document/9646444. [Accessed 27 November 2023].</w:t>
                      </w:r>
                    </w:p>
                    <w:p w14:paraId="3279F461" w14:textId="77777777" w:rsidR="00432E74" w:rsidRPr="00432E74" w:rsidRDefault="00432E74" w:rsidP="00432E74">
                      <w:r w:rsidRPr="00432E74">
                        <w:rPr>
                          <w:noProof/>
                        </w:rPr>
                        <w:drawing>
                          <wp:inline distT="0" distB="0" distL="0" distR="0" wp14:anchorId="74B3A00E" wp14:editId="63F57D17">
                            <wp:extent cx="5718810" cy="654050"/>
                            <wp:effectExtent l="0" t="0" r="0" b="0"/>
                            <wp:docPr id="884532986" name="Picture 8845329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8810" cy="654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01A8"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E42ECD">
        <w:t xml:space="preserve">In conclusion, </w:t>
      </w:r>
      <w:r w:rsidR="001B4BC7">
        <w:t xml:space="preserve">the </w:t>
      </w:r>
      <w:r w:rsidR="00A95315">
        <w:t xml:space="preserve">escalating </w:t>
      </w:r>
      <w:r w:rsidR="00DA7414">
        <w:t>demand</w:t>
      </w:r>
      <w:r w:rsidR="001B4BC7">
        <w:t xml:space="preserve"> for</w:t>
      </w:r>
      <w:r w:rsidR="00DA7414">
        <w:t xml:space="preserve"> effective</w:t>
      </w:r>
      <w:r w:rsidR="001B4BC7">
        <w:t xml:space="preserve"> </w:t>
      </w:r>
      <w:r w:rsidR="00D63E87">
        <w:t>load forecast models are more than ever given the current landscape of increasing demand and global shift towards green renewable energy.</w:t>
      </w:r>
      <w:r w:rsidR="00EC48A7">
        <w:t xml:space="preserve"> A forecast model design journey was explored where</w:t>
      </w:r>
      <w:r w:rsidR="004021A4">
        <w:t xml:space="preserve"> </w:t>
      </w:r>
      <w:r w:rsidR="00EC48A7">
        <w:t>f</w:t>
      </w:r>
      <w:r w:rsidR="003378FE">
        <w:t xml:space="preserve">orecasting model parameters were </w:t>
      </w:r>
      <w:r w:rsidR="00B80B49">
        <w:t xml:space="preserve">ascertained by different statistical analysis methods. </w:t>
      </w:r>
      <w:r w:rsidR="004021A4">
        <w:t xml:space="preserve">The advantages and consequences of </w:t>
      </w:r>
      <w:r w:rsidR="001C6579">
        <w:t>poor and good forecasting w</w:t>
      </w:r>
      <w:r w:rsidR="002C7077">
        <w:t>ere</w:t>
      </w:r>
      <w:r w:rsidR="001C6579">
        <w:t xml:space="preserve"> extensively </w:t>
      </w:r>
      <w:r w:rsidR="007B0058">
        <w:t>examined</w:t>
      </w:r>
      <w:r w:rsidR="001C6579">
        <w:t xml:space="preserve"> in the analysis of the 3 models.</w:t>
      </w:r>
      <w:r w:rsidR="00616902">
        <w:t xml:space="preserve"> </w:t>
      </w:r>
      <w:r w:rsidR="009004D0">
        <w:t>Regression learner e</w:t>
      </w:r>
      <w:r w:rsidR="00616902">
        <w:t xml:space="preserve">rror metrics and their </w:t>
      </w:r>
      <w:r w:rsidR="007E1879">
        <w:t xml:space="preserve">impact on </w:t>
      </w:r>
      <w:r w:rsidR="007F269E">
        <w:t xml:space="preserve">all 3 </w:t>
      </w:r>
      <w:r w:rsidR="007E1879">
        <w:t>forecasting model</w:t>
      </w:r>
      <w:r w:rsidR="007F269E">
        <w:t>s</w:t>
      </w:r>
      <w:r w:rsidR="007E1879">
        <w:t xml:space="preserve"> were also highlighted in the analysis</w:t>
      </w:r>
      <w:r w:rsidR="0064096E">
        <w:t xml:space="preserve"> before </w:t>
      </w:r>
      <w:r w:rsidR="0000139F">
        <w:t xml:space="preserve">considering the </w:t>
      </w:r>
      <w:r w:rsidR="007A1F9A">
        <w:t>feasibility of these models in the real world.</w:t>
      </w:r>
      <w:r w:rsidR="0088438B">
        <w:t xml:space="preserve"> </w:t>
      </w:r>
    </w:p>
    <w:sectPr w:rsidR="00DF7915" w:rsidRPr="00373100" w:rsidSect="00946457">
      <w:headerReference w:type="default" r:id="rId12"/>
      <w:footerReference w:type="default" r:id="rId13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31A33" w14:textId="77777777" w:rsidR="00705169" w:rsidRDefault="00705169" w:rsidP="00946457">
      <w:pPr>
        <w:spacing w:after="0" w:line="240" w:lineRule="auto"/>
      </w:pPr>
      <w:r>
        <w:separator/>
      </w:r>
    </w:p>
  </w:endnote>
  <w:endnote w:type="continuationSeparator" w:id="0">
    <w:p w14:paraId="0090B77E" w14:textId="77777777" w:rsidR="00705169" w:rsidRDefault="00705169" w:rsidP="00946457">
      <w:pPr>
        <w:spacing w:after="0" w:line="240" w:lineRule="auto"/>
      </w:pPr>
      <w:r>
        <w:continuationSeparator/>
      </w:r>
    </w:p>
  </w:endnote>
  <w:endnote w:type="continuationNotice" w:id="1">
    <w:p w14:paraId="782BB020" w14:textId="77777777" w:rsidR="00705169" w:rsidRDefault="007051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C6457" w14:textId="5A1020A8" w:rsidR="00946457" w:rsidRPr="00373100" w:rsidRDefault="00DB5F55" w:rsidP="00DB5F55">
    <w:pPr>
      <w:pStyle w:val="Footer"/>
      <w:tabs>
        <w:tab w:val="clear" w:pos="4513"/>
      </w:tabs>
      <w:rPr>
        <w:b/>
      </w:rPr>
    </w:pPr>
    <w:r w:rsidRPr="00DB5F55">
      <w:rPr>
        <w:b/>
        <w:color w:val="1482AC"/>
      </w:rPr>
      <w:t xml:space="preserve">Group Number </w:t>
    </w:r>
    <w:r w:rsidR="00913180">
      <w:rPr>
        <w:b/>
        <w:color w:val="1482AC"/>
      </w:rPr>
      <w:t>02</w:t>
    </w:r>
    <w:r>
      <w:rPr>
        <w:b/>
        <w:color w:val="1482AC"/>
      </w:rPr>
      <w:tab/>
    </w:r>
    <w:r w:rsidR="00946457" w:rsidRPr="00373100">
      <w:rPr>
        <w:b/>
        <w:color w:val="1482AC"/>
      </w:rPr>
      <w:t>313/301 Consultancy, 204 George Street, Glasgow, G1 1XW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5A9EA" w14:textId="77777777" w:rsidR="00705169" w:rsidRDefault="00705169" w:rsidP="00946457">
      <w:pPr>
        <w:spacing w:after="0" w:line="240" w:lineRule="auto"/>
      </w:pPr>
      <w:r>
        <w:separator/>
      </w:r>
    </w:p>
  </w:footnote>
  <w:footnote w:type="continuationSeparator" w:id="0">
    <w:p w14:paraId="0194B7A9" w14:textId="77777777" w:rsidR="00705169" w:rsidRDefault="00705169" w:rsidP="00946457">
      <w:pPr>
        <w:spacing w:after="0" w:line="240" w:lineRule="auto"/>
      </w:pPr>
      <w:r>
        <w:continuationSeparator/>
      </w:r>
    </w:p>
  </w:footnote>
  <w:footnote w:type="continuationNotice" w:id="1">
    <w:p w14:paraId="2FB28ED3" w14:textId="77777777" w:rsidR="00705169" w:rsidRDefault="007051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1D195" w14:textId="77777777" w:rsidR="00946457" w:rsidRDefault="00946457" w:rsidP="00946457">
    <w:pPr>
      <w:pStyle w:val="Header"/>
      <w:ind w:left="-1418"/>
    </w:pPr>
    <w:r w:rsidRPr="00946457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A8E4CA" wp14:editId="60587E6B">
              <wp:simplePos x="0" y="0"/>
              <wp:positionH relativeFrom="margin">
                <wp:posOffset>4168239</wp:posOffset>
              </wp:positionH>
              <wp:positionV relativeFrom="paragraph">
                <wp:posOffset>308758</wp:posOffset>
              </wp:positionV>
              <wp:extent cx="2084070" cy="587507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4070" cy="587507"/>
                      </a:xfrm>
                      <a:prstGeom prst="rect">
                        <a:avLst/>
                      </a:prstGeom>
                      <a:solidFill>
                        <a:srgbClr val="1482AC"/>
                      </a:solidFill>
                    </wps:spPr>
                    <wps:txbx>
                      <w:txbxContent>
                        <w:p w14:paraId="2EFB4664" w14:textId="77777777" w:rsidR="00946457" w:rsidRPr="00946457" w:rsidRDefault="00946457" w:rsidP="00946457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hAnsi="Calibri" w:cstheme="minorBidi"/>
                              <w:b/>
                              <w:color w:val="FFFFFF" w:themeColor="background1"/>
                              <w:kern w:val="24"/>
                              <w:sz w:val="36"/>
                              <w:szCs w:val="36"/>
                            </w:rPr>
                          </w:pPr>
                          <w:r w:rsidRPr="00946457">
                            <w:rPr>
                              <w:rFonts w:asciiTheme="minorHAnsi" w:hAnsi="Calibri" w:cstheme="minorBidi"/>
                              <w:b/>
                              <w:color w:val="FFFFFF" w:themeColor="background1"/>
                              <w:kern w:val="24"/>
                              <w:sz w:val="36"/>
                              <w:szCs w:val="36"/>
                            </w:rPr>
                            <w:t>313/301</w:t>
                          </w:r>
                        </w:p>
                        <w:p w14:paraId="78C829A4" w14:textId="77777777" w:rsidR="00946457" w:rsidRPr="00946457" w:rsidRDefault="00946457" w:rsidP="00946457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hAnsi="Calibri" w:cstheme="minorBidi"/>
                              <w:b/>
                              <w:color w:val="FFFFFF" w:themeColor="background1"/>
                              <w:kern w:val="24"/>
                              <w:sz w:val="36"/>
                              <w:szCs w:val="36"/>
                            </w:rPr>
                          </w:pPr>
                          <w:r w:rsidRPr="00946457">
                            <w:rPr>
                              <w:rFonts w:asciiTheme="minorHAnsi" w:hAnsi="Calibri" w:cstheme="minorBidi"/>
                              <w:b/>
                              <w:color w:val="FFFFFF" w:themeColor="background1"/>
                              <w:kern w:val="24"/>
                              <w:sz w:val="36"/>
                              <w:szCs w:val="36"/>
                            </w:rPr>
                            <w:t>Consultants</w:t>
                          </w:r>
                        </w:p>
                      </w:txbxContent>
                    </wps:txbx>
                    <wps:bodyPr vert="horz" wrap="square" lIns="0" tIns="0" rIns="0" bIns="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3EA8E4C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left:0;text-align:left;margin-left:328.2pt;margin-top:24.3pt;width:164.1pt;height:4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+UwAEAAGgDAAAOAAAAZHJzL2Uyb0RvYy54bWysU8Fu2zAMvQ/YPwi6L3aCdgmMOEWXosOA&#10;YhvQ7QNkWY6NyaJGKrGzrx+lOEmx3YpeaEqkHvke6fXd2FtxMEgduFLOZ7kUxmmoO7cr5c8fjx9W&#10;UlBQrlYWnCnl0ZC827x/tx58YRbQgq0NCgZxVAy+lG0Ivsgy0q3pFc3AG8fBBrBXgY+4y2pUA6P3&#10;Nlvk+cdsAKw9gjZEfPtwCspNwm8ao8O3piEThC0l9xaSxWSraLPNWhU7VL7t9NSGekUXveocF71A&#10;PaigxB67/6D6TiMQNGGmoc+gaTptEgdmM8//YfPcKm8SFxaH/EUmejtY/fXw7L+jCOMnGHmAiQT5&#10;J9C/iLXJBk/FlBM1pYI4OxIdG+zjlykIfsjaHi96mjEIzZeLfHWTLzmkOXa7Wt7myyh4dn3tkcJn&#10;A72ITimR55U6UIcnCqfUc0osRmC7+rGzNh1wV20tioPi2c5vVov77YT+Ii0ROPUcuw9jNTJsdCuo&#10;j0ycd5cLt4B/pBh4D0pJv/cKjRT2i2Oh49KcHTw71dnBYLdwWi3lNKOUUgdMFBzc7wM0XaJxLThp&#10;yuNMQkyrF/fl5TllXX+QzV8AAAD//wMAUEsDBBQABgAIAAAAIQBJizPc3AAAAAoBAAAPAAAAZHJz&#10;L2Rvd25yZXYueG1sTI/BSsQwEIbvgu8QRvDmpt2todamiy6IeLQKXrPN2BY7SUnS3fr2jie9zTAf&#10;/3x/vV9pEicMcfROQ77JQKDrvB1dr+H97emmBBGTcdZM3qGGb4ywby4valNZf3aveGpTLzjExcpo&#10;GFKaKyljNyCZuPEzOr59+kAm8Rp6aYM5czhNcptlSpIZHX8YzIyHAbuvdiENu/SypTa0Ph5IfeCu&#10;pMflmbS+vlof7kEkXNMfDL/6rA4NOx394mwUkwZ1qwpGNRSlAsHAXVnwcGSyyHOQTS3/V2h+AAAA&#10;//8DAFBLAQItABQABgAIAAAAIQC2gziS/gAAAOEBAAATAAAAAAAAAAAAAAAAAAAAAABbQ29udGVu&#10;dF9UeXBlc10ueG1sUEsBAi0AFAAGAAgAAAAhADj9If/WAAAAlAEAAAsAAAAAAAAAAAAAAAAALwEA&#10;AF9yZWxzLy5yZWxzUEsBAi0AFAAGAAgAAAAhADQon5TAAQAAaAMAAA4AAAAAAAAAAAAAAAAALgIA&#10;AGRycy9lMm9Eb2MueG1sUEsBAi0AFAAGAAgAAAAhAEmLM9zcAAAACgEAAA8AAAAAAAAAAAAAAAAA&#10;GgQAAGRycy9kb3ducmV2LnhtbFBLBQYAAAAABAAEAPMAAAAjBQAAAAA=&#10;" fillcolor="#1482ac" stroked="f">
              <v:textbox inset="0,0,0,0">
                <w:txbxContent>
                  <w:p w14:paraId="2EFB4664" w14:textId="77777777" w:rsidR="00946457" w:rsidRPr="00946457" w:rsidRDefault="00946457" w:rsidP="00946457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hAnsi="Calibri" w:cstheme="minorBidi"/>
                        <w:b/>
                        <w:color w:val="FFFFFF" w:themeColor="background1"/>
                        <w:kern w:val="24"/>
                        <w:sz w:val="36"/>
                        <w:szCs w:val="36"/>
                      </w:rPr>
                    </w:pPr>
                    <w:r w:rsidRPr="00946457">
                      <w:rPr>
                        <w:rFonts w:asciiTheme="minorHAnsi" w:hAnsi="Calibri" w:cstheme="minorBidi"/>
                        <w:b/>
                        <w:color w:val="FFFFFF" w:themeColor="background1"/>
                        <w:kern w:val="24"/>
                        <w:sz w:val="36"/>
                        <w:szCs w:val="36"/>
                      </w:rPr>
                      <w:t>313/301</w:t>
                    </w:r>
                  </w:p>
                  <w:p w14:paraId="78C829A4" w14:textId="77777777" w:rsidR="00946457" w:rsidRPr="00946457" w:rsidRDefault="00946457" w:rsidP="00946457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hAnsi="Calibri" w:cstheme="minorBidi"/>
                        <w:b/>
                        <w:color w:val="FFFFFF" w:themeColor="background1"/>
                        <w:kern w:val="24"/>
                        <w:sz w:val="36"/>
                        <w:szCs w:val="36"/>
                      </w:rPr>
                    </w:pPr>
                    <w:r w:rsidRPr="00946457">
                      <w:rPr>
                        <w:rFonts w:asciiTheme="minorHAnsi" w:hAnsi="Calibri" w:cstheme="minorBidi"/>
                        <w:b/>
                        <w:color w:val="FFFFFF" w:themeColor="background1"/>
                        <w:kern w:val="24"/>
                        <w:sz w:val="36"/>
                        <w:szCs w:val="36"/>
                      </w:rPr>
                      <w:t>Consultants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GB"/>
      </w:rPr>
      <w:drawing>
        <wp:inline distT="0" distB="0" distL="0" distR="0" wp14:anchorId="11F0C1BC" wp14:editId="7161186E">
          <wp:extent cx="7517590" cy="895350"/>
          <wp:effectExtent l="0" t="0" r="762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054" b="31356"/>
                  <a:stretch/>
                </pic:blipFill>
                <pic:spPr bwMode="auto">
                  <a:xfrm>
                    <a:off x="0" y="0"/>
                    <a:ext cx="7612039" cy="9065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218C6"/>
    <w:multiLevelType w:val="hybridMultilevel"/>
    <w:tmpl w:val="4F2A543C"/>
    <w:lvl w:ilvl="0" w:tplc="F36289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4DB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2661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DE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C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C95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CD8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A1F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A78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B670BE"/>
    <w:multiLevelType w:val="hybridMultilevel"/>
    <w:tmpl w:val="D9ECC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D76F6"/>
    <w:multiLevelType w:val="hybridMultilevel"/>
    <w:tmpl w:val="0696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725860">
    <w:abstractNumId w:val="1"/>
  </w:num>
  <w:num w:numId="2" w16cid:durableId="1741319543">
    <w:abstractNumId w:val="0"/>
  </w:num>
  <w:num w:numId="3" w16cid:durableId="399257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57"/>
    <w:rsid w:val="0000139F"/>
    <w:rsid w:val="000035F4"/>
    <w:rsid w:val="00011134"/>
    <w:rsid w:val="00013089"/>
    <w:rsid w:val="000138C1"/>
    <w:rsid w:val="00017E17"/>
    <w:rsid w:val="00021629"/>
    <w:rsid w:val="000310AC"/>
    <w:rsid w:val="00033A3C"/>
    <w:rsid w:val="0004004D"/>
    <w:rsid w:val="000426D9"/>
    <w:rsid w:val="000440A5"/>
    <w:rsid w:val="000520C5"/>
    <w:rsid w:val="00063C1C"/>
    <w:rsid w:val="00063F73"/>
    <w:rsid w:val="00065836"/>
    <w:rsid w:val="000730A1"/>
    <w:rsid w:val="0009608C"/>
    <w:rsid w:val="00096934"/>
    <w:rsid w:val="000A05AC"/>
    <w:rsid w:val="000A1773"/>
    <w:rsid w:val="000A479B"/>
    <w:rsid w:val="000A6B59"/>
    <w:rsid w:val="000A7819"/>
    <w:rsid w:val="000B3606"/>
    <w:rsid w:val="000B4185"/>
    <w:rsid w:val="000B5823"/>
    <w:rsid w:val="000B610D"/>
    <w:rsid w:val="000B6602"/>
    <w:rsid w:val="000B7502"/>
    <w:rsid w:val="000B79BC"/>
    <w:rsid w:val="000C0A07"/>
    <w:rsid w:val="000C1A4C"/>
    <w:rsid w:val="000C388E"/>
    <w:rsid w:val="000C49D3"/>
    <w:rsid w:val="000C67D9"/>
    <w:rsid w:val="000D0878"/>
    <w:rsid w:val="000D0970"/>
    <w:rsid w:val="000D5978"/>
    <w:rsid w:val="000D6159"/>
    <w:rsid w:val="000D64D7"/>
    <w:rsid w:val="000D67C7"/>
    <w:rsid w:val="000E062F"/>
    <w:rsid w:val="000E5B4E"/>
    <w:rsid w:val="000F185C"/>
    <w:rsid w:val="000F58B7"/>
    <w:rsid w:val="000F7EAA"/>
    <w:rsid w:val="00103C0E"/>
    <w:rsid w:val="00106E27"/>
    <w:rsid w:val="00120C9D"/>
    <w:rsid w:val="001239F9"/>
    <w:rsid w:val="00126AA5"/>
    <w:rsid w:val="00126E36"/>
    <w:rsid w:val="00130A1F"/>
    <w:rsid w:val="001326FB"/>
    <w:rsid w:val="00136197"/>
    <w:rsid w:val="00142960"/>
    <w:rsid w:val="00144870"/>
    <w:rsid w:val="001451A6"/>
    <w:rsid w:val="00145810"/>
    <w:rsid w:val="0015077F"/>
    <w:rsid w:val="0015424F"/>
    <w:rsid w:val="0015501E"/>
    <w:rsid w:val="001553AE"/>
    <w:rsid w:val="001577AC"/>
    <w:rsid w:val="001579D0"/>
    <w:rsid w:val="00157A8F"/>
    <w:rsid w:val="0016248A"/>
    <w:rsid w:val="001626A3"/>
    <w:rsid w:val="00165453"/>
    <w:rsid w:val="00165FFB"/>
    <w:rsid w:val="0016708D"/>
    <w:rsid w:val="00167F88"/>
    <w:rsid w:val="001709F2"/>
    <w:rsid w:val="00172623"/>
    <w:rsid w:val="00172C8A"/>
    <w:rsid w:val="00173303"/>
    <w:rsid w:val="00173CDB"/>
    <w:rsid w:val="001757B1"/>
    <w:rsid w:val="00177C93"/>
    <w:rsid w:val="00180179"/>
    <w:rsid w:val="00181047"/>
    <w:rsid w:val="001824C6"/>
    <w:rsid w:val="001847E9"/>
    <w:rsid w:val="00186501"/>
    <w:rsid w:val="00193C12"/>
    <w:rsid w:val="0019534E"/>
    <w:rsid w:val="00196075"/>
    <w:rsid w:val="001A473A"/>
    <w:rsid w:val="001A509C"/>
    <w:rsid w:val="001A5458"/>
    <w:rsid w:val="001A7D8B"/>
    <w:rsid w:val="001B1DB3"/>
    <w:rsid w:val="001B4BC7"/>
    <w:rsid w:val="001B7256"/>
    <w:rsid w:val="001C342A"/>
    <w:rsid w:val="001C6579"/>
    <w:rsid w:val="001D3D56"/>
    <w:rsid w:val="001D4840"/>
    <w:rsid w:val="001D5E9E"/>
    <w:rsid w:val="001E1ABE"/>
    <w:rsid w:val="001E1D7B"/>
    <w:rsid w:val="001E2341"/>
    <w:rsid w:val="001E4C13"/>
    <w:rsid w:val="001E5875"/>
    <w:rsid w:val="001E703D"/>
    <w:rsid w:val="001F5CDB"/>
    <w:rsid w:val="001F5EF0"/>
    <w:rsid w:val="001F68CC"/>
    <w:rsid w:val="001F7831"/>
    <w:rsid w:val="00204247"/>
    <w:rsid w:val="00205118"/>
    <w:rsid w:val="00205303"/>
    <w:rsid w:val="002055F9"/>
    <w:rsid w:val="00205B4A"/>
    <w:rsid w:val="0021025E"/>
    <w:rsid w:val="002122A6"/>
    <w:rsid w:val="0021582B"/>
    <w:rsid w:val="0022036E"/>
    <w:rsid w:val="002261AE"/>
    <w:rsid w:val="00232C7E"/>
    <w:rsid w:val="002341D7"/>
    <w:rsid w:val="00237059"/>
    <w:rsid w:val="002443B7"/>
    <w:rsid w:val="0024550D"/>
    <w:rsid w:val="00246B93"/>
    <w:rsid w:val="002529D2"/>
    <w:rsid w:val="00254579"/>
    <w:rsid w:val="00254AEE"/>
    <w:rsid w:val="00263D79"/>
    <w:rsid w:val="00264CAB"/>
    <w:rsid w:val="00264DC4"/>
    <w:rsid w:val="00267D66"/>
    <w:rsid w:val="00270338"/>
    <w:rsid w:val="00272265"/>
    <w:rsid w:val="002738C7"/>
    <w:rsid w:val="00275322"/>
    <w:rsid w:val="002859AC"/>
    <w:rsid w:val="00285C1B"/>
    <w:rsid w:val="002877B5"/>
    <w:rsid w:val="002A55E7"/>
    <w:rsid w:val="002A744C"/>
    <w:rsid w:val="002B1F43"/>
    <w:rsid w:val="002B4DDE"/>
    <w:rsid w:val="002B4F1A"/>
    <w:rsid w:val="002C216A"/>
    <w:rsid w:val="002C6C27"/>
    <w:rsid w:val="002C7077"/>
    <w:rsid w:val="002C79A1"/>
    <w:rsid w:val="002D4E9F"/>
    <w:rsid w:val="002D5309"/>
    <w:rsid w:val="002D6CB6"/>
    <w:rsid w:val="002D785D"/>
    <w:rsid w:val="002E59A2"/>
    <w:rsid w:val="002E6085"/>
    <w:rsid w:val="002F2AB4"/>
    <w:rsid w:val="002F40F0"/>
    <w:rsid w:val="002F75EF"/>
    <w:rsid w:val="0030206B"/>
    <w:rsid w:val="00303635"/>
    <w:rsid w:val="00304685"/>
    <w:rsid w:val="0030607B"/>
    <w:rsid w:val="00306B63"/>
    <w:rsid w:val="0030766F"/>
    <w:rsid w:val="00312DD9"/>
    <w:rsid w:val="0031679C"/>
    <w:rsid w:val="00321568"/>
    <w:rsid w:val="00324F68"/>
    <w:rsid w:val="003301A8"/>
    <w:rsid w:val="00331029"/>
    <w:rsid w:val="0033259C"/>
    <w:rsid w:val="00334029"/>
    <w:rsid w:val="00335D41"/>
    <w:rsid w:val="0033632C"/>
    <w:rsid w:val="003375DB"/>
    <w:rsid w:val="003378FE"/>
    <w:rsid w:val="00337BDB"/>
    <w:rsid w:val="00340119"/>
    <w:rsid w:val="00345393"/>
    <w:rsid w:val="003520AF"/>
    <w:rsid w:val="00364755"/>
    <w:rsid w:val="00373100"/>
    <w:rsid w:val="00373599"/>
    <w:rsid w:val="00381418"/>
    <w:rsid w:val="003816C4"/>
    <w:rsid w:val="003830DA"/>
    <w:rsid w:val="00383A38"/>
    <w:rsid w:val="00384DCB"/>
    <w:rsid w:val="003914FE"/>
    <w:rsid w:val="00395FE3"/>
    <w:rsid w:val="003A2252"/>
    <w:rsid w:val="003A3F10"/>
    <w:rsid w:val="003A4570"/>
    <w:rsid w:val="003B3789"/>
    <w:rsid w:val="003C03AA"/>
    <w:rsid w:val="003C1112"/>
    <w:rsid w:val="003C1DD0"/>
    <w:rsid w:val="003C319E"/>
    <w:rsid w:val="003C5879"/>
    <w:rsid w:val="003D0919"/>
    <w:rsid w:val="003D18B8"/>
    <w:rsid w:val="003D22E3"/>
    <w:rsid w:val="003D24A6"/>
    <w:rsid w:val="003D3065"/>
    <w:rsid w:val="003D372F"/>
    <w:rsid w:val="003D649D"/>
    <w:rsid w:val="003D70DE"/>
    <w:rsid w:val="003D7815"/>
    <w:rsid w:val="003E03A8"/>
    <w:rsid w:val="003E13BE"/>
    <w:rsid w:val="003E7C8F"/>
    <w:rsid w:val="003F26CA"/>
    <w:rsid w:val="003F7302"/>
    <w:rsid w:val="0040003E"/>
    <w:rsid w:val="004021A4"/>
    <w:rsid w:val="00404C0F"/>
    <w:rsid w:val="00404F33"/>
    <w:rsid w:val="0041161A"/>
    <w:rsid w:val="004135C8"/>
    <w:rsid w:val="00414755"/>
    <w:rsid w:val="00414763"/>
    <w:rsid w:val="00430952"/>
    <w:rsid w:val="004316BB"/>
    <w:rsid w:val="00432016"/>
    <w:rsid w:val="00432E74"/>
    <w:rsid w:val="00436555"/>
    <w:rsid w:val="004408D8"/>
    <w:rsid w:val="00446F70"/>
    <w:rsid w:val="00447212"/>
    <w:rsid w:val="00450BFB"/>
    <w:rsid w:val="00452D47"/>
    <w:rsid w:val="004604CB"/>
    <w:rsid w:val="00460883"/>
    <w:rsid w:val="0046189D"/>
    <w:rsid w:val="00462819"/>
    <w:rsid w:val="00470BD6"/>
    <w:rsid w:val="00473354"/>
    <w:rsid w:val="00474685"/>
    <w:rsid w:val="00477A79"/>
    <w:rsid w:val="004813D6"/>
    <w:rsid w:val="0048356C"/>
    <w:rsid w:val="00485CB4"/>
    <w:rsid w:val="0048630B"/>
    <w:rsid w:val="00493F5A"/>
    <w:rsid w:val="004944A3"/>
    <w:rsid w:val="00494B2B"/>
    <w:rsid w:val="00496D2A"/>
    <w:rsid w:val="0049722A"/>
    <w:rsid w:val="004B0169"/>
    <w:rsid w:val="004B087B"/>
    <w:rsid w:val="004B52E0"/>
    <w:rsid w:val="004B66A6"/>
    <w:rsid w:val="004C0FA8"/>
    <w:rsid w:val="004C4B6F"/>
    <w:rsid w:val="004C7737"/>
    <w:rsid w:val="004D3E08"/>
    <w:rsid w:val="004E30FC"/>
    <w:rsid w:val="004F057E"/>
    <w:rsid w:val="004F39F7"/>
    <w:rsid w:val="004F4270"/>
    <w:rsid w:val="004F630B"/>
    <w:rsid w:val="004F6655"/>
    <w:rsid w:val="00503CC5"/>
    <w:rsid w:val="00506DBF"/>
    <w:rsid w:val="005158EF"/>
    <w:rsid w:val="00516788"/>
    <w:rsid w:val="00516B00"/>
    <w:rsid w:val="00517AA6"/>
    <w:rsid w:val="00520261"/>
    <w:rsid w:val="005206A1"/>
    <w:rsid w:val="00524264"/>
    <w:rsid w:val="00524BD6"/>
    <w:rsid w:val="005251E1"/>
    <w:rsid w:val="00525C5F"/>
    <w:rsid w:val="005300FA"/>
    <w:rsid w:val="00530A79"/>
    <w:rsid w:val="00530D84"/>
    <w:rsid w:val="0053489D"/>
    <w:rsid w:val="00534F6E"/>
    <w:rsid w:val="005368D0"/>
    <w:rsid w:val="00537744"/>
    <w:rsid w:val="0054023B"/>
    <w:rsid w:val="00540FCB"/>
    <w:rsid w:val="00546A3F"/>
    <w:rsid w:val="00547965"/>
    <w:rsid w:val="00551F92"/>
    <w:rsid w:val="00554394"/>
    <w:rsid w:val="0055751F"/>
    <w:rsid w:val="00561272"/>
    <w:rsid w:val="005638A9"/>
    <w:rsid w:val="0056422D"/>
    <w:rsid w:val="0056662B"/>
    <w:rsid w:val="00567C4D"/>
    <w:rsid w:val="00570F77"/>
    <w:rsid w:val="0057783F"/>
    <w:rsid w:val="00581899"/>
    <w:rsid w:val="00591BBB"/>
    <w:rsid w:val="005934B5"/>
    <w:rsid w:val="00597657"/>
    <w:rsid w:val="005A1611"/>
    <w:rsid w:val="005A609B"/>
    <w:rsid w:val="005B098E"/>
    <w:rsid w:val="005B0BBD"/>
    <w:rsid w:val="005B10F1"/>
    <w:rsid w:val="005B2309"/>
    <w:rsid w:val="005B6090"/>
    <w:rsid w:val="005B78EA"/>
    <w:rsid w:val="005B7E35"/>
    <w:rsid w:val="005C5ACA"/>
    <w:rsid w:val="005C65FA"/>
    <w:rsid w:val="005C77BB"/>
    <w:rsid w:val="005C7B14"/>
    <w:rsid w:val="005D12AE"/>
    <w:rsid w:val="005D3186"/>
    <w:rsid w:val="005D4F40"/>
    <w:rsid w:val="005D55EB"/>
    <w:rsid w:val="005E1A80"/>
    <w:rsid w:val="005E1BB9"/>
    <w:rsid w:val="005E1D25"/>
    <w:rsid w:val="005E48FC"/>
    <w:rsid w:val="005E5FCF"/>
    <w:rsid w:val="005E69E9"/>
    <w:rsid w:val="005F117D"/>
    <w:rsid w:val="005F2E35"/>
    <w:rsid w:val="005F3B6C"/>
    <w:rsid w:val="005F423B"/>
    <w:rsid w:val="005F7F38"/>
    <w:rsid w:val="00600108"/>
    <w:rsid w:val="0060600E"/>
    <w:rsid w:val="0060650D"/>
    <w:rsid w:val="0061268F"/>
    <w:rsid w:val="006132D4"/>
    <w:rsid w:val="00613352"/>
    <w:rsid w:val="0061656B"/>
    <w:rsid w:val="00616902"/>
    <w:rsid w:val="00616F42"/>
    <w:rsid w:val="00620B04"/>
    <w:rsid w:val="00626418"/>
    <w:rsid w:val="0062676A"/>
    <w:rsid w:val="006277A8"/>
    <w:rsid w:val="00631205"/>
    <w:rsid w:val="00635E5F"/>
    <w:rsid w:val="0064096E"/>
    <w:rsid w:val="00640D54"/>
    <w:rsid w:val="00652DA8"/>
    <w:rsid w:val="006542AF"/>
    <w:rsid w:val="00654E75"/>
    <w:rsid w:val="00657411"/>
    <w:rsid w:val="00664A24"/>
    <w:rsid w:val="006707C7"/>
    <w:rsid w:val="006752B8"/>
    <w:rsid w:val="00681363"/>
    <w:rsid w:val="00681A12"/>
    <w:rsid w:val="00681C38"/>
    <w:rsid w:val="0068334B"/>
    <w:rsid w:val="00686781"/>
    <w:rsid w:val="00693EC9"/>
    <w:rsid w:val="006954D1"/>
    <w:rsid w:val="006A5736"/>
    <w:rsid w:val="006A663B"/>
    <w:rsid w:val="006A7D79"/>
    <w:rsid w:val="006B608A"/>
    <w:rsid w:val="006D4514"/>
    <w:rsid w:val="006E0BD3"/>
    <w:rsid w:val="006E2DE9"/>
    <w:rsid w:val="006E621E"/>
    <w:rsid w:val="006E6459"/>
    <w:rsid w:val="006F2504"/>
    <w:rsid w:val="006F2951"/>
    <w:rsid w:val="006F32A8"/>
    <w:rsid w:val="00700BC1"/>
    <w:rsid w:val="00701A4E"/>
    <w:rsid w:val="00705169"/>
    <w:rsid w:val="00707205"/>
    <w:rsid w:val="00716B04"/>
    <w:rsid w:val="0072300F"/>
    <w:rsid w:val="00723DA0"/>
    <w:rsid w:val="0072439C"/>
    <w:rsid w:val="0072542A"/>
    <w:rsid w:val="00726598"/>
    <w:rsid w:val="0072736F"/>
    <w:rsid w:val="0073014A"/>
    <w:rsid w:val="0073075C"/>
    <w:rsid w:val="007350E8"/>
    <w:rsid w:val="007361FF"/>
    <w:rsid w:val="00736CA7"/>
    <w:rsid w:val="00736F37"/>
    <w:rsid w:val="00741EEF"/>
    <w:rsid w:val="007464CB"/>
    <w:rsid w:val="00752201"/>
    <w:rsid w:val="00752FB5"/>
    <w:rsid w:val="007630EC"/>
    <w:rsid w:val="007659BF"/>
    <w:rsid w:val="00774B41"/>
    <w:rsid w:val="00775F5A"/>
    <w:rsid w:val="00782776"/>
    <w:rsid w:val="00783F67"/>
    <w:rsid w:val="00791251"/>
    <w:rsid w:val="007921DD"/>
    <w:rsid w:val="00794018"/>
    <w:rsid w:val="007961DF"/>
    <w:rsid w:val="007968E7"/>
    <w:rsid w:val="00796A7F"/>
    <w:rsid w:val="007979E0"/>
    <w:rsid w:val="00797FF7"/>
    <w:rsid w:val="007A045C"/>
    <w:rsid w:val="007A1045"/>
    <w:rsid w:val="007A1646"/>
    <w:rsid w:val="007A1F9A"/>
    <w:rsid w:val="007A335D"/>
    <w:rsid w:val="007B0058"/>
    <w:rsid w:val="007B1E8F"/>
    <w:rsid w:val="007B29A1"/>
    <w:rsid w:val="007B37A3"/>
    <w:rsid w:val="007B48D7"/>
    <w:rsid w:val="007B6FE0"/>
    <w:rsid w:val="007B75A2"/>
    <w:rsid w:val="007C3D3D"/>
    <w:rsid w:val="007D2EB5"/>
    <w:rsid w:val="007D442B"/>
    <w:rsid w:val="007D50C8"/>
    <w:rsid w:val="007D79C6"/>
    <w:rsid w:val="007E1879"/>
    <w:rsid w:val="007E385B"/>
    <w:rsid w:val="007E58A8"/>
    <w:rsid w:val="007F269E"/>
    <w:rsid w:val="007F2E5B"/>
    <w:rsid w:val="007F3E32"/>
    <w:rsid w:val="007F5D7E"/>
    <w:rsid w:val="007F6EEF"/>
    <w:rsid w:val="007F793E"/>
    <w:rsid w:val="007F7ACD"/>
    <w:rsid w:val="007F7FDB"/>
    <w:rsid w:val="00800393"/>
    <w:rsid w:val="00800C70"/>
    <w:rsid w:val="00801CDF"/>
    <w:rsid w:val="0080543A"/>
    <w:rsid w:val="00805DEE"/>
    <w:rsid w:val="00810A67"/>
    <w:rsid w:val="008149BD"/>
    <w:rsid w:val="00814DE1"/>
    <w:rsid w:val="008151AF"/>
    <w:rsid w:val="00815643"/>
    <w:rsid w:val="008169AD"/>
    <w:rsid w:val="00823DEE"/>
    <w:rsid w:val="00831719"/>
    <w:rsid w:val="00832801"/>
    <w:rsid w:val="0083552C"/>
    <w:rsid w:val="008367C3"/>
    <w:rsid w:val="00837907"/>
    <w:rsid w:val="00840AE1"/>
    <w:rsid w:val="00841513"/>
    <w:rsid w:val="00847279"/>
    <w:rsid w:val="008501C2"/>
    <w:rsid w:val="0085042A"/>
    <w:rsid w:val="00850522"/>
    <w:rsid w:val="00850913"/>
    <w:rsid w:val="00850F18"/>
    <w:rsid w:val="0085228C"/>
    <w:rsid w:val="00853993"/>
    <w:rsid w:val="00854160"/>
    <w:rsid w:val="0085645D"/>
    <w:rsid w:val="0085719D"/>
    <w:rsid w:val="00857942"/>
    <w:rsid w:val="00867F39"/>
    <w:rsid w:val="00875FE6"/>
    <w:rsid w:val="00876E4E"/>
    <w:rsid w:val="00876FF2"/>
    <w:rsid w:val="008770C2"/>
    <w:rsid w:val="00877329"/>
    <w:rsid w:val="00884285"/>
    <w:rsid w:val="0088438B"/>
    <w:rsid w:val="00886F92"/>
    <w:rsid w:val="00887971"/>
    <w:rsid w:val="00892C53"/>
    <w:rsid w:val="00897458"/>
    <w:rsid w:val="008A11DB"/>
    <w:rsid w:val="008A29DA"/>
    <w:rsid w:val="008A3095"/>
    <w:rsid w:val="008A59DB"/>
    <w:rsid w:val="008B0029"/>
    <w:rsid w:val="008B19F3"/>
    <w:rsid w:val="008B6551"/>
    <w:rsid w:val="008B6EA1"/>
    <w:rsid w:val="008C2D1D"/>
    <w:rsid w:val="008C606C"/>
    <w:rsid w:val="008D3ED3"/>
    <w:rsid w:val="008E2661"/>
    <w:rsid w:val="008E3AB8"/>
    <w:rsid w:val="008E48CD"/>
    <w:rsid w:val="008F089E"/>
    <w:rsid w:val="008F0D47"/>
    <w:rsid w:val="008F45DE"/>
    <w:rsid w:val="008F76AA"/>
    <w:rsid w:val="009004D0"/>
    <w:rsid w:val="00900604"/>
    <w:rsid w:val="00902447"/>
    <w:rsid w:val="00903987"/>
    <w:rsid w:val="00903B54"/>
    <w:rsid w:val="0090592C"/>
    <w:rsid w:val="00913180"/>
    <w:rsid w:val="00917F12"/>
    <w:rsid w:val="00920306"/>
    <w:rsid w:val="009219F5"/>
    <w:rsid w:val="009236BA"/>
    <w:rsid w:val="00924977"/>
    <w:rsid w:val="009263F7"/>
    <w:rsid w:val="009433F7"/>
    <w:rsid w:val="009462CB"/>
    <w:rsid w:val="00946457"/>
    <w:rsid w:val="00950E2A"/>
    <w:rsid w:val="009541F7"/>
    <w:rsid w:val="00955948"/>
    <w:rsid w:val="00961AFA"/>
    <w:rsid w:val="009622E4"/>
    <w:rsid w:val="00962547"/>
    <w:rsid w:val="00966C45"/>
    <w:rsid w:val="0097038E"/>
    <w:rsid w:val="009719B2"/>
    <w:rsid w:val="00971DB9"/>
    <w:rsid w:val="00972799"/>
    <w:rsid w:val="00974624"/>
    <w:rsid w:val="00980F3B"/>
    <w:rsid w:val="009826CA"/>
    <w:rsid w:val="00986AE8"/>
    <w:rsid w:val="00987068"/>
    <w:rsid w:val="00987970"/>
    <w:rsid w:val="00993988"/>
    <w:rsid w:val="00993A31"/>
    <w:rsid w:val="00995384"/>
    <w:rsid w:val="009A052A"/>
    <w:rsid w:val="009A3CB5"/>
    <w:rsid w:val="009A6183"/>
    <w:rsid w:val="009A7D08"/>
    <w:rsid w:val="009A7F31"/>
    <w:rsid w:val="009B057A"/>
    <w:rsid w:val="009B2495"/>
    <w:rsid w:val="009B680A"/>
    <w:rsid w:val="009C0E81"/>
    <w:rsid w:val="009C6197"/>
    <w:rsid w:val="009D09B3"/>
    <w:rsid w:val="009D490C"/>
    <w:rsid w:val="009E0744"/>
    <w:rsid w:val="009E0805"/>
    <w:rsid w:val="009E0C6C"/>
    <w:rsid w:val="009E1DB1"/>
    <w:rsid w:val="009F2E39"/>
    <w:rsid w:val="009F392F"/>
    <w:rsid w:val="009F4558"/>
    <w:rsid w:val="009F523E"/>
    <w:rsid w:val="00A00ACD"/>
    <w:rsid w:val="00A012FE"/>
    <w:rsid w:val="00A01FD3"/>
    <w:rsid w:val="00A02576"/>
    <w:rsid w:val="00A02B25"/>
    <w:rsid w:val="00A037A6"/>
    <w:rsid w:val="00A06C82"/>
    <w:rsid w:val="00A1677E"/>
    <w:rsid w:val="00A16B20"/>
    <w:rsid w:val="00A17CCD"/>
    <w:rsid w:val="00A200C7"/>
    <w:rsid w:val="00A33E06"/>
    <w:rsid w:val="00A34010"/>
    <w:rsid w:val="00A370C8"/>
    <w:rsid w:val="00A379E7"/>
    <w:rsid w:val="00A4112B"/>
    <w:rsid w:val="00A412D0"/>
    <w:rsid w:val="00A44D5D"/>
    <w:rsid w:val="00A501EA"/>
    <w:rsid w:val="00A52562"/>
    <w:rsid w:val="00A52886"/>
    <w:rsid w:val="00A55D1F"/>
    <w:rsid w:val="00A60CBC"/>
    <w:rsid w:val="00A61F0A"/>
    <w:rsid w:val="00A63DC8"/>
    <w:rsid w:val="00A64230"/>
    <w:rsid w:val="00A6445B"/>
    <w:rsid w:val="00A651DF"/>
    <w:rsid w:val="00A67586"/>
    <w:rsid w:val="00A67CA3"/>
    <w:rsid w:val="00A75442"/>
    <w:rsid w:val="00A75E8C"/>
    <w:rsid w:val="00A7644D"/>
    <w:rsid w:val="00A77C97"/>
    <w:rsid w:val="00A82552"/>
    <w:rsid w:val="00A95315"/>
    <w:rsid w:val="00A97749"/>
    <w:rsid w:val="00AA7F95"/>
    <w:rsid w:val="00AB2EBD"/>
    <w:rsid w:val="00AC30F6"/>
    <w:rsid w:val="00AC42B0"/>
    <w:rsid w:val="00AC767A"/>
    <w:rsid w:val="00AD7411"/>
    <w:rsid w:val="00AD7D9C"/>
    <w:rsid w:val="00AE3D6E"/>
    <w:rsid w:val="00AE4FFA"/>
    <w:rsid w:val="00AF00E5"/>
    <w:rsid w:val="00AF04EB"/>
    <w:rsid w:val="00AF1EF9"/>
    <w:rsid w:val="00AF6F4B"/>
    <w:rsid w:val="00B07A90"/>
    <w:rsid w:val="00B10C6F"/>
    <w:rsid w:val="00B15571"/>
    <w:rsid w:val="00B15BE7"/>
    <w:rsid w:val="00B16F1A"/>
    <w:rsid w:val="00B207BF"/>
    <w:rsid w:val="00B20C80"/>
    <w:rsid w:val="00B2221E"/>
    <w:rsid w:val="00B23C1B"/>
    <w:rsid w:val="00B277F8"/>
    <w:rsid w:val="00B30202"/>
    <w:rsid w:val="00B37D1F"/>
    <w:rsid w:val="00B37DE8"/>
    <w:rsid w:val="00B37E8A"/>
    <w:rsid w:val="00B41275"/>
    <w:rsid w:val="00B4176B"/>
    <w:rsid w:val="00B454A4"/>
    <w:rsid w:val="00B4639F"/>
    <w:rsid w:val="00B5168E"/>
    <w:rsid w:val="00B53255"/>
    <w:rsid w:val="00B55AC1"/>
    <w:rsid w:val="00B562E5"/>
    <w:rsid w:val="00B63A04"/>
    <w:rsid w:val="00B63A06"/>
    <w:rsid w:val="00B63E67"/>
    <w:rsid w:val="00B729CB"/>
    <w:rsid w:val="00B7315B"/>
    <w:rsid w:val="00B74C50"/>
    <w:rsid w:val="00B74E9F"/>
    <w:rsid w:val="00B80B49"/>
    <w:rsid w:val="00B82787"/>
    <w:rsid w:val="00B827C4"/>
    <w:rsid w:val="00B86426"/>
    <w:rsid w:val="00B90F9C"/>
    <w:rsid w:val="00BA54B7"/>
    <w:rsid w:val="00BB136E"/>
    <w:rsid w:val="00BB5C23"/>
    <w:rsid w:val="00BB5C5D"/>
    <w:rsid w:val="00BB6A64"/>
    <w:rsid w:val="00BB79E8"/>
    <w:rsid w:val="00BC2762"/>
    <w:rsid w:val="00BC3779"/>
    <w:rsid w:val="00BC4E95"/>
    <w:rsid w:val="00BC7B58"/>
    <w:rsid w:val="00BD193A"/>
    <w:rsid w:val="00BD1964"/>
    <w:rsid w:val="00BD1FC4"/>
    <w:rsid w:val="00BD2064"/>
    <w:rsid w:val="00BD676E"/>
    <w:rsid w:val="00BE01BF"/>
    <w:rsid w:val="00BE06B5"/>
    <w:rsid w:val="00BF4DFE"/>
    <w:rsid w:val="00BF6680"/>
    <w:rsid w:val="00C01868"/>
    <w:rsid w:val="00C025B0"/>
    <w:rsid w:val="00C02FCD"/>
    <w:rsid w:val="00C23627"/>
    <w:rsid w:val="00C252EF"/>
    <w:rsid w:val="00C26591"/>
    <w:rsid w:val="00C2731A"/>
    <w:rsid w:val="00C278D7"/>
    <w:rsid w:val="00C31662"/>
    <w:rsid w:val="00C31B77"/>
    <w:rsid w:val="00C354AF"/>
    <w:rsid w:val="00C356B4"/>
    <w:rsid w:val="00C36B1A"/>
    <w:rsid w:val="00C45F68"/>
    <w:rsid w:val="00C46E45"/>
    <w:rsid w:val="00C55598"/>
    <w:rsid w:val="00C61ACE"/>
    <w:rsid w:val="00C67568"/>
    <w:rsid w:val="00C675A8"/>
    <w:rsid w:val="00C708D2"/>
    <w:rsid w:val="00C74F33"/>
    <w:rsid w:val="00C756E0"/>
    <w:rsid w:val="00C75AF6"/>
    <w:rsid w:val="00C80BBD"/>
    <w:rsid w:val="00C845D8"/>
    <w:rsid w:val="00C91706"/>
    <w:rsid w:val="00C93C29"/>
    <w:rsid w:val="00C941A3"/>
    <w:rsid w:val="00C9792D"/>
    <w:rsid w:val="00CA2DA5"/>
    <w:rsid w:val="00CA4A00"/>
    <w:rsid w:val="00CA70A6"/>
    <w:rsid w:val="00CA725E"/>
    <w:rsid w:val="00CA7AA9"/>
    <w:rsid w:val="00CB2580"/>
    <w:rsid w:val="00CB6C73"/>
    <w:rsid w:val="00CC3D4D"/>
    <w:rsid w:val="00CC6D42"/>
    <w:rsid w:val="00CC6EB4"/>
    <w:rsid w:val="00CC798F"/>
    <w:rsid w:val="00CD23BD"/>
    <w:rsid w:val="00CD44F5"/>
    <w:rsid w:val="00CD4672"/>
    <w:rsid w:val="00CD7788"/>
    <w:rsid w:val="00CD7AEE"/>
    <w:rsid w:val="00CD7B3E"/>
    <w:rsid w:val="00CE7D97"/>
    <w:rsid w:val="00CF24D4"/>
    <w:rsid w:val="00CF2EE8"/>
    <w:rsid w:val="00CF30E6"/>
    <w:rsid w:val="00CF74D1"/>
    <w:rsid w:val="00CF7C65"/>
    <w:rsid w:val="00CF7E7F"/>
    <w:rsid w:val="00D028EB"/>
    <w:rsid w:val="00D0326E"/>
    <w:rsid w:val="00D0391B"/>
    <w:rsid w:val="00D04C72"/>
    <w:rsid w:val="00D13119"/>
    <w:rsid w:val="00D2122C"/>
    <w:rsid w:val="00D22072"/>
    <w:rsid w:val="00D35BDB"/>
    <w:rsid w:val="00D40431"/>
    <w:rsid w:val="00D4049B"/>
    <w:rsid w:val="00D417EF"/>
    <w:rsid w:val="00D42DC8"/>
    <w:rsid w:val="00D43872"/>
    <w:rsid w:val="00D464CE"/>
    <w:rsid w:val="00D4677D"/>
    <w:rsid w:val="00D47147"/>
    <w:rsid w:val="00D47322"/>
    <w:rsid w:val="00D51512"/>
    <w:rsid w:val="00D55D66"/>
    <w:rsid w:val="00D562E0"/>
    <w:rsid w:val="00D577CD"/>
    <w:rsid w:val="00D63E87"/>
    <w:rsid w:val="00D64F28"/>
    <w:rsid w:val="00D7032B"/>
    <w:rsid w:val="00D7300D"/>
    <w:rsid w:val="00D74459"/>
    <w:rsid w:val="00D76D98"/>
    <w:rsid w:val="00D87A0B"/>
    <w:rsid w:val="00D91154"/>
    <w:rsid w:val="00D94B46"/>
    <w:rsid w:val="00D95D63"/>
    <w:rsid w:val="00DA49ED"/>
    <w:rsid w:val="00DA6512"/>
    <w:rsid w:val="00DA7414"/>
    <w:rsid w:val="00DB1BBF"/>
    <w:rsid w:val="00DB3B9D"/>
    <w:rsid w:val="00DB4627"/>
    <w:rsid w:val="00DB4B95"/>
    <w:rsid w:val="00DB59B0"/>
    <w:rsid w:val="00DB5F55"/>
    <w:rsid w:val="00DC6AC7"/>
    <w:rsid w:val="00DD1226"/>
    <w:rsid w:val="00DD2DFC"/>
    <w:rsid w:val="00DD46A2"/>
    <w:rsid w:val="00DD56FA"/>
    <w:rsid w:val="00DD5835"/>
    <w:rsid w:val="00DE05BA"/>
    <w:rsid w:val="00DE69CC"/>
    <w:rsid w:val="00DE69F7"/>
    <w:rsid w:val="00DE7483"/>
    <w:rsid w:val="00DE78B4"/>
    <w:rsid w:val="00DF2330"/>
    <w:rsid w:val="00DF306D"/>
    <w:rsid w:val="00DF535F"/>
    <w:rsid w:val="00DF60EB"/>
    <w:rsid w:val="00DF653E"/>
    <w:rsid w:val="00DF7915"/>
    <w:rsid w:val="00DF7916"/>
    <w:rsid w:val="00E0498A"/>
    <w:rsid w:val="00E10C32"/>
    <w:rsid w:val="00E10DCC"/>
    <w:rsid w:val="00E13D5F"/>
    <w:rsid w:val="00E1433D"/>
    <w:rsid w:val="00E1492C"/>
    <w:rsid w:val="00E14D2F"/>
    <w:rsid w:val="00E16FEE"/>
    <w:rsid w:val="00E213BA"/>
    <w:rsid w:val="00E3668F"/>
    <w:rsid w:val="00E371C2"/>
    <w:rsid w:val="00E37811"/>
    <w:rsid w:val="00E41F59"/>
    <w:rsid w:val="00E42ECD"/>
    <w:rsid w:val="00E468AF"/>
    <w:rsid w:val="00E50241"/>
    <w:rsid w:val="00E571FA"/>
    <w:rsid w:val="00E5739B"/>
    <w:rsid w:val="00E62774"/>
    <w:rsid w:val="00E707EB"/>
    <w:rsid w:val="00E728FE"/>
    <w:rsid w:val="00E72F19"/>
    <w:rsid w:val="00E73BEC"/>
    <w:rsid w:val="00E7733D"/>
    <w:rsid w:val="00E80051"/>
    <w:rsid w:val="00E828A7"/>
    <w:rsid w:val="00E83248"/>
    <w:rsid w:val="00E847F9"/>
    <w:rsid w:val="00E8556D"/>
    <w:rsid w:val="00E8693D"/>
    <w:rsid w:val="00E87892"/>
    <w:rsid w:val="00E937E6"/>
    <w:rsid w:val="00E93929"/>
    <w:rsid w:val="00E95CC3"/>
    <w:rsid w:val="00E9752B"/>
    <w:rsid w:val="00E97676"/>
    <w:rsid w:val="00EA1AAD"/>
    <w:rsid w:val="00EA3848"/>
    <w:rsid w:val="00EB121B"/>
    <w:rsid w:val="00EB1822"/>
    <w:rsid w:val="00EB2D2B"/>
    <w:rsid w:val="00EB45B8"/>
    <w:rsid w:val="00EB61B6"/>
    <w:rsid w:val="00EC0332"/>
    <w:rsid w:val="00EC0352"/>
    <w:rsid w:val="00EC48A7"/>
    <w:rsid w:val="00EC6ED6"/>
    <w:rsid w:val="00EC6F66"/>
    <w:rsid w:val="00EC7141"/>
    <w:rsid w:val="00ED01E9"/>
    <w:rsid w:val="00ED2B0F"/>
    <w:rsid w:val="00ED3851"/>
    <w:rsid w:val="00ED3D9C"/>
    <w:rsid w:val="00ED570A"/>
    <w:rsid w:val="00EE030F"/>
    <w:rsid w:val="00EE25AF"/>
    <w:rsid w:val="00EE36A0"/>
    <w:rsid w:val="00EE685B"/>
    <w:rsid w:val="00EE7206"/>
    <w:rsid w:val="00EF0FB4"/>
    <w:rsid w:val="00EF1736"/>
    <w:rsid w:val="00EF3D58"/>
    <w:rsid w:val="00EF7523"/>
    <w:rsid w:val="00F00A2B"/>
    <w:rsid w:val="00F01A1F"/>
    <w:rsid w:val="00F05A43"/>
    <w:rsid w:val="00F07213"/>
    <w:rsid w:val="00F12E67"/>
    <w:rsid w:val="00F224C6"/>
    <w:rsid w:val="00F23CF4"/>
    <w:rsid w:val="00F25BEE"/>
    <w:rsid w:val="00F27CB8"/>
    <w:rsid w:val="00F3187D"/>
    <w:rsid w:val="00F323A1"/>
    <w:rsid w:val="00F34260"/>
    <w:rsid w:val="00F34DF4"/>
    <w:rsid w:val="00F36057"/>
    <w:rsid w:val="00F361B3"/>
    <w:rsid w:val="00F408B0"/>
    <w:rsid w:val="00F422DF"/>
    <w:rsid w:val="00F44C07"/>
    <w:rsid w:val="00F44EC0"/>
    <w:rsid w:val="00F52F2D"/>
    <w:rsid w:val="00F541DF"/>
    <w:rsid w:val="00F55F20"/>
    <w:rsid w:val="00F56D89"/>
    <w:rsid w:val="00F6335E"/>
    <w:rsid w:val="00F7057D"/>
    <w:rsid w:val="00F71476"/>
    <w:rsid w:val="00F7199C"/>
    <w:rsid w:val="00F74B6E"/>
    <w:rsid w:val="00F77BAA"/>
    <w:rsid w:val="00F8189C"/>
    <w:rsid w:val="00F85F7E"/>
    <w:rsid w:val="00F915FA"/>
    <w:rsid w:val="00F9222A"/>
    <w:rsid w:val="00F9508D"/>
    <w:rsid w:val="00F9602D"/>
    <w:rsid w:val="00F96491"/>
    <w:rsid w:val="00F97ACE"/>
    <w:rsid w:val="00FA1C42"/>
    <w:rsid w:val="00FA35FC"/>
    <w:rsid w:val="00FA4F86"/>
    <w:rsid w:val="00FB00F2"/>
    <w:rsid w:val="00FB1E4C"/>
    <w:rsid w:val="00FB2099"/>
    <w:rsid w:val="00FB6FD9"/>
    <w:rsid w:val="00FC0B4E"/>
    <w:rsid w:val="00FC1015"/>
    <w:rsid w:val="00FC1BAD"/>
    <w:rsid w:val="00FC5C3B"/>
    <w:rsid w:val="00FC7178"/>
    <w:rsid w:val="00FD0FFF"/>
    <w:rsid w:val="00FD6147"/>
    <w:rsid w:val="00FE4888"/>
    <w:rsid w:val="00FE5195"/>
    <w:rsid w:val="00FE5256"/>
    <w:rsid w:val="00FE6BCA"/>
    <w:rsid w:val="00FE7A69"/>
    <w:rsid w:val="098E00F2"/>
    <w:rsid w:val="0AF33B6F"/>
    <w:rsid w:val="0E104AE2"/>
    <w:rsid w:val="137B9745"/>
    <w:rsid w:val="15060348"/>
    <w:rsid w:val="186690A4"/>
    <w:rsid w:val="19557CCB"/>
    <w:rsid w:val="1A39771C"/>
    <w:rsid w:val="1E58475F"/>
    <w:rsid w:val="1F52C7ED"/>
    <w:rsid w:val="220E3D33"/>
    <w:rsid w:val="34F0A2B5"/>
    <w:rsid w:val="36564243"/>
    <w:rsid w:val="42B79789"/>
    <w:rsid w:val="4E5AE6CD"/>
    <w:rsid w:val="535E176F"/>
    <w:rsid w:val="536FDF11"/>
    <w:rsid w:val="53B7CB53"/>
    <w:rsid w:val="5ACD69B1"/>
    <w:rsid w:val="5BAA2F56"/>
    <w:rsid w:val="601763C2"/>
    <w:rsid w:val="60F5C134"/>
    <w:rsid w:val="610D4FD3"/>
    <w:rsid w:val="69449B18"/>
    <w:rsid w:val="6F44345B"/>
    <w:rsid w:val="7F413C4C"/>
    <w:rsid w:val="7FFB9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1C4B0"/>
  <w15:chartTrackingRefBased/>
  <w15:docId w15:val="{BA35FE8D-F54F-4671-A403-A3AE721F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100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1482A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100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1482AC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457"/>
  </w:style>
  <w:style w:type="paragraph" w:styleId="Footer">
    <w:name w:val="footer"/>
    <w:basedOn w:val="Normal"/>
    <w:link w:val="FooterChar"/>
    <w:uiPriority w:val="99"/>
    <w:unhideWhenUsed/>
    <w:rsid w:val="0094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457"/>
  </w:style>
  <w:style w:type="paragraph" w:styleId="NormalWeb">
    <w:name w:val="Normal (Web)"/>
    <w:basedOn w:val="Normal"/>
    <w:uiPriority w:val="99"/>
    <w:semiHidden/>
    <w:unhideWhenUsed/>
    <w:rsid w:val="009464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73100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1482AC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100"/>
    <w:rPr>
      <w:rFonts w:asciiTheme="majorHAnsi" w:eastAsiaTheme="majorEastAsia" w:hAnsiTheme="majorHAnsi" w:cstheme="majorBidi"/>
      <w:b/>
      <w:color w:val="1482AC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3100"/>
    <w:rPr>
      <w:rFonts w:asciiTheme="majorHAnsi" w:eastAsiaTheme="majorEastAsia" w:hAnsiTheme="majorHAnsi" w:cstheme="majorBidi"/>
      <w:b/>
      <w:color w:val="1482A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100"/>
    <w:rPr>
      <w:rFonts w:asciiTheme="majorHAnsi" w:eastAsiaTheme="majorEastAsia" w:hAnsiTheme="majorHAnsi" w:cstheme="majorBidi"/>
      <w:color w:val="1482AC"/>
      <w:sz w:val="26"/>
      <w:szCs w:val="26"/>
    </w:rPr>
  </w:style>
  <w:style w:type="table" w:styleId="TableGrid">
    <w:name w:val="Table Grid"/>
    <w:basedOn w:val="TableNormal"/>
    <w:uiPriority w:val="39"/>
    <w:rsid w:val="00391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1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4F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5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75A2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B75A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E519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26591"/>
    <w:rPr>
      <w:kern w:val="2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796A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4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2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7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7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38B1D-6BDC-4E51-B89B-5056B8640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789</Words>
  <Characters>4502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Robertson</dc:creator>
  <cp:keywords/>
  <dc:description/>
  <cp:lastModifiedBy>Liam Tang (Student)</cp:lastModifiedBy>
  <cp:revision>517</cp:revision>
  <dcterms:created xsi:type="dcterms:W3CDTF">2018-03-08T15:02:00Z</dcterms:created>
  <dcterms:modified xsi:type="dcterms:W3CDTF">2023-12-04T01:39:00Z</dcterms:modified>
</cp:coreProperties>
</file>