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400" w:lineRule="exact"/>
        <w:jc w:val="center"/>
      </w:pPr>
      <w:r>
        <w:rPr>
          <w:rFonts w:ascii="Arial" w:eastAsia="Microsoft YaHei" w:hAnsi="Arial"/>
          <w:b/>
          <w:bCs/>
          <w:color w:val="1F3864"/>
          <w:sz w:val="30"/>
          <w:szCs w:val="30"/>
        </w:rPr>
        <w:t xml:space="preserve">气囊漏气试验（Cuff Leak Test, CLT）速查与记录表</w:t>
      </w:r>
    </w:p>
    <w:p>
      <w:pPr>
        <w:spacing w:after="100" w:before="0" w:line="250" w:lineRule="exact"/>
        <w:jc w:val="center"/>
      </w:pPr>
      <w:r>
        <w:rPr>
          <w:rFonts w:ascii="Arial" w:eastAsia="Microsoft YaHei" w:hAnsi="Arial"/>
          <w:color w:val="595959"/>
          <w:sz w:val="16"/>
          <w:szCs w:val="16"/>
        </w:rPr>
        <w:t xml:space="preserve">成人 · 已满足拔管条件 · 筛查拔管后上气道梗阻（PES）高危者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3"/>
        <w:gridCol w:w="5313"/>
      </w:tblGrid>
      <w:tr>
        <w:trPr>
          <w:cantSplit/>
        </w:trPr>
        <w:tc>
          <w:tcPr>
            <w:tcW w:type="dxa" w:w="53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操作要点</w:t>
            </w:r>
          </w:p>
        </w:tc>
        <w:tc>
          <w:tcPr>
            <w:tcW w:type="dxa" w:w="53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判读与处理</w:t>
            </w:r>
          </w:p>
        </w:tc>
      </w:tr>
      <w:tr>
        <w:trPr>
          <w:cantSplit/>
        </w:trPr>
        <w:tc>
          <w:tcPr>
            <w:tcW w:type="dxa" w:w="53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1. 前提：通过 SBT；吸净口咽及气囊上分泌物。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2. VC/AC；充/放气 Vt、PEEP、流速不变；关漏气补偿。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3. 避免咳嗽/自主触发，必要时镇静。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4. 充气：记录 6 次呼出 Vte。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5. 放气：记录 6 次 Vte，取最低 3 次均值。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6. 漏气量 = 充气均值 − 放气均值；漏气率 = 漏气量 ÷ 充气均值。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高危：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插管 &gt;6 d、创伤/困难插管、导管偏粗、女性、非计划拔管后再插管。</w:t>
            </w:r>
          </w:p>
        </w:tc>
        <w:tc>
          <w:tcPr>
            <w:tcW w:type="dxa" w:w="53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color w:val="C00000"/>
                <w:sz w:val="18"/>
                <w:szCs w:val="18"/>
              </w:rPr>
              <w:t xml:space="preserve">阳性：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漏气量 &lt;110 mL（或 &lt;130 mL / &lt;12%），科室统一一个 cutoff。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意义：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Sp 0.87、Se 0.62 → 阳性提示高危；阴性不能排除，拔管后仍需观察。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阳性处理：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推迟拔管；拔管前 ≥4 h 给系统性激素。参考：甲泼尼龙 20 mg IV q4h，拔管前 12 h 起。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拔管后：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HFNC/NIV、可视喉镜及再插管设备就位；观察 ≥2–4 h。</w:t>
            </w:r>
          </w:p>
          <w:p>
            <w:pPr>
              <w:spacing w:after="5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重测：</w:t>
            </w:r>
            <w:r>
              <w:rPr>
                <w:rFonts w:ascii="Arial" w:eastAsia="Microsoft YaHei" w:hAnsi="Arial"/>
                <w:sz w:val="18"/>
                <w:szCs w:val="18"/>
              </w:rPr>
              <w:t xml:space="preserve">咳嗽、触发、数据波动大。</w:t>
            </w:r>
          </w:p>
        </w:tc>
      </w:tr>
    </w:tbl>
    <w:p>
      <w:pPr>
        <w:spacing w:after="0" w:before="60" w:line="220" w:lineRule="exact"/>
      </w:pPr>
      <w:r>
        <w:rPr>
          <w:rFonts w:ascii="Arial" w:eastAsia="Microsoft YaHei" w:hAnsi="Arial"/>
          <w:b/>
          <w:bCs/>
          <w:color w:val="595959"/>
          <w:sz w:val="14"/>
          <w:szCs w:val="14"/>
        </w:rPr>
        <w:t xml:space="preserve">证据：</w:t>
      </w:r>
      <w:r>
        <w:rPr>
          <w:rFonts w:ascii="Arial" w:eastAsia="Microsoft YaHei" w:hAnsi="Arial"/>
          <w:color w:val="595959"/>
          <w:sz w:val="14"/>
          <w:szCs w:val="14"/>
        </w:rPr>
        <w:t xml:space="preserve">Miller, Chest 1996 (PMID 8874265) · Jaber, Intensive Care Med 2003 (PMID 12528025) · Kuriyama, Crit Care 2020 SR/MA (PMID 33160405) · François, Lancet 2007 RCT (PMID 17398307) · Kuriyama, Chest 2017 MA (PMID 28232056) · Girard, ATS/ACCP 指南 AJRCCM 2017 (PMID 27762595)</w:t>
      </w:r>
    </w:p>
    <w:p>
      <w:pPr>
        <w:spacing w:after="40" w:before="100" w:line="300" w:lineRule="exact"/>
      </w:pPr>
      <w:r>
        <w:rPr>
          <w:rFonts w:ascii="Arial" w:eastAsia="Microsoft YaHei" w:hAnsi="Arial"/>
          <w:b/>
          <w:bCs/>
          <w:color w:val="1F3864"/>
          <w:sz w:val="21"/>
          <w:szCs w:val="21"/>
        </w:rPr>
        <w:t xml:space="preserve">记录</w:t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13"/>
        <w:gridCol w:w="1700"/>
        <w:gridCol w:w="3613"/>
      </w:tblGrid>
      <w:tr>
        <w:trPr>
          <w:cantSplit/>
          <w:trHeight w:val="6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床号/姓名/ID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日期/时间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插管天数/导管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color w:val="7F7F7F"/>
                <w:sz w:val="18"/>
                <w:szCs w:val="18"/>
              </w:rPr>
              <w:t xml:space="preserve">        d    /        #    /        cm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Vt/PEEP/RR/流速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高危因素</w:t>
            </w:r>
          </w:p>
        </w:tc>
        <w:tc>
          <w:tcPr>
            <w:tcW w:type="dxa" w:w="8926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插管&gt;6 d    □ 创伤/困难插管    □ 导管偏粗    □ 女性    □ 非计划拔管后再插管</w:t>
            </w:r>
          </w:p>
        </w:tc>
      </w:tr>
      <w:tr>
        <w:trPr>
          <w:cantSplit/>
          <w:trHeight w:val="52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前提核查</w:t>
            </w:r>
          </w:p>
        </w:tc>
        <w:tc>
          <w:tcPr>
            <w:tcW w:type="dxa" w:w="8926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通过 SBT    □ 已吸引口咽+气囊上    □ VC/AC    □ 漏气补偿已关    □ 无自主触发</w:t>
            </w:r>
          </w:p>
        </w:tc>
      </w:tr>
    </w:tbl>
    <w:p>
      <w:pPr>
        <w:spacing w:after="0" w:before="0" w:line="120" w:lineRule="exact"/>
      </w:pPr>
      <w:r>
        <w:rPr>
          <w:rFonts w:ascii="Arial" w:eastAsia="Microsoft YaHei" w:hAnsi="Arial"/>
          <w:sz w:val="18"/>
          <w:szCs w:val="18"/>
        </w:rPr>
        <w:t xml:space="preserve"/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000"/>
        <w:gridCol w:w="1000"/>
        <w:gridCol w:w="1000"/>
        <w:gridCol w:w="1000"/>
        <w:gridCol w:w="1000"/>
        <w:gridCol w:w="3126"/>
      </w:tblGrid>
      <w:tr>
        <w:trPr>
          <w:cantSplit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Vte (mL)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第1次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第2次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第3次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第4次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第5次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第6次</w:t>
            </w:r>
          </w:p>
        </w:tc>
        <w:tc>
          <w:tcPr>
            <w:tcW w:type="dxa" w:w="31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备注（咳嗽/触发）</w:t>
            </w:r>
          </w:p>
        </w:tc>
      </w:tr>
      <w:tr>
        <w:trPr>
          <w:cantSplit/>
          <w:trHeight w:val="820" w:hRule="atLeast"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气囊充气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0" w:hRule="atLeast"/>
        </w:trPr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气囊放气</w:t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2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rFonts w:ascii="Arial" w:eastAsia="Microsoft YaHei" w:hAnsi="Arial"/>
          <w:sz w:val="18"/>
          <w:szCs w:val="18"/>
        </w:rPr>
        <w:t xml:space="preserve"/>
      </w:r>
    </w:p>
    <w:tbl>
      <w:tblPr>
        <w:tblW w:type="dxa" w:w="10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13"/>
        <w:gridCol w:w="1700"/>
        <w:gridCol w:w="3613"/>
      </w:tblGrid>
      <w:tr>
        <w:trPr>
          <w:cantSplit/>
          <w:trHeight w:val="6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充气均值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right"/>
            </w:pPr>
            <w:r>
              <w:rPr>
                <w:rFonts w:ascii="Arial" w:eastAsia="Microsoft YaHei" w:hAnsi="Arial"/>
                <w:color w:val="7F7F7F"/>
                <w:sz w:val="18"/>
                <w:szCs w:val="18"/>
              </w:rPr>
              <w:t xml:space="preserve">mL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放气均值(最低3次)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right"/>
            </w:pPr>
            <w:r>
              <w:rPr>
                <w:rFonts w:ascii="Arial" w:eastAsia="Microsoft YaHei" w:hAnsi="Arial"/>
                <w:color w:val="7F7F7F"/>
                <w:sz w:val="18"/>
                <w:szCs w:val="18"/>
              </w:rPr>
              <w:t xml:space="preserve">mL</w:t>
            </w: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漏气量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right"/>
            </w:pPr>
            <w:r>
              <w:rPr>
                <w:rFonts w:ascii="Arial" w:eastAsia="Microsoft YaHei" w:hAnsi="Arial"/>
                <w:color w:val="7F7F7F"/>
                <w:sz w:val="18"/>
                <w:szCs w:val="18"/>
              </w:rPr>
              <w:t xml:space="preserve">mL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漏气率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  <w:jc w:val="right"/>
            </w:pPr>
            <w:r>
              <w:rPr>
                <w:rFonts w:ascii="Arial" w:eastAsia="Microsoft YaHei" w:hAnsi="Arial"/>
                <w:color w:val="7F7F7F"/>
                <w:sz w:val="18"/>
                <w:szCs w:val="18"/>
              </w:rPr>
              <w:t xml:space="preserve">%</w:t>
            </w:r>
          </w:p>
        </w:tc>
      </w:tr>
      <w:tr>
        <w:trPr>
          <w:cantSplit/>
          <w:trHeight w:val="56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判读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阴性    □ 阳性    □ 不可靠，重测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定性(听诊)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有漏气声    □ 微弱    □ 无</w:t>
            </w:r>
          </w:p>
        </w:tc>
      </w:tr>
      <w:tr>
        <w:trPr>
          <w:cantSplit/>
          <w:trHeight w:val="15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8926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6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拔管      □ 推迟，复查时间：</w:t>
            </w:r>
          </w:p>
          <w:p>
            <w:pPr>
              <w:spacing w:after="26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激素（药物/剂量/起始）：</w:t>
            </w:r>
          </w:p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>□ 拔管预案设备就位</w:t>
            </w:r>
          </w:p>
        </w:tc>
      </w:tr>
      <w:tr>
        <w:trPr>
          <w:cantSplit/>
          <w:trHeight w:val="600" w:hRule="atLeast"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操作者/核对者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b/>
                <w:bCs/>
                <w:sz w:val="18"/>
                <w:szCs w:val="18"/>
              </w:rPr>
              <w:t xml:space="preserve">备注</w:t>
            </w:r>
          </w:p>
        </w:tc>
        <w:tc>
          <w:tcPr>
            <w:tcW w:type="dxa" w:w="361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Arial" w:eastAsia="Microsoft YaHei" w:hAnsi="Arial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500" w:right="640" w:bottom="40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2026-10-05T02:38:54.348Z</dcterms:created>
  <dcterms:modified xsi:type="dcterms:W3CDTF">2026-10-05T02:38:54.348Z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